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Svetu ministrov se predlaga odobritev naslednjega osnutka določbe:</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Osnutek kraljeve uredbe o spremembi Tehničnega gradbenega zakonika, odobrenega s Kraljevo uredbo št. 314/2006 z dne 17. marca 2006.</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V Zakonu št. 38/1999 z dne 5. novembra 1999 o gradbenih predpisih je Tehnični gradbeni zakonik opredeljen kot regulativni okvir, ki določa osnovne zahteve glede kakovosti stavb in njihovih naprav ter omogoča izpolnjevanje osnovnih zahtev iz člena 3. Tehnični gradbeni zakonik, omenjen v navedenem zakonu, je bil odobren s Kraljevo uredbo št. 314/2006 z dne 17. marca 2006. V osnovnih dokumentih, ki sestavljajo del II Tehničnega gradbenega zakonika, so določene in, kjer je ustrezno, količinsko opredeljene osnovne zahteve iz dela I, in sicer z določitvijo ciljnih ravni ali mejnih vrednosti v zvezi z učinkovitostjo ali drugimi parametri. V osnovnem dokumentu DB-HE o varčevanju z energijo so določene in količinsko opredeljene zahteve glede energetske učinkovitosti, ki jih morajo izpolnjevati novozgrajene stavbe in dela na obstoječih stavbah.</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30. maja 2018 je bila sprejeta Direktiva (EU) 2018/844 Evropskega parlamenta in Sveta o spremembi Direktive 2010/31/EU o energetski učinkovitosti stavb in Direktive 2012/27/EU o energetski učinkovitosti.</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Ta direktiva spodbuja uvedbo posebnih zahtev za razvoj infrastrukture za polnjenje električnih vozil na parkiriščih znotraj stavb. Gradbeni sektor in sektor mobilnosti sta za razogljičenje gospodarstva strateškega pomena, pri čemer je treba vzpostaviti regulativni okvir, namenjen spodbujanju inovacij, trajnostnosti in energetske učinkovitosti v teh sektorjih.</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Razvoj infrastrukture za inteligentno polnjenje električnih vozil bo prispeval k upravljanju energije in prožnosti, uporabi energije iz obnovljivih virov in izboljšanju kakovosti zraka, energetska učinkovitost te infrastrukture pa bo optimizirana z zagotovitvijo višje ravni digitalizacije stavb in vključevanjem novih tehnologij na to področje.</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V celovitem nacionalnem energetskem in podnebnem načrtu za obdobje 2021–2030, ki ga je Španija predložila Evropski komisiji, je predvideno spodbujanje električne mobilnosti kot ukrepa za zmanjšanje porabe energije in emisij vozil, in sicer s prilagoditvijo predpisov in prenosom zakonodaje Evropske unije z namenom uvedbe infrastrukture za polnjenje električnih vozil v skladu z razvojem elektrifikacije voznega parka, pa tudi z drugimi vrstami spodbud in podpore.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Da bi dosegli te cilje in delno prenesli navedeno direktivo, se na podlagi te kraljeve uredbe v Tehnični gradbeni zakonik uvaja nova osnovna zahteva glede varčevanja z energijo, ki zajema minimalne zmogljivosti v zvezi z infrastrukturo za </w:t>
      </w:r>
      <w:r>
        <w:rPr>
          <w:rFonts w:ascii="Calibri" w:hAnsi="Calibri"/>
          <w:sz w:val="22"/>
        </w:rPr>
        <w:lastRenderedPageBreak/>
        <w:t xml:space="preserve">polnjenje električnih vozil, in sicer v novem oddelku HE 6 „Minimalne zmogljivosti v zvezi z infrastrukturo za polnjenje električnih vozil – osnovnega dokumenta DB HE o varčevanju z energijo“.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Po drugi strani je treba opozoriti da se Zakon št. 7/2021 z dne 20. maja o podnebnih spremembah in energetskem prehodu v členu 15(10) za ta predpis sklicuje na Tehnični gradbeni zakonik, da se določi minimalne določbe v zvezi z infrastrukturo za polnjenje električnih vozil v obstoječih stavbah, ki se ne uporabljajo za drugo kot za stanovanjsko rabo, in imajo v notranjosti ali na namenski zunanji površini več kot dvajset parkirnih mest, ki bi morale začeti veljati pred 1. januarjem 2023. Vendar so bile te minimalne določbe končno določene s Kraljevim zakonskim odlokom št. 29/2021 z dne 21. decembra 2021 o sprejemu nujnih ukrepov na področju energije za spodbujanje električne mobilnosti, samoporabe in uporabe energije iz obnovljivih virov, kar vključuje to zahtevo v členu 4.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Z namenom dokončne ureditve področja infrastrukture za polnjenje električnih vozil se spremeni tudi Kraljeva uredba št. 1053/2014 z dne 12. decembra 2014, ki potrjuje novo dopolnilno tehnično navodilo (ITC) BT 52 „Instalacije za posebne namene. Infrastruktura za polnjenje električnih vozil“ Elektrotehničnega predpisa za nizko napetost, odobrenega s Kraljevo uredbo št. 842/2002 z dne 2. avgusta 2002, in druga dopolnilna tehnična navodila te uredbe se spremenijo.</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Poleg tega je v celovitem nacionalnem energetskem in podnebnem načrtu kot ukrep za spodbujanje uporabe energije iz obnovljivih virov, izboljšanje konkurenčnosti proizvodnih sektorjev in spodbujanje potrošnikov k večjemu vključevanju v upravljanje energije predvideno doseganje samooskrbe z energijo iz obnovljivih virov in porazdeljene proizvodnje na stanovanjskih in poslovnih področjih.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V zvezi s tem je odobritev Kraljeve uredbe št. 244/2019 z dne 5. aprila 2019, ki ureja upravne, tehnične in gospodarske pogoje glede samooskrbe z električno energijo, med drugim omogočila kolektivno samooskrbo in zmanjšala upravno breme v zvezi z zagotavljanjem samooskrbe. Sedanji pravni okvir torej omogoča razširitev področja uporabe osnovne zahteve HE 5, ki se nanaša na minimalno proizvodnjo električne energije iz obnovljivih virov energije zasebnih stanovanjskih stavb ter na zmanjšanje mejne vrednosti v zvezi z grajenimi površinami vseh vrst stavb, za katere se zadevna zahteva uporablja.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Poleg tega se šteje, da je potrebna sprememba nekaterih oddelkov osnovnih dokumentov DB-HE „Varčevanje z energijo“</w:t>
      </w:r>
      <w:bookmarkStart w:id="0" w:name="_Hlk92819359"/>
      <w:bookmarkEnd w:id="0"/>
      <w:r>
        <w:rPr>
          <w:rFonts w:ascii="Calibri" w:hAnsi="Calibri"/>
          <w:sz w:val="22"/>
        </w:rPr>
        <w:t xml:space="preserve"> in DB-HS „Zdravje“, da se olajša njihova uporaba, in posebna sprememba osnovnega dokumenta DB-SUA „Varnost uporabe in dostopnost“ za vključitev merila dostopnosti za polnilne postaje na dostopnih parkirnih mestih.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Sprememba Tehničnega zakonika v zvezi z vključitvijo novega oddelka HE 6 – „Minimalne zmogljivosti v zvezi z infrastrukturo za polnjenje električnih vozil“ osnovnega dokumenta DB HE o varčevanju z energijo in sprememba Kraljeve uredbe št. 1053/2014 z dne 12. decembra 2014 o odobritvi novega dopolnilnega tehničnega navodila BT 52, vključenega v prvo končno določbo, sta del pravnih reform, predvidenih v načrtu za obnovo, preoblikovanje in odpornost. Zlasti komponenta 1 načrta za obnovo, preoblikovanje in odpornost, ki zajema „Načrt za trajnostno, varno in povezano mobilnost v mestnih in metropolitanskih okoljih, terja odobritev te kraljeve uredbe, na podlagi katere se bodo navedene regulativne reforme izvajale v okviru reforme C1.R1, ki zajema „Načrt za vzpostavitev polnilne infrastrukture in spodbujanje uporabe električnih vozil“.  Reforma C1.R1 je zasnovana kot zakonski, regulativni in strateški okvir za olajšanje vzpostavitve polnilne infrastrukture z namenom spodbujanja uporabe električnih vozil v Španiji ter temelji na dveh ključnih elementih. Prvega predstavljata Odredba TMA/178/2020 z dne 19. februarja 2020 o spremembi Odredbe z dne 16. decembra 1997 o ureditvi dostopa do državnih cest in servisnih poti ter gradnji servisnih objektov ter Kraljeva uredba z zakonsko močjo št. 23/2020 z dne 23. junija 2020 o odobritvi ukrepov na področju energije in drugih področij za ponovno oživitev gospodarstva. Drug ključni element reforme C1.R1. zajema odobritev te kraljeve uredbe o spremembi Tehničnega gradbenega zakonika in Kraljevo uredbo št. 1053/2014 z dne 12. decembra 2014 o odobritvi novega dopolnilnega tehničnega navodila BT 52.  Časovni mejnik za to reformo je začetek veljavnosti kraljeve uredbe, ki jo ureja pred 30. junijem 2022. Reforma C1.R1 je povezana z naložbo C1.I2, ki </w:t>
      </w:r>
      <w:r>
        <w:rPr>
          <w:rFonts w:ascii="Calibri" w:hAnsi="Calibri"/>
          <w:sz w:val="22"/>
        </w:rPr>
        <w:lastRenderedPageBreak/>
        <w:t xml:space="preserve">se nanaša na načrt spodbud za nameščanje polnilnih mest, nakup električnih vozil in vozil s pogonom na gorivne celice ter inovacije na področju električne mobilnosti, polnilne infrastrukture in zelenega vodika. Ta naložba vključuje mehanizme za zagotavljanje pomoči pri nameščanju polnilnih postaj, določene v Kraljevi uredbi št. 266/2021 z dne 13. aprila 2021 o odobritvi neposredne dodelitve pomoči avtonomnim skupnostim ter mestoma Ceuta in Melilla za izvajanje programov spodbud, povezanih z električno mobilnostjo (MOVES III), v okviru načrta za obnovo, preoblikovanje in odpornost.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Ta kraljeva uredba izpolnjuje načelo, da se ne škoduje bistveno, ter pogoje glede podnebnega in digitalnega označevanja v skladu z načrtom za obnovo, preoblikovanje in odpornost, Uredbo (EU) 2021/241 Evropskega parlamenta in Sveta z dne 12. februarja 2021 o vzpostavitvi Mehanizma za okrevanje in odpornost ter njeno izvedbeno zakonodajo, zlasti obvestilom Komisije z naslovom Tehnične smernice za uporabo „načela, da se ne škoduje bistveno“ v skladu z uredbo o vzpostavitvi mehanizma za okrevanje in odpornost ter zahtevami iz Izvedbenega sklepa Sveta o odobritvi ocene načrta za okrevanje, preoblikovanje in odpornost za Španijo. To vključuje skladnost s posebnimi pogoji, določenimi v komponenti 1 in reformi 1, v katero je ta kraljeva uredba vključena, tako v zvezi z načelom, da se ne škoduje bistveno, kot v zvezi s podnebnim in digitalnim označevanjem, zlasti pogoji iz oddelkov 3, 6 in 8 dokumenta o načrtu za obnovo, preoblikovanje in odpornost. Naložbe C1.I2 iz načrta za obnovo, preoblikovanje in odpornost, povezane z reformo C1.R1, so prav tako v skladu z načelom, da se okolju ne škoduje bistveno, ter pogoji glede podnebnega in digitalnega označevanja.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Ta kraljeva uredba je v skladu z načeli nujnosti, smotrnosti, sorazmernosti, pravne varnosti, preglednosti in učinkovitosti iz člena 129 Zakona št. 39/2015 z dne 1. oktobra 2015 o splošnem upravnem postopku javnih uprav. Kar zadeva načeli nujnosti in smotrnosti, zakon ustreza obveznosti prenosa evropskih direktiv v nacionalno zakonodajo in je v skladu s cilji splošnega interesa, kot je prilagoditev stavbne infrastrukture z namenom spodbujanja trajnostne mobilnosti in uporabe energije iz obnovljivih virov. To bo prispevalo k družbeni blaginji in varstvu okolja. Ta kraljeva uredba je v skladu z načelom sorazmernosti, saj zagotavlja potrebna in zadostna sredstva za izvajanje pravnih pooblastil, določenih v direktivi, ne zahteva pa novosti, ki bi bila lahko nepotrebna ali bi lahko presegala zakonske zahteve, ter ne omejuje pravic državljanov. Ta uredba je v skladu z načelom pravne varnosti, ker je bila pripravljena v skladu s postopki iz Vladnega zakona št. 50/1997 z dne 27. novembra 1997, in načelom preglednosti, saj je njen namen jasno opredeljen, njena vsebina pa je v celoti pojasnjena v javno dostopnih pojasnjevalnih opombah. Uredba nazadnje izpolnjuje tudi načelo učinkovitosti, saj ne prinaša nikakršnega upravnega bremena.</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Ta splošni ukrep je bil podvržen postopkom predhodnega javnega posvetovanja in javne obravnave ter obveščanja, določenih v členu 26 Zakona št. 50/1997 vlade z dne 27. novembra 1997, kot tudi postopka obveščanja na področju tehničnih predpisov in pravil za storitve informacijske družbe iz Direktive (EU) 2015/1535 Evropskega parlamenta in Sveta z dne 9. septembra 2015 ter Kraljeve uredbe št. 1337/1999 z dne 31. julija 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Na podlagi tega se v skladu s predlogom ministrice za promet, mobilnost in agendo za mesta in ministrice za ekološki prehod in demografske izzive v dogovoru z Državnim svetom in na podlagi razprave Sveta ministrov na seji z dne [...]</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ODREJA:</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Edini člen. </w:t>
      </w:r>
      <w:r>
        <w:rPr>
          <w:rFonts w:ascii="Calibri" w:hAnsi="Calibri"/>
          <w:i/>
          <w:sz w:val="22"/>
        </w:rPr>
        <w:t>Sprememba Tehničnega gradbenega zakonika, odobrenega s Kraljevo uredbo št. 314/2006 z dne 17. marca 2006.</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Tehnični gradbeni zakonik, odobren s Kraljevo uredbo št. 314/2006 z dne 17. marca 2006, se spremeni, kot je določeno v nadaljevanju.</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Prvič. Kazalo v delu I se spremeni:</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Besedilo „15.6 Osnovna zahteva HE 5: minimalna proizvodnja električne energije“ nadomesti z besedilom </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Osnovna zahteva HE 5: Minimalna proizvodnja električne energije iz obnovljivih virov“.</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V sklicu na člen 15 se vstavi dodatna točka, ki se glasi:</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„15.7. Osnovna zahteva HE 6: minimalne zmogljivosti v zvezi z infrastrukturo za polnjenje električnih vozil“. </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Drugič. Člen 15 dela I se spremeni:</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Točka 15.6 se spremeni in se glasi:</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„15.6 Osnovna zahteva HE 5: minimalna proizvodnja električne energije iz obnovljivih virov. </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Stavbe so opremljene s sistemi za proizvodnjo električne energije iz obnovljivih virov za lasten odjem ali vrnitev energije v omrežje.“</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Doda se nov oddelek 15.7 z naslednjo vsebino:</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„15.7 Osnovna zahteva HE 6: minimalne zmogljivosti v zvezi z infrastrukturo za polnjenje električnih vozil. </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Stavbe so opremljene z minimalno infrastrukturo, ki omogoča polnjenje električnih vozil.“</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Tretjič. V delu II osnovnega dokumenta DB-HE „Varčevanje z energijo“ se spremeni naslednje:</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V prvem pododstavku oddelka I (predmet) se v uvodnem delu v stavku „Oddelki tega osnovnega dokumenta ustrezajo osnovnim zahtevam HE 0 do HE 5“ besedilo „HE 5“ nadomesti z besedilom „HE 6“.</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V oddelku I (predmet) uvodnega dela se sklic na člen 15.6 dela I Tehničnega gradbenega zakonika spremeni in se glasi:</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„15.6 Osnovna zahteva HE 5: minimalna proizvodnja električne energije iz obnovljivih virov </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Stavbe so opremljene s sistemi za proizvodnjo električne energije iz obnovljivih virov za lasten odjem ali vrnitev energije v omrežje.“</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V oddelku I (predmet) uvodnega dela se v sklic na člen 15 dela I Tehničnega gradbenega zakonika na koncu vstavi dodatna točka, ki se glasi:</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„15.7. Osnovna zahteva HE 6: minimalne zmogljivosti v zvezi z infrastrukturo za polnjenje električnih vozil. </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Stavbe so opremljene z minimalno infrastrukturo, ki omogoča polnjenje </w:t>
      </w:r>
      <w:r>
        <w:rPr>
          <w:rFonts w:ascii="Calibri" w:hAnsi="Calibri"/>
          <w:i/>
          <w:sz w:val="22"/>
        </w:rPr>
        <w:t>električnih vozil</w:t>
      </w:r>
      <w:r>
        <w:rPr>
          <w:rFonts w:ascii="Calibri" w:hAnsi="Calibri"/>
          <w:sz w:val="22"/>
        </w:rPr>
        <w:t>.“</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V kazalu se naslov oddelka HE 5 spremeni in se glasi:</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„Oddelek HE 5 – Minimalna proizvodnja električne energije iz obnovljivih virov“.</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V kazalu se v sklic na člen 15 vstavi dodatna točka, ki se glasi:</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„Oddelek HE 6 – Minimalne zmogljivosti v zvezi z infrastrukturo za polnjenje električnih vozil</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Področje uporabe</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Opis zahteve</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Količinska opredelitev zahteve</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Utemeljitev zahteve</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Gradnja, vzdrževanje in ohranjanje</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Izvedba</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lastRenderedPageBreak/>
        <w:t>5.2</w:t>
      </w:r>
      <w:r>
        <w:rPr>
          <w:rFonts w:ascii="Calibri" w:hAnsi="Calibri"/>
          <w:sz w:val="22"/>
        </w:rPr>
        <w:tab/>
        <w:t>Spremljanje izvajanja del</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Preverjanje zaključenih del</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Vzdrževanje in ohranjanje stavbe“</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odstavku 1 oddelka 1 Področje uporabe razdelka HE 0 se besedilo: „... če skupna razširjena uporabna površina presega 50 m</w:t>
      </w:r>
      <w:r>
        <w:rPr>
          <w:rFonts w:ascii="Calibri" w:hAnsi="Calibri"/>
          <w:sz w:val="22"/>
          <w:vertAlign w:val="superscript"/>
        </w:rPr>
        <w:t>2</w:t>
      </w:r>
      <w:r>
        <w:rPr>
          <w:rFonts w:ascii="Calibri" w:hAnsi="Calibri"/>
          <w:sz w:val="22"/>
        </w:rPr>
        <w:t>;“ nadomesti z „... če razširjena uporabna površina presega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odstavku 1 pododdelka 3.1 Poraba primarne energije iz neobnovljivih virov oddelka 3 Količinska opredelitev zahteve</w:t>
      </w:r>
      <w:bookmarkStart w:id="1" w:name="_Hlk96944651"/>
      <w:bookmarkEnd w:id="1"/>
      <w:r>
        <w:rPr>
          <w:rFonts w:ascii="Calibri" w:hAnsi="Calibri"/>
          <w:sz w:val="22"/>
        </w:rPr>
        <w:t xml:space="preserve"> razdelka HE 0 </w:t>
      </w:r>
      <w:bookmarkStart w:id="2" w:name="_Hlk96943118"/>
      <w:r>
        <w:rPr>
          <w:rFonts w:ascii="Calibri" w:hAnsi="Calibri"/>
          <w:sz w:val="22"/>
        </w:rPr>
        <w:t>se izraz „Cep,nren“ nadomesti z izrazom „C</w:t>
      </w:r>
      <w:r>
        <w:rPr>
          <w:rFonts w:ascii="Calibri" w:hAnsi="Calibri"/>
          <w:sz w:val="22"/>
          <w:vertAlign w:val="subscript"/>
        </w:rPr>
        <w:t>ep,nren</w:t>
      </w:r>
      <w:r>
        <w:rPr>
          <w:rFonts w:ascii="Calibri" w:hAnsi="Calibri"/>
          <w:sz w:val="22"/>
        </w:rPr>
        <w:t>“, izraz „Cep,nren,lim“ pa se nadomesti z izrazom „C</w:t>
      </w:r>
      <w:r>
        <w:rPr>
          <w:rFonts w:ascii="Calibri" w:hAnsi="Calibri"/>
          <w:sz w:val="22"/>
          <w:vertAlign w:val="subscript"/>
        </w:rPr>
        <w:t>ep,nren,lim</w:t>
      </w:r>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odstavku 2 pododdelka 3.1 Poraba primarne energije iz neobnovljivih virov oddelka 3 Količinska opredelitev zahteve razdelka HE 0 se izraz „Cep,nren,lim“ nadomesti z izrazom „C</w:t>
      </w:r>
      <w:r>
        <w:rPr>
          <w:rFonts w:ascii="Calibri" w:hAnsi="Calibri"/>
          <w:sz w:val="22"/>
          <w:vertAlign w:val="subscript"/>
        </w:rPr>
        <w:t>ep,nren,lim</w:t>
      </w:r>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odstavku 1 pododdelka 3.2 Skupna poraba primarne energije oddelka 3 Količinska opredelitev zahteve razdelka HE 0 se izraz „Cep,tot“ nadomesti z izrazom „C</w:t>
      </w:r>
      <w:r>
        <w:rPr>
          <w:rFonts w:ascii="Calibri" w:hAnsi="Calibri"/>
          <w:sz w:val="22"/>
          <w:vertAlign w:val="subscript"/>
        </w:rPr>
        <w:t>ep,tot</w:t>
      </w:r>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odstavku 2 pododdelka 3.2 Skupna poraba primarne energije oddelka 3 Količinska opredelitev zahteve razdelka HE 0 se izraz „Cep,tot,lim“ nadomesti z izrazom „C</w:t>
      </w:r>
      <w:r>
        <w:rPr>
          <w:rFonts w:ascii="Calibri" w:hAnsi="Calibri"/>
          <w:sz w:val="22"/>
          <w:vertAlign w:val="subscript"/>
        </w:rPr>
        <w:t>ep,tot,lim</w:t>
      </w:r>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oddelku 3 Količinska opredelitev zahteve razdelka HE 0 mora biti izraz „</w:t>
      </w:r>
      <w:r>
        <w:rPr>
          <w:rFonts w:ascii="Calibri" w:hAnsi="Calibri"/>
          <w:i/>
          <w:sz w:val="22"/>
        </w:rPr>
        <w:t>zasebna stanovanjska uporaba“</w:t>
      </w:r>
      <w:r>
        <w:rPr>
          <w:rFonts w:ascii="Calibri" w:hAnsi="Calibri"/>
          <w:sz w:val="22"/>
        </w:rPr>
        <w:t xml:space="preserve"> v poševnem tisku.</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V odstavku 9 pododdelka 4.1 Postopek izračuna razdelka HE 0 se besedilo „priznani dokument“ nadomesti z besedilom „priznani dokument za energetsko certifikacijo stavb“.</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V pododdelku 4.1 Postopek izračuna razdelka HE 0 odstavek 9 postane odstavek 11 in dodata se naslednja pododstavka:</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Izračun energetske bilance, ki je potreben za preverjanje izpolnjevanja zahtev tega osnovnega dokumenta, se izvede v skladu s standardom UNE-EN ISO 52000-1:2019: </w:t>
      </w:r>
      <w:r>
        <w:rPr>
          <w:rFonts w:ascii="Calibri" w:hAnsi="Calibri"/>
          <w:i/>
          <w:sz w:val="22"/>
        </w:rPr>
        <w:t>Splošna ocena energetske učinkovitosti stavb Del 1: splošni okvir in postopki</w:t>
      </w:r>
      <w:r>
        <w:rPr>
          <w:rFonts w:ascii="Calibri" w:hAnsi="Calibri"/>
          <w:sz w:val="22"/>
        </w:rPr>
        <w:t xml:space="preserve"> z uporabo izvoznega faktorja K</w:t>
      </w:r>
      <w:r>
        <w:rPr>
          <w:rFonts w:ascii="Calibri" w:hAnsi="Calibri"/>
          <w:sz w:val="22"/>
          <w:vertAlign w:val="subscript"/>
        </w:rPr>
        <w:t>exp</w:t>
      </w:r>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„10.</w:t>
      </w:r>
      <w:r>
        <w:rPr>
          <w:rFonts w:ascii="Calibri" w:hAnsi="Calibri"/>
          <w:sz w:val="22"/>
        </w:rPr>
        <w:tab/>
        <w:t>Za namene dodeljevanja različnim storitvam se distribucija električne energije, proizvedene na kraju samem, v posameznih časovnih intervalih izračuna sorazmerno s porabo električne energije na zadevnem področju (ogrevanje, hlajenje, prezračevanje, gospodinjska topla voda in v okviru terciarne porabe tudi razsvetljava).“</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Izraz „</w:t>
      </w:r>
      <w:r>
        <w:rPr>
          <w:rFonts w:ascii="Calibri" w:hAnsi="Calibri"/>
          <w:i/>
          <w:sz w:val="22"/>
        </w:rPr>
        <w:t>zasebna stanovanjska uporaba</w:t>
      </w:r>
      <w:r>
        <w:rPr>
          <w:rFonts w:ascii="Calibri" w:hAnsi="Calibri"/>
          <w:sz w:val="22"/>
        </w:rPr>
        <w:t>“ iz odstavka 2 pododdelka 4.3 Notranje zahteve in operativni pogoji razdelka HE 0 se označi s poševnim tiskom.</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ñ) Izraz „</w:t>
      </w:r>
      <w:r>
        <w:rPr>
          <w:rFonts w:ascii="Calibri" w:hAnsi="Calibri"/>
          <w:i/>
          <w:sz w:val="22"/>
        </w:rPr>
        <w:t>zasebna stanovanjska uporaba</w:t>
      </w:r>
      <w:r>
        <w:rPr>
          <w:rFonts w:ascii="Calibri" w:hAnsi="Calibri"/>
          <w:sz w:val="22"/>
        </w:rPr>
        <w:t>“ iz odstavka 1 in naslova pododdelka 4.5 razdelka HE 0 Referenčni sistemi na področju zasebne stanovanjske uporabe se označi s poševnim tiskom.</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V pododdelku 3.1.1 Prepustnost </w:t>
      </w:r>
      <w:r>
        <w:rPr>
          <w:rFonts w:ascii="Calibri" w:hAnsi="Calibri"/>
          <w:i/>
          <w:iCs/>
          <w:sz w:val="22"/>
        </w:rPr>
        <w:t>toplotnega ovoja</w:t>
      </w:r>
      <w:r>
        <w:rPr>
          <w:rFonts w:ascii="Calibri" w:hAnsi="Calibri"/>
          <w:sz w:val="22"/>
        </w:rPr>
        <w:t xml:space="preserve"> oddelka 3 Količinska opredelitev zahteve razdelka HE 1 se izraz „kompaktnost“ v preglednicah 3.1.1.b-HE1 in 3.1.1.c-HE1 označi v poševnem tisku.</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V pododdelku 3.1.1 Prepustnost </w:t>
      </w:r>
      <w:r>
        <w:rPr>
          <w:rFonts w:ascii="Calibri" w:hAnsi="Calibri"/>
          <w:i/>
          <w:iCs/>
          <w:sz w:val="22"/>
        </w:rPr>
        <w:t>toplotnega ovoja</w:t>
      </w:r>
      <w:r>
        <w:rPr>
          <w:rFonts w:ascii="Calibri" w:hAnsi="Calibri"/>
          <w:sz w:val="22"/>
        </w:rPr>
        <w:t xml:space="preserve"> oddelka 3 Količinska opredelitev zahteve razdelka HE 1 se izraz „kompaktnost“ v opombah k preglednici 3.1.1.b-HE1 in preglednici 3.1.1.c-HE1 ter izraz „kompaktnost“ v opombah k preglednici 3.1.1.c-HE1 označi v poševnem tisku.</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lastRenderedPageBreak/>
        <w:t xml:space="preserve">V pododdelku 3.1.1 Prepustnost </w:t>
      </w:r>
      <w:r>
        <w:rPr>
          <w:rFonts w:ascii="Calibri" w:hAnsi="Calibri"/>
          <w:i/>
          <w:iCs/>
          <w:sz w:val="22"/>
        </w:rPr>
        <w:t>toplotnega ovoja</w:t>
      </w:r>
      <w:r>
        <w:rPr>
          <w:rFonts w:ascii="Calibri" w:hAnsi="Calibri"/>
          <w:sz w:val="22"/>
        </w:rPr>
        <w:t xml:space="preserve"> oddelka 3 Količinska opredelitev zahteve razdelka HE 1 se izraz „</w:t>
      </w:r>
      <w:r>
        <w:rPr>
          <w:rFonts w:ascii="Calibri" w:hAnsi="Calibri"/>
          <w:i/>
          <w:sz w:val="22"/>
        </w:rPr>
        <w:t>zasebna stanovanjska uporaba</w:t>
      </w:r>
      <w:r>
        <w:rPr>
          <w:rFonts w:ascii="Calibri" w:hAnsi="Calibri"/>
          <w:sz w:val="22"/>
        </w:rPr>
        <w:t>“ v odstavku 3 in preglednici 3.1.1.b-HE1 označi s poševnim tiskom.</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V pododdelku 3.1.1 Prepustnost </w:t>
      </w:r>
      <w:r>
        <w:rPr>
          <w:rFonts w:ascii="Calibri" w:hAnsi="Calibri"/>
          <w:i/>
          <w:iCs/>
          <w:sz w:val="22"/>
        </w:rPr>
        <w:t>toplotnega ovoja</w:t>
      </w:r>
      <w:r>
        <w:rPr>
          <w:rFonts w:ascii="Calibri" w:hAnsi="Calibri"/>
          <w:sz w:val="22"/>
        </w:rPr>
        <w:t xml:space="preserve"> oddelka 3 Količinska opredelitev zahteve razdelka HE 1 se izraz „toplotna ovojnica“ v preglednicah 3.1.1.b-HE1 in 3.1.1.c-HE1 navede v poševnem tisku.</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V pododdelku 3.1.1 </w:t>
      </w:r>
      <w:r>
        <w:rPr>
          <w:rFonts w:ascii="Calibri" w:hAnsi="Calibri"/>
          <w:i/>
          <w:iCs/>
          <w:sz w:val="22"/>
        </w:rPr>
        <w:t>Prepustnost toplotnega ovoja</w:t>
      </w:r>
      <w:r>
        <w:rPr>
          <w:rFonts w:ascii="Calibri" w:hAnsi="Calibri"/>
          <w:sz w:val="22"/>
        </w:rPr>
        <w:t xml:space="preserve"> oddelka 3 Količinska opredelitev zahteve razdelka HE 1 se doda naslednji odstavek:</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Druga možnost je, da se stavbe ali – v primeru delnih posegov na obstoječih stavbah – deli stavb, na katerih se izvajajo posegi in katerih potrebe po ogrevanju in hlajenju znašajo manj kot 15 kWh/m</w:t>
      </w:r>
      <w:r>
        <w:rPr>
          <w:rFonts w:ascii="Calibri" w:hAnsi="Calibri"/>
          <w:sz w:val="22"/>
          <w:vertAlign w:val="superscript"/>
        </w:rPr>
        <w:t>2</w:t>
      </w:r>
      <w:r>
        <w:rPr>
          <w:rFonts w:ascii="Calibri" w:hAnsi="Calibri"/>
          <w:sz w:val="22"/>
        </w:rPr>
        <w:t xml:space="preserve">, izvzamejo iz zahteve glede zagotavljanja </w:t>
      </w:r>
      <w:r>
        <w:rPr>
          <w:rFonts w:ascii="Calibri" w:hAnsi="Calibri"/>
          <w:i/>
          <w:iCs/>
          <w:sz w:val="22"/>
        </w:rPr>
        <w:t>skupnega koeficienta prenosa toplote prek toplotne ovojnice</w:t>
      </w:r>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V pododdelku 3.1.2 Solarna regulacija toplotnega ovoja oddelka 3 Količinska opredelitev zahteve razdelka HE 1 se besedilo: „preglednica 3.1.2-HE1 Mejna vrednost parametra solarne regulacije qsol;jul,lim [kWh/m</w:t>
      </w:r>
      <w:r>
        <w:rPr>
          <w:rFonts w:ascii="Calibri" w:hAnsi="Calibri"/>
          <w:sz w:val="22"/>
          <w:vertAlign w:val="superscript"/>
        </w:rPr>
        <w:t>2</w:t>
      </w:r>
      <w:r>
        <w:rPr>
          <w:rFonts w:ascii="Calibri" w:hAnsi="Calibri"/>
          <w:sz w:val="22"/>
        </w:rPr>
        <w:t>·mes]“ se nadomesti z: „preglednica 3.1.2-HE1 Mejna vrednost parametra solarne regulacije q</w:t>
      </w:r>
      <w:r>
        <w:rPr>
          <w:rFonts w:ascii="Calibri" w:hAnsi="Calibri"/>
          <w:sz w:val="22"/>
          <w:vertAlign w:val="subscript"/>
        </w:rPr>
        <w:t>sol;jul,lim</w:t>
      </w:r>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V pododdelku 3.1.3 Zračna prepustnost toplotnega ovoja oddelka 3 Količinska opredelitev zahteve razdelka HE 1 se izraz „toplotna ovojnica“ navede v poševnem tisku v naslovu oddelka in naslovu preglednice 3.1.3.a-HE1.</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V pododdelku 3.1.3 Zračna prepustnost </w:t>
      </w:r>
      <w:r>
        <w:rPr>
          <w:rFonts w:ascii="Calibri" w:hAnsi="Calibri"/>
          <w:i/>
          <w:iCs/>
          <w:sz w:val="22"/>
        </w:rPr>
        <w:t>toplotnega ovoja</w:t>
      </w:r>
      <w:r>
        <w:rPr>
          <w:rFonts w:ascii="Calibri" w:hAnsi="Calibri"/>
          <w:sz w:val="22"/>
        </w:rPr>
        <w:t xml:space="preserve"> oddelka 3 Količinska opredelitev zahteve razdelka HE 1 se doda odstavek 3, ki se glasi:</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V primeru sprememb se zgornja preglednica 3.1.3.a-HE1 uporablja samo za tiste elemente </w:t>
      </w:r>
      <w:r>
        <w:rPr>
          <w:rFonts w:ascii="Calibri" w:hAnsi="Calibri"/>
          <w:i/>
          <w:iCs/>
          <w:sz w:val="22"/>
        </w:rPr>
        <w:t>toplotnega ovoja</w:t>
      </w:r>
      <w:r>
        <w:rPr>
          <w:rFonts w:ascii="Calibri" w:hAnsi="Calibri"/>
          <w:sz w:val="22"/>
        </w:rPr>
        <w:t>, ki so bili nadomeščeni, dodani ali bistveno spremenjeni;“.</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Sedanja odstavka 3 in 4 pododdelka 3.1.3 – zračna prepustnost </w:t>
      </w:r>
      <w:r>
        <w:rPr>
          <w:rFonts w:ascii="Calibri" w:hAnsi="Calibri"/>
          <w:i/>
          <w:iCs/>
          <w:sz w:val="22"/>
        </w:rPr>
        <w:t>toplotnega ovoja</w:t>
      </w:r>
      <w:r>
        <w:rPr>
          <w:rFonts w:ascii="Calibri" w:hAnsi="Calibri"/>
          <w:sz w:val="22"/>
        </w:rPr>
        <w:t> – se preštevilčita v odstavka 4 oziroma 5.</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V pododdelku 3.1.3 Zračna prepustnost </w:t>
      </w:r>
      <w:r>
        <w:rPr>
          <w:rFonts w:ascii="Calibri" w:hAnsi="Calibri"/>
          <w:i/>
          <w:iCs/>
          <w:sz w:val="22"/>
        </w:rPr>
        <w:t>toplotnega ovoja</w:t>
      </w:r>
      <w:r>
        <w:rPr>
          <w:rFonts w:ascii="Calibri" w:hAnsi="Calibri"/>
          <w:sz w:val="22"/>
        </w:rPr>
        <w:t xml:space="preserve"> oddelka 3 Količinska opredelitev zahteve razdelka HE 1 se izraz „kompaktnost“ v preglednicah 3.1.3.b-HE1 in 3.1.3.b-HE1 ter izraz „zasebna stanovanjska uporaba“ v odstavku 3 označita s poševnim tiskom.</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V preglednici 3.1.3.b-HE1 pododdelka 3.1.3 Zračna prepustnost </w:t>
      </w:r>
      <w:r>
        <w:rPr>
          <w:rFonts w:ascii="Calibri" w:hAnsi="Calibri"/>
          <w:i/>
          <w:iCs/>
          <w:sz w:val="22"/>
        </w:rPr>
        <w:t>toplotnega ovoja</w:t>
      </w:r>
      <w:r>
        <w:rPr>
          <w:rFonts w:ascii="Calibri" w:hAnsi="Calibri"/>
          <w:sz w:val="22"/>
        </w:rPr>
        <w:t xml:space="preserve"> oddelka 3 Količinska opredelitev zahteve razdelka HE 1 se besedilo „m</w:t>
      </w:r>
      <w:r>
        <w:rPr>
          <w:rFonts w:ascii="Calibri" w:hAnsi="Calibri"/>
          <w:sz w:val="22"/>
          <w:vertAlign w:val="superscript"/>
        </w:rPr>
        <w:t>3</w:t>
      </w:r>
      <w:r>
        <w:rPr>
          <w:rFonts w:ascii="Calibri" w:hAnsi="Calibri"/>
          <w:sz w:val="22"/>
        </w:rPr>
        <w:t>/m2“ glasi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 kjer se 2 navede kot nadpis.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V pododdelku 4 (utemeljitev zahteve) oddelka HE 1 se izraz „kompaktnost“ iz pododdelka 4.1.b) in izraz „zasebna stanovanjska uporaba“ iz pododdelka 4.1.g) označita s poševnim tiskom.</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V preglednici 3.1-HE3 Mejna vrednost učinkovitosti naprave (VEEI</w:t>
      </w:r>
      <w:r>
        <w:rPr>
          <w:rFonts w:ascii="Calibri" w:hAnsi="Calibri"/>
          <w:sz w:val="22"/>
          <w:vertAlign w:val="subscript"/>
        </w:rPr>
        <w:t>lim</w:t>
      </w:r>
      <w:r>
        <w:rPr>
          <w:rFonts w:ascii="Calibri" w:hAnsi="Calibri"/>
          <w:sz w:val="22"/>
        </w:rPr>
        <w:t>) razdelka HE 3 se besedilo „Trgovine in majhne prodajalne“ nadomesti z besedilom „Trgovine in majhne prodajalne</w:t>
      </w:r>
      <w:r>
        <w:rPr>
          <w:rFonts w:ascii="Calibri" w:hAnsi="Calibri"/>
          <w:sz w:val="22"/>
          <w:vertAlign w:val="superscript"/>
        </w:rPr>
        <w:t xml:space="preserve"> (10)</w:t>
      </w:r>
      <w:r>
        <w:rPr>
          <w:rFonts w:ascii="Calibri" w:hAnsi="Calibri"/>
          <w:sz w:val="22"/>
        </w:rPr>
        <w:t>“ in vstavi se naslednja opomba:</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Izraz trgovina se nanaša na majhne neodvisne trgovine in del za komercialno uporabo, ki se običajno ne uporablja v nakupovalnih centrih.“</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V odstavku 2 oddelka 3.3 Sistemi nadzora in regulacije razdelka HE 3, ki se glasi „... se lahko nadomesti z eno od naslednjih dveh možnosti: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nadzorom vklopa in izklopa s sistemom za časovno zaznavanje prisotnosti; ali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časovnim sistemom potisnih gumbov.“</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se nadomesti z „... se lahko nadomesti z eno od naslednjih dveh možnosti: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lastRenderedPageBreak/>
        <w:t xml:space="preserve">— nadzorom vklopa in izklopa s </w:t>
      </w:r>
      <w:r>
        <w:rPr>
          <w:rFonts w:ascii="Calibri" w:hAnsi="Calibri"/>
          <w:i/>
          <w:sz w:val="22"/>
        </w:rPr>
        <w:t>sistemom za časovno zaznavanje prisotnosti</w:t>
      </w:r>
      <w:r>
        <w:rPr>
          <w:rFonts w:ascii="Calibri" w:hAnsi="Calibri"/>
          <w:sz w:val="22"/>
        </w:rPr>
        <w:t xml:space="preserve">; ali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w:t>
      </w:r>
      <w:r>
        <w:rPr>
          <w:rFonts w:ascii="Calibri" w:hAnsi="Calibri"/>
          <w:i/>
          <w:iCs/>
          <w:sz w:val="22"/>
        </w:rPr>
        <w:t>časovnim sistemom</w:t>
      </w:r>
      <w:r>
        <w:rPr>
          <w:rFonts w:ascii="Calibri" w:hAnsi="Calibri"/>
          <w:sz w:val="22"/>
        </w:rPr>
        <w:t xml:space="preserve"> s pritiskom na potisni gumb.“</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V odstavku 1(b) oddelka 4 Utemeljitev zahteve razdelka HE 3 se besedilo „...učinkovitost uporabljenih </w:t>
      </w:r>
      <w:r>
        <w:rPr>
          <w:rFonts w:ascii="Calibri" w:hAnsi="Calibri"/>
          <w:i/>
          <w:iCs/>
          <w:sz w:val="22"/>
        </w:rPr>
        <w:t>svetilk</w:t>
      </w:r>
      <w:r>
        <w:rPr>
          <w:rFonts w:ascii="Calibri" w:hAnsi="Calibri"/>
          <w:sz w:val="22"/>
        </w:rPr>
        <w:t xml:space="preserve"> (v lum/W)“ glasi „...učinkovitost uporabljenih </w:t>
      </w:r>
      <w:r>
        <w:rPr>
          <w:rFonts w:ascii="Calibri" w:hAnsi="Calibri"/>
          <w:i/>
          <w:iCs/>
          <w:sz w:val="22"/>
        </w:rPr>
        <w:t>svetilk</w:t>
      </w:r>
      <w:r>
        <w:rPr>
          <w:rFonts w:ascii="Calibri" w:hAnsi="Calibri"/>
          <w:sz w:val="22"/>
        </w:rPr>
        <w:t xml:space="preserve"> (v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V oddelku 2 Opis zahtev razdelka HE 4 se odstavek 1 glasi:</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Stavbe bodo svoje potrebe po ogrevanju sanitarne vode in vode za ogrevanje notranjih bazenov zadovoljevale v veliki meri z </w:t>
      </w:r>
      <w:r>
        <w:rPr>
          <w:rFonts w:ascii="Calibri" w:hAnsi="Calibri"/>
          <w:i/>
          <w:iCs/>
          <w:sz w:val="22"/>
        </w:rPr>
        <w:t>energijo iz obnovljivih virov</w:t>
      </w:r>
      <w:r>
        <w:rPr>
          <w:rFonts w:ascii="Calibri" w:hAnsi="Calibri"/>
          <w:sz w:val="22"/>
        </w:rPr>
        <w:t xml:space="preserve"> ali procesov obnovljive soproizvodnje; bodisi v sami stavbi ali s priključitvijo na </w:t>
      </w:r>
      <w:r>
        <w:rPr>
          <w:rFonts w:ascii="Calibri" w:hAnsi="Calibri"/>
          <w:i/>
          <w:iCs/>
          <w:sz w:val="22"/>
        </w:rPr>
        <w:t>sistem daljinskega ogrevanja</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V odstavku 4 pododdelka 3.1 Minimalni prispevek iz obnovljivih virov za ogrevanje sanitarne vode in/ali bazenov oddelka 3 Količinska opredelitev zahteve razdelka HE 4 se besedilo: </w:t>
      </w:r>
      <w:bookmarkStart w:id="3" w:name="_Hlk96945986"/>
      <w:r>
        <w:rPr>
          <w:rFonts w:ascii="Calibri" w:hAnsi="Calibri"/>
          <w:sz w:val="22"/>
        </w:rPr>
        <w:t xml:space="preserve">„... </w:t>
      </w:r>
      <w:bookmarkEnd w:id="3"/>
      <w:r>
        <w:rPr>
          <w:rFonts w:ascii="Calibri" w:hAnsi="Calibri"/>
          <w:sz w:val="22"/>
        </w:rPr>
        <w:t>večjo od 2,5, če se električno aktivirajo, in večjo od 1,15, če se aktivirajo s toplotno energijo ...“ nadomesti z besedilom „... enako ali večjo od 2,5, če se električno aktivirajo, in enako ali večjo od 1,15, če se aktivirajo s toplotno energijo ...“.</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V odstavku 5 pododdelka 3.1 Minimalni prispevek iz obnovljivih virov za ogrevanje sanitarne vode in/ali bazenov oddelka 3 Količinska opredelitev zahteve razdelka HE 4 se besedilo: „... stanovanjske stavbe...“ nadomesti z besedilom „... stavbe za </w:t>
      </w:r>
      <w:r>
        <w:rPr>
          <w:rFonts w:ascii="Calibri" w:hAnsi="Calibri"/>
          <w:i/>
          <w:sz w:val="22"/>
        </w:rPr>
        <w:t>zasebno stanovanjsko rabo</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V razdelku HE 5 se pred pododdelkom 5.1 (izvajanje) vstavi naslov, ki se glasi: „5. Gradnja, vzdrževanje in ohranjanje“.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V razdelku HE 5 se naslov „Razdelek HE 5 Minimalna proizvodnja električne energije“ nadomesti z „Razdelek HE 5 </w:t>
      </w:r>
      <w:bookmarkStart w:id="4" w:name="_Hlk92123384"/>
      <w:r>
        <w:rPr>
          <w:rFonts w:ascii="Calibri" w:hAnsi="Calibri"/>
          <w:sz w:val="22"/>
        </w:rPr>
        <w:t>Minimalna proizvodnja električne energije</w:t>
      </w:r>
      <w:bookmarkEnd w:id="4"/>
      <w:r>
        <w:t xml:space="preserve"> </w:t>
      </w:r>
      <w:r>
        <w:rPr>
          <w:rFonts w:ascii="Calibri" w:hAnsi="Calibri"/>
          <w:sz w:val="22"/>
        </w:rPr>
        <w:t>iz obnovljivih virov“.</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Odstavek 1 Področje uporabe oddelka HE 5 se glasi: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Ta oddelek se uporablja za: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novozgrajene stavbe, katerih zgrajena površina presega 1 000 m</w:t>
      </w:r>
      <w:r>
        <w:rPr>
          <w:rFonts w:ascii="Calibri" w:hAnsi="Calibri"/>
          <w:sz w:val="22"/>
          <w:vertAlign w:val="superscript"/>
        </w:rPr>
        <w:t>2</w:t>
      </w:r>
      <w:r>
        <w:rPr>
          <w:rFonts w:ascii="Calibri" w:hAnsi="Calibri"/>
          <w:sz w:val="22"/>
        </w:rPr>
        <w:t>;</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razširitve obstoječih stavb, katerih zgrajena površina se poveča za več kot 1 000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obstoječe stavbe, ki se popolnoma prenovijo ali pri katerih pride do spremembe namembnosti ter katerih zgrajena površina presega 1 000 m</w:t>
      </w:r>
      <w:r>
        <w:rPr>
          <w:rFonts w:ascii="Calibri" w:hAnsi="Calibri"/>
          <w:sz w:val="22"/>
          <w:vertAlign w:val="superscript"/>
        </w:rPr>
        <w:t>2</w:t>
      </w:r>
      <w:r>
        <w:rPr>
          <w:rFonts w:ascii="Calibri" w:hAnsi="Calibri"/>
          <w:sz w:val="22"/>
        </w:rPr>
        <w:t>.</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Šteje se, da zgrajena površina vključuje površino parkirnih mest v stavbi, ne pa skupnih zunanjih območij.“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Prvi pododstavek pododdelka 2 „Opredelitev zahteve“ razdelka HE 5 se glasi:</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Stavbe so opremljene s sistemi za proizvodnjo električne energije iz obnovljivih virov za lasten odjem ali vrnitev energije v omrežje.“</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Odstavek 3 „Količinska opredelitev zahteve“ razdelka HE 5 se glasi:</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w:t>
      </w:r>
      <w:r>
        <w:rPr>
          <w:rFonts w:ascii="Calibri" w:hAnsi="Calibri"/>
          <w:i/>
          <w:iCs/>
          <w:sz w:val="22"/>
        </w:rPr>
        <w:t>Najmanjša inštalirana moč</w:t>
      </w:r>
      <w:r>
        <w:rPr>
          <w:rFonts w:ascii="Calibri" w:hAnsi="Calibri"/>
          <w:sz w:val="22"/>
        </w:rPr>
        <w:t> – P</w:t>
      </w:r>
      <w:r>
        <w:rPr>
          <w:rFonts w:ascii="Calibri" w:hAnsi="Calibri"/>
          <w:sz w:val="22"/>
          <w:vertAlign w:val="subscript"/>
        </w:rPr>
        <w:t>min</w:t>
      </w:r>
      <w:r>
        <w:rPr>
          <w:rFonts w:ascii="Calibri" w:hAnsi="Calibri"/>
          <w:sz w:val="22"/>
        </w:rPr>
        <w:t xml:space="preserve"> je nižja vrednost med rezultatoma naslednjih dveh enačb: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F</w:t>
      </w:r>
      <w:r>
        <w:rPr>
          <w:rFonts w:ascii="Calibri" w:hAnsi="Calibri"/>
          <w:sz w:val="22"/>
          <w:vertAlign w:val="subscript"/>
        </w:rPr>
        <w:t>pr;el</w:t>
      </w:r>
      <w:r>
        <w:rPr>
          <w:rFonts w:ascii="Calibri" w:hAnsi="Calibri"/>
          <w:sz w:val="22"/>
        </w:rPr>
        <w:t xml:space="preserve"> ·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xml:space="preserve"> = 0,1 · (0,5 · S</w:t>
      </w:r>
      <w:r>
        <w:rPr>
          <w:rFonts w:ascii="Calibri" w:hAnsi="Calibri"/>
          <w:sz w:val="22"/>
          <w:vertAlign w:val="subscript"/>
        </w:rPr>
        <w:t>c</w:t>
      </w:r>
      <w:r>
        <w:rPr>
          <w:rFonts w:ascii="Calibri" w:hAnsi="Calibri"/>
          <w:sz w:val="22"/>
        </w:rPr>
        <w:t xml:space="preserve"> - S</w:t>
      </w:r>
      <w:r>
        <w:rPr>
          <w:rFonts w:ascii="Calibri" w:hAnsi="Calibri"/>
          <w:sz w:val="22"/>
          <w:vertAlign w:val="subscript"/>
        </w:rPr>
        <w:t>oc</w:t>
      </w:r>
      <w:r>
        <w:rPr>
          <w:rFonts w:ascii="Calibri" w:hAnsi="Calibri"/>
          <w:sz w:val="22"/>
        </w:rPr>
        <w:t>)</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pri čemer je:</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lastRenderedPageBreak/>
        <w:t>P</w:t>
      </w:r>
      <w:r>
        <w:rPr>
          <w:rFonts w:ascii="Calibri" w:hAnsi="Calibri"/>
          <w:sz w:val="22"/>
          <w:vertAlign w:val="subscript"/>
        </w:rPr>
        <w:t>min</w:t>
      </w:r>
      <w:r>
        <w:rPr>
          <w:rFonts w:ascii="Calibri" w:hAnsi="Calibri"/>
          <w:sz w:val="22"/>
        </w:rPr>
        <w:tab/>
      </w:r>
      <w:r>
        <w:rPr>
          <w:rFonts w:ascii="Calibri" w:hAnsi="Calibri"/>
          <w:i/>
          <w:sz w:val="22"/>
        </w:rPr>
        <w:t>inštalirana moč</w:t>
      </w:r>
      <w:r>
        <w:rPr>
          <w:rFonts w:ascii="Calibri" w:hAnsi="Calibri"/>
          <w:sz w:val="22"/>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F</w:t>
      </w:r>
      <w:r>
        <w:rPr>
          <w:rFonts w:ascii="Calibri" w:hAnsi="Calibri"/>
          <w:sz w:val="22"/>
          <w:vertAlign w:val="subscript"/>
        </w:rPr>
        <w:t>pr;e</w:t>
      </w:r>
      <w:r>
        <w:rPr>
          <w:rFonts w:ascii="Calibri" w:hAnsi="Calibri"/>
          <w:sz w:val="22"/>
        </w:rPr>
        <w:t>l</w:t>
      </w:r>
      <w:r>
        <w:rPr>
          <w:rFonts w:ascii="Calibri" w:hAnsi="Calibri"/>
          <w:sz w:val="22"/>
        </w:rPr>
        <w:tab/>
        <w:t>faktor proizvodnje električne energije, ki vključuje vrednost 0,005 za zasebno stanovanjsko rabo in vrednost 0,010 za druge namene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w:t>
      </w:r>
      <w:r>
        <w:rPr>
          <w:rFonts w:ascii="Calibri" w:hAnsi="Calibri"/>
          <w:sz w:val="22"/>
        </w:rPr>
        <w:tab/>
        <w:t>zgrajena površina stavbe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t>S</w:t>
      </w:r>
      <w:r>
        <w:rPr>
          <w:rFonts w:ascii="Calibri" w:hAnsi="Calibri"/>
          <w:sz w:val="22"/>
          <w:vertAlign w:val="subscript"/>
        </w:rPr>
        <w:t>c</w:t>
      </w:r>
      <w:r>
        <w:rPr>
          <w:rFonts w:ascii="Calibri" w:hAnsi="Calibri"/>
          <w:sz w:val="22"/>
        </w:rPr>
        <w:tab/>
        <w:t>površina strehe, ki ni dostopna ali je dostopna le za vzdrževanje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S</w:t>
      </w:r>
      <w:r>
        <w:rPr>
          <w:rFonts w:ascii="Calibri" w:hAnsi="Calibri"/>
          <w:sz w:val="22"/>
          <w:vertAlign w:val="subscript"/>
        </w:rPr>
        <w:t>oc</w:t>
      </w:r>
      <w:r>
        <w:rPr>
          <w:rFonts w:ascii="Calibri" w:hAnsi="Calibri"/>
          <w:sz w:val="22"/>
        </w:rPr>
        <w:tab/>
        <w:t>površina strehe, ki ni dostopna ali je dostopna le za vzdrževanje sončnih kolektorjev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V primeru stavb, v zvezi s katerimi iz urbanističnih ali arhitekturnih razlogov ali njihovega statusa uradno zaščitenih stavb, ki ga je podelil zadevni organ, ki opredeli njihove nespremenljive elemente, ni mogoče doseči najmanjše </w:t>
      </w:r>
      <w:r>
        <w:rPr>
          <w:rFonts w:ascii="Calibri" w:hAnsi="Calibri"/>
          <w:i/>
          <w:sz w:val="22"/>
        </w:rPr>
        <w:t>inštalirane moči</w:t>
      </w:r>
      <w:r>
        <w:rPr>
          <w:rFonts w:ascii="Calibri" w:hAnsi="Calibri"/>
          <w:sz w:val="22"/>
        </w:rPr>
        <w:t>, se ta nezmožnost utemelji z analizo različnih alternativ in sprejme se rešitev, ki zagotavlja največjo možno inštalirano moč.“</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V odstavku 4 „Utemeljitev zahteve“ razdelka HE 5 se doda naslednje besedilo:</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kadar je to primerno, razloge, ki preprečujejo, da bi bila dosežena najmanjša zahtevana </w:t>
      </w:r>
      <w:r>
        <w:rPr>
          <w:rFonts w:ascii="Calibri" w:hAnsi="Calibri"/>
          <w:i/>
          <w:sz w:val="22"/>
        </w:rPr>
        <w:t>inštalirana moč</w:t>
      </w:r>
      <w:r>
        <w:rPr>
          <w:rFonts w:ascii="Calibri" w:hAnsi="Calibri"/>
          <w:sz w:val="22"/>
        </w:rPr>
        <w:t>, analizo alternativ in rešitve, sprejete za zagotovitev največje možne inštalirane moči.“</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ll) Osnovni dokument DB-HE „Varčevanje z energijo“ je vključen v razdelek HE 6 z naslovom „Minimalne </w:t>
      </w:r>
      <w:r>
        <w:rPr>
          <w:rFonts w:ascii="Calibri" w:hAnsi="Calibri"/>
          <w:i/>
          <w:iCs/>
          <w:sz w:val="22"/>
        </w:rPr>
        <w:t>določbe za infrastrukturo za polnjenje električnih vozil</w:t>
      </w:r>
      <w:r>
        <w:rPr>
          <w:rFonts w:ascii="Calibri" w:hAnsi="Calibri"/>
          <w:sz w:val="22"/>
        </w:rPr>
        <w:t xml:space="preserve">“ z naslednjo vsebino: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t>„Razdelek HE 6</w:t>
      </w:r>
      <w:r>
        <w:rPr>
          <w:rFonts w:ascii="Calibri" w:hAnsi="Calibri"/>
          <w:sz w:val="22"/>
        </w:rPr>
        <w:br/>
        <w:t xml:space="preserve">Minimalne </w:t>
      </w:r>
      <w:r>
        <w:rPr>
          <w:rFonts w:ascii="Calibri" w:hAnsi="Calibri"/>
          <w:i/>
          <w:iCs/>
          <w:sz w:val="22"/>
        </w:rPr>
        <w:t>določbe za infrastrukturo za polnjenje električnih vozil</w:t>
      </w:r>
      <w:r>
        <w:rPr>
          <w:rFonts w:ascii="Calibri" w:hAnsi="Calibri"/>
          <w:sz w:val="22"/>
        </w:rPr>
        <w:br/>
      </w:r>
      <w:bookmarkEnd w:id="5"/>
      <w:bookmarkEnd w:id="6"/>
      <w:r>
        <w:rPr>
          <w:i/>
        </w:rPr>
        <w:t>s</w:t>
      </w:r>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Področje uporabe</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Zahteve iz tega oddelka se uporabljajo za stavbe, ki imajo parkirno mesto, bodisi znotraj bodisi zunaj stavbe, v naslednjih primerih:</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novogradnje;</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obstoječe stavbe, v naslednjem primeru:</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spremembe namenske rabe stavbe;</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prizidki, v primerih, ko so posegi vključeni v parkirišče in se pozidana površina ali prostornina enote ali </w:t>
      </w:r>
      <w:r>
        <w:rPr>
          <w:rFonts w:ascii="Calibri" w:hAnsi="Calibri"/>
          <w:i/>
          <w:iCs/>
          <w:sz w:val="22"/>
        </w:rPr>
        <w:t>enot rabe</w:t>
      </w:r>
      <w:r>
        <w:rPr>
          <w:rFonts w:ascii="Calibri" w:hAnsi="Calibri"/>
          <w:sz w:val="22"/>
        </w:rPr>
        <w:t>, na kateri se izvaja poseg, poveča za več kot 10 %, poveča pa se tudi uporabna površina za več kot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prenove, ki vključujejo posege v parkirišče in pri katerih se obnovi več kot 25 % skupne površine končnega </w:t>
      </w:r>
      <w:r>
        <w:rPr>
          <w:rFonts w:ascii="Calibri" w:hAnsi="Calibri"/>
          <w:i/>
          <w:iCs/>
          <w:sz w:val="22"/>
        </w:rPr>
        <w:t>toplotnega ovoja</w:t>
      </w:r>
      <w:r>
        <w:rPr>
          <w:rFonts w:ascii="Calibri" w:hAnsi="Calibri"/>
          <w:sz w:val="22"/>
        </w:rPr>
        <w:t xml:space="preserve"> objekta;</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posegi v elektroinštalacije objekta, ki vplivajo na več kot 50 % moči, inštalirane v objektu pred posegom, v primerih, ko se parkirišče nahaja znotraj objekta</w:t>
      </w:r>
      <w:r>
        <w:rPr>
          <w:rFonts w:ascii="Calibri" w:hAnsi="Calibri"/>
          <w:sz w:val="22"/>
          <w:u w:color="FF0000"/>
        </w:rPr>
        <w:t>, pod pogojem, da ima nosilec projekta, ki izvaja tak poseg, pravico do izvedbe del v objektu</w:t>
      </w:r>
      <w:r>
        <w:rPr>
          <w:rFonts w:ascii="Calibri" w:hAnsi="Calibri"/>
          <w:sz w:val="22"/>
        </w:rPr>
        <w:t>;</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posegi v električno inštalacijo parkirišča, ki vplivajo na več kot 50 % moči, nameščene na parkirišču pred posegom.</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Naslednje ne spada v področje uporabe:</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stavbe za uporabo, ki ni zasebna stanovanjska, s parkirno površino z 10 ali manj parkirnimi mesti;</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b) obstoječe stavbe za uporabo, ki ni zasebna stanovanjska uporaba, s parkirno površino 20 mest ali manj, in obstoječe stavbe za </w:t>
      </w:r>
      <w:r>
        <w:rPr>
          <w:rFonts w:ascii="Calibri" w:hAnsi="Calibri"/>
          <w:i/>
          <w:iCs/>
          <w:sz w:val="22"/>
        </w:rPr>
        <w:t>zasebno stanovanjsko rabo</w:t>
      </w:r>
      <w:r>
        <w:rPr>
          <w:rFonts w:ascii="Calibri" w:hAnsi="Calibri"/>
          <w:sz w:val="22"/>
        </w:rPr>
        <w:t xml:space="preserve">, kadar v obeh primerih stroški, ki izhajajo iz skladnosti s tem oddelkom, presegajo 7 % stroškov razširitve, spremembe namembnosti ali prenove, ki povzroči obveznost </w:t>
      </w:r>
      <w:r>
        <w:rPr>
          <w:rFonts w:ascii="Calibri" w:hAnsi="Calibri"/>
          <w:sz w:val="22"/>
        </w:rPr>
        <w:lastRenderedPageBreak/>
        <w:t>skladnosti. Za določitev stroškov omenjenih posegov se bodo upoštevali njihovi realni in efektivni stroški, ki se razumejo kot njihovi fizični stroški gradnje;</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c) stavbe, ki so uradno zaščitene kot del zaščitenega okolja ali zaradi svojega posebnega arhitekturnega ali zgodovinskega pomena, so izključene iz teh obveznosti, če bi izpolnjevanje zahtev iz tega oddelka nesprejemljivo spremenilo njihov značaj ali videz, pri čemer uradni organ za zaščito opredeli nespremenljive elemente.</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Opis zahteve</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Stavbe so opremljene z minimalno infrastrukturo, ki omogoča polnjenje </w:t>
      </w:r>
      <w:r>
        <w:rPr>
          <w:rFonts w:ascii="Calibri" w:hAnsi="Calibri"/>
          <w:i/>
          <w:iCs/>
          <w:sz w:val="22"/>
        </w:rPr>
        <w:t>električnih vozil</w:t>
      </w:r>
      <w:r>
        <w:rPr>
          <w:rFonts w:ascii="Calibri" w:hAnsi="Calibri"/>
          <w:sz w:val="22"/>
        </w:rPr>
        <w: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Ta </w:t>
      </w:r>
      <w:r>
        <w:rPr>
          <w:rFonts w:ascii="Calibri" w:hAnsi="Calibri"/>
          <w:i/>
          <w:iCs/>
          <w:sz w:val="22"/>
        </w:rPr>
        <w:t>infrastruktura za polnjenje električnih vozil</w:t>
      </w:r>
      <w:r>
        <w:rPr>
          <w:rFonts w:ascii="Calibri" w:hAnsi="Calibri"/>
          <w:sz w:val="22"/>
        </w:rPr>
        <w:t xml:space="preserve"> bo v skladu z določbami veljavne uredbe o nizkonapetostni elektrotehniki in njenih dopolnilnih tehničnih navodil (ITC) BT 52 „Naprave za posebne namene. Infrastruktura za polnjenje </w:t>
      </w:r>
      <w:r>
        <w:rPr>
          <w:rFonts w:ascii="Calibri" w:hAnsi="Calibri"/>
          <w:i/>
          <w:sz w:val="22"/>
        </w:rPr>
        <w:t>električnih vozil</w:t>
      </w:r>
      <w:r>
        <w:rPr>
          <w:rFonts w:ascii="Calibri" w:hAnsi="Calibri"/>
          <w:sz w:val="22"/>
        </w:rPr>
        <w:t>“.</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Količinska opredelitev zahteve</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V stavbah za </w:t>
      </w:r>
      <w:r>
        <w:rPr>
          <w:rFonts w:ascii="Calibri" w:hAnsi="Calibri"/>
          <w:i/>
          <w:iCs/>
          <w:sz w:val="22"/>
        </w:rPr>
        <w:t>zasebno stanovanjsko rabo</w:t>
      </w:r>
      <w:r>
        <w:rPr>
          <w:rFonts w:ascii="Calibri" w:hAnsi="Calibri"/>
          <w:sz w:val="22"/>
        </w:rPr>
        <w:t xml:space="preserve"> bodo nameščeni kabelski prevodni sistemi, ki bodo omogočili oskrbo </w:t>
      </w:r>
      <w:r>
        <w:rPr>
          <w:rFonts w:ascii="Calibri" w:hAnsi="Calibri"/>
          <w:i/>
          <w:iCs/>
          <w:sz w:val="22"/>
        </w:rPr>
        <w:t>polnilnih postaj</w:t>
      </w:r>
      <w:r>
        <w:rPr>
          <w:rFonts w:ascii="Calibri" w:hAnsi="Calibri"/>
          <w:sz w:val="22"/>
        </w:rPr>
        <w:t xml:space="preserve"> za 100 % parkirnih mest.</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V stavbah, ki niso zasebne stanovanjske, bodo nameščeni kabelski prevodni sistemi, ki bodo omogočali prihodnjo oskrbo </w:t>
      </w:r>
      <w:r>
        <w:rPr>
          <w:rFonts w:ascii="Calibri" w:hAnsi="Calibri"/>
          <w:i/>
          <w:iCs/>
          <w:sz w:val="22"/>
        </w:rPr>
        <w:t>polnilnih postaj</w:t>
      </w:r>
      <w:r>
        <w:rPr>
          <w:rFonts w:ascii="Calibri" w:hAnsi="Calibri"/>
          <w:sz w:val="22"/>
        </w:rPr>
        <w:t xml:space="preserve"> za vsaj 20 % parkirnih mest.</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Poleg tega bo na vsakih 40 parkirnih mest ali njihov del nameščena </w:t>
      </w:r>
      <w:r>
        <w:rPr>
          <w:rFonts w:ascii="Calibri" w:hAnsi="Calibri"/>
          <w:i/>
          <w:iCs/>
          <w:sz w:val="22"/>
        </w:rPr>
        <w:t>polnilna postaja</w:t>
      </w:r>
      <w:r>
        <w:rPr>
          <w:rFonts w:ascii="Calibri" w:hAnsi="Calibri"/>
          <w:sz w:val="22"/>
        </w:rPr>
        <w:t>.</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V stavbah, ki niso zasebne stanovanjske in so v lasti splošne državne uprave ali javnih organov, ki so z njo povezani ali od nje odvisni, bo določba večja od</w:t>
      </w:r>
      <w:r>
        <w:rPr>
          <w:rFonts w:ascii="Calibri" w:hAnsi="Calibri"/>
          <w:color w:val="1F497D"/>
          <w:sz w:val="22"/>
        </w:rPr>
        <w:t xml:space="preserve"> </w:t>
      </w:r>
      <w:r>
        <w:rPr>
          <w:rFonts w:ascii="Calibri" w:hAnsi="Calibri"/>
          <w:sz w:val="22"/>
        </w:rPr>
        <w:t xml:space="preserve">splošne, </w:t>
      </w:r>
      <w:r>
        <w:rPr>
          <w:rFonts w:ascii="Calibri" w:hAnsi="Calibri"/>
          <w:i/>
          <w:iCs/>
          <w:sz w:val="22"/>
        </w:rPr>
        <w:t>polnilna postaja</w:t>
      </w:r>
      <w:r>
        <w:rPr>
          <w:rFonts w:ascii="Calibri" w:hAnsi="Calibri"/>
          <w:sz w:val="22"/>
        </w:rPr>
        <w:t xml:space="preserve"> pa mora biti nameščena na vsakih 20 parkirnih mest ali njihov del.</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V primeru, da imajo parkirišča dostopna parkirna mesta, kot je določeno v osnovnem dokumentu o varnosti pri uporabi in dostopnosti (DB SUA), se na vsakih pet dostopnih parkirnih mest postavi ena </w:t>
      </w:r>
      <w:r>
        <w:rPr>
          <w:rFonts w:ascii="Calibri" w:hAnsi="Calibri"/>
          <w:i/>
          <w:iCs/>
          <w:sz w:val="22"/>
        </w:rPr>
        <w:t>polnilna postaja</w:t>
      </w:r>
      <w:r>
        <w:rPr>
          <w:rFonts w:ascii="Calibri" w:hAnsi="Calibri"/>
          <w:sz w:val="22"/>
        </w:rPr>
        <w:t xml:space="preserve">. </w:t>
      </w:r>
      <w:r>
        <w:rPr>
          <w:rFonts w:ascii="Calibri" w:hAnsi="Calibri"/>
          <w:i/>
          <w:iCs/>
          <w:sz w:val="22"/>
        </w:rPr>
        <w:t>Polnilne postaje</w:t>
      </w:r>
      <w:r>
        <w:rPr>
          <w:rFonts w:ascii="Calibri" w:hAnsi="Calibri"/>
          <w:sz w:val="22"/>
        </w:rPr>
        <w:t xml:space="preserve"> teh lokacij bodo izračunane za namene skladnosti s količinsko opredelitvijo zahteve.</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V stavbah, ki imajo enote za </w:t>
      </w:r>
      <w:r>
        <w:rPr>
          <w:rFonts w:ascii="Calibri" w:hAnsi="Calibri"/>
          <w:i/>
          <w:iCs/>
          <w:sz w:val="22"/>
        </w:rPr>
        <w:t>zasebno stanovanjsko rabo</w:t>
      </w:r>
      <w:r>
        <w:rPr>
          <w:rFonts w:ascii="Calibri" w:hAnsi="Calibri"/>
          <w:sz w:val="22"/>
        </w:rPr>
        <w:t xml:space="preserve"> skupaj z drugimi za različne rabe, v katerih parkirne površine, vezane na posamezno rabo, niso jasno ločene, se uporablja merilo, ki ustreza značilni rabi stavbe.</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Utemeljitev zahteve</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Za utemeljitev, da stavba izpolnjuje zahteve tega osnovnega dokumenta, morajo projektni dokumenti vsebovati naslednje informacije o stavbi ali njenem ustreznem delu:</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diagram ožičenja, uporabljen za dimenzioniranje, kot je opisano v nizkonapetostnem elektrotehničnem pravilniku;</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opis glavnega voda in zagotovljenih kanalov z navedbo odstotka parkirnih mest, ki imajo kabelske prevodne sisteme, in najmanjši zahtevani odstotek;</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število nameščenih </w:t>
      </w:r>
      <w:r>
        <w:rPr>
          <w:rFonts w:ascii="Calibri" w:hAnsi="Calibri"/>
          <w:i/>
          <w:iCs/>
          <w:sz w:val="22"/>
        </w:rPr>
        <w:t>polnilnih postaj</w:t>
      </w:r>
      <w:r>
        <w:rPr>
          <w:rFonts w:ascii="Calibri" w:hAnsi="Calibri"/>
          <w:sz w:val="22"/>
        </w:rPr>
        <w:t xml:space="preserve"> in najmanjše število, ki izhaja iz količinske opredelitve zahteve;</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vrste </w:t>
      </w:r>
      <w:r>
        <w:rPr>
          <w:rFonts w:ascii="Calibri" w:hAnsi="Calibri"/>
          <w:i/>
          <w:iCs/>
          <w:sz w:val="22"/>
        </w:rPr>
        <w:t>polnilnih postaj</w:t>
      </w:r>
      <w:r>
        <w:rPr>
          <w:rFonts w:ascii="Calibri" w:hAnsi="Calibri"/>
          <w:sz w:val="22"/>
        </w:rPr>
        <w:t xml:space="preserve"> in njihove nazivne moči.</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lastRenderedPageBreak/>
        <w:t>5</w:t>
      </w:r>
      <w:r>
        <w:rPr>
          <w:rFonts w:ascii="Calibri" w:hAnsi="Calibri"/>
          <w:sz w:val="22"/>
        </w:rPr>
        <w:tab/>
        <w:t>Gradnja, vzdrževanje in ohranjanje</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Izvedba</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Gradbena dela na objektu se izvedejo v skladu s projektom in njegovimi spremembami, ki jih odobri vodja gradnje s predhodnim soglasjem nosilca projekta, v skladu z veljavno zakonodajo, specifikacijami predpisov o nizkonapetostni elektrotehniki in njegovim dopolnilnim tehničnim navodilom ITC BT-52 „Naprave za posebne namene. Infrastruktura za polnjenje </w:t>
      </w:r>
      <w:r>
        <w:rPr>
          <w:rFonts w:ascii="Calibri" w:hAnsi="Calibri"/>
          <w:i/>
          <w:iCs/>
          <w:sz w:val="22"/>
        </w:rPr>
        <w:t>električnih vozil</w:t>
      </w:r>
      <w:r>
        <w:rPr>
          <w:rFonts w:ascii="Calibri" w:hAnsi="Calibri"/>
          <w:sz w:val="22"/>
        </w:rPr>
        <w:t>", standardom dobre gradbene prakse ter navodili vodje gradnje in vodje izvedbe del, kot je navedeno v členu 7 dela I CTE.</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t>5.2 Spremljanje izvajanja del</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Nadzor nad izvajanjem</w:t>
      </w:r>
      <w:r>
        <w:rPr>
          <w:rFonts w:ascii="Calibri" w:hAnsi="Calibri"/>
          <w:color w:val="FF0000"/>
          <w:sz w:val="22"/>
        </w:rPr>
        <w:t xml:space="preserve"> </w:t>
      </w:r>
      <w:r>
        <w:rPr>
          <w:rFonts w:ascii="Calibri" w:hAnsi="Calibri"/>
          <w:sz w:val="22"/>
        </w:rPr>
        <w:t>del se bo izvajal v skladu s specifikacijo projekta, njegovih prilog in sprememb, ki jih odobri vodja gradnje, in navodili vodje izvedbe del, kot je določeno v predpisih o nizkonapetostni elektrotehniki, v skladu z določbami člena 7(3) dela I CTE in drugimi veljavnimi predpisi.</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Izvedba dela se preveri, da se zagotovi, da se inšpekcijski pregledi izvajajo tako pogosto, kot je določeno v specifikacijah projekta.</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Vse spremembe, izvedene med izvedbo gradenj, se zabeležijo v dokumentaciji o izvedenih delih in v vsakem primeru morajo biti izpolnjeni minimalni pogoji, navedeni v tem osnovnem dokumentu.</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Dokumentacija, ki se nanaša na značilnosti izdelkov, opreme in sistemov, vključenih v gradnjo, bo vključena v knjigo stavbe.</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Preverjanje zaključenih del</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Inšpekcijski pregled izvedenih del mora izpolnjevati merila iz člena 7(4) dela I CTE.</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Ta razdelek osnovnega dokumenta ne predpisuje končnih preskusov.</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Vzdrževanje in ohranjanje stavbe</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Načrt vzdrževanja, vključen v knjigo stavbe, bo vključeval postopke in pogostost, potrebnih za vzdrževanje skozi čas konstrukcijskih parametrov in delovanja infrastrukture za dolgoročno vzdrževanje parametrov zasnove in zmogljivosti </w:t>
      </w:r>
      <w:r>
        <w:rPr>
          <w:rFonts w:ascii="Calibri" w:hAnsi="Calibri"/>
          <w:i/>
          <w:iCs/>
          <w:sz w:val="22"/>
        </w:rPr>
        <w:t>infrastrukture za polnjenje električnih vozil</w:t>
      </w:r>
      <w:r>
        <w:rPr>
          <w:rFonts w:ascii="Calibri" w:hAnsi="Calibri"/>
          <w:sz w:val="22"/>
        </w:rPr>
        <w:t>.</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Prav tako bodo v knjigi stavbe dokumentirani vsi posegi, bodisi popravila, prenove ali sanacije, ki so bili izvedeni skozi celotno življenjsko dobo stavbe.“</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V Prilogi A se črtata izraza „Začetna osvetlitev“ in „Odsevnost“.</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nn) V Prilogi A se v opredelitvi pojma „</w:t>
      </w:r>
      <w:r>
        <w:rPr>
          <w:rFonts w:ascii="Calibri" w:hAnsi="Calibri"/>
          <w:i/>
          <w:sz w:val="22"/>
        </w:rPr>
        <w:t>Skupni koeficient toplotne prehodnosti (preko toplotnega ovoja stavbe</w:t>
      </w:r>
      <w:r>
        <w:rPr>
          <w:rFonts w:ascii="Calibri" w:hAnsi="Calibri"/>
          <w:sz w:val="22"/>
        </w:rPr>
        <w:t>) (K)“ glasi: „[...] K = X Hx/Aint...“ se glasi z znaki „x“, „x“ in „int“, napisanimi kot spuščeno besedilo: „[...] K = Σ</w:t>
      </w:r>
      <w:r>
        <w:rPr>
          <w:rFonts w:ascii="Calibri" w:hAnsi="Calibri"/>
          <w:sz w:val="22"/>
          <w:vertAlign w:val="subscript"/>
        </w:rPr>
        <w:t>x</w:t>
      </w:r>
      <w:r>
        <w:rPr>
          <w:rFonts w:ascii="Calibri" w:hAnsi="Calibri"/>
          <w:sz w:val="22"/>
        </w:rPr>
        <w:t xml:space="preserve"> H</w:t>
      </w:r>
      <w:r>
        <w:rPr>
          <w:rFonts w:ascii="Calibri" w:hAnsi="Calibri"/>
          <w:sz w:val="22"/>
          <w:vertAlign w:val="subscript"/>
        </w:rPr>
        <w:t>x</w:t>
      </w:r>
      <w:r>
        <w:rPr>
          <w:rFonts w:ascii="Calibri" w:hAnsi="Calibri"/>
          <w:sz w:val="22"/>
        </w:rPr>
        <w:t xml:space="preserve"> / A</w:t>
      </w:r>
      <w:r>
        <w:rPr>
          <w:rFonts w:ascii="Calibri" w:hAnsi="Calibri"/>
          <w:sz w:val="22"/>
          <w:vertAlign w:val="subscript"/>
        </w:rPr>
        <w:t>int</w:t>
      </w:r>
      <w:r>
        <w:rPr>
          <w:rFonts w:ascii="Calibri" w:hAnsi="Calibri"/>
          <w:sz w:val="22"/>
        </w:rPr>
        <w:t>...“, izraza „parietodinamične stene“ in „Trombejeve stene“ pa v poševnem tisku.</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ññ) V Prilogi A v opredelitvi pojma „Kompaktnost“ je izraz „kompaktnost“ v drugem odstavku v poševnem tisku.</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oo) V Prilogi A v opredelitvi pojma „pogoji delovanja“ je izraz „zasebna stanovanjska uporaba“ v poševnem tisku.</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pp) V Prilogi A se opredelitev pojma „poraba primarne energije iz neobnovljivih virov“ glasi: „[...] Poraba primarne energije iz neobnovljivih virov [...]“ se nadomesti z besedilom „[...] Poraba primarne energije iz neobnovljivih virov (C</w:t>
      </w:r>
      <w:r>
        <w:rPr>
          <w:rFonts w:ascii="Calibri" w:hAnsi="Calibri"/>
          <w:sz w:val="22"/>
          <w:vertAlign w:val="subscript"/>
        </w:rPr>
        <w:t>ep,nren</w:t>
      </w:r>
      <w:r>
        <w:rPr>
          <w:rFonts w:ascii="Calibri" w:hAnsi="Calibri"/>
          <w:sz w:val="22"/>
        </w:rPr>
        <w:t>) [...]“, pri čemer se besedilo „ep,nren“ zapiše v drobnem tisku pod standardno besedilno ravnjo.</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lastRenderedPageBreak/>
        <w:t>qq) V Prilogi A se opredelitev „Skupna poraba primarne energije“ glasi: „[...] Skupna poraba primarne energije [...]“ se nadomesti z besedilom „[...] Skupna poraba primarne energije (C</w:t>
      </w:r>
      <w:r>
        <w:rPr>
          <w:rFonts w:ascii="Calibri" w:hAnsi="Calibri"/>
          <w:sz w:val="22"/>
          <w:vertAlign w:val="subscript"/>
        </w:rPr>
        <w:t>ep,tot</w:t>
      </w:r>
      <w:r>
        <w:rPr>
          <w:rFonts w:ascii="Calibri" w:hAnsi="Calibri"/>
          <w:sz w:val="22"/>
        </w:rPr>
        <w:t>) [...]“, pri čemer se besedilo „ep,tot“ zapiše v drobnem tisku pod standardno besedilno ravnjo.</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rr) v Prilogi A se opredelitev pojma „Sončna kontrola (q</w:t>
      </w:r>
      <w:r>
        <w:rPr>
          <w:rFonts w:ascii="Calibri" w:hAnsi="Calibri"/>
          <w:sz w:val="22"/>
          <w:vertAlign w:val="subscript"/>
        </w:rPr>
        <w:t>sol;jul</w:t>
      </w:r>
      <w:r>
        <w:rPr>
          <w:rFonts w:ascii="Calibri" w:hAnsi="Calibri"/>
          <w:sz w:val="22"/>
        </w:rPr>
        <w:t>)“ glasi: besedilo „[...] uporabna površina prostorov [...]“ se nadomesti z besedilom „[...] uporabna površina bivalnih prostorov [...]“. Pika in nov odstavek na koncu opredelitve pojma komponente formule „Hsol;jul“ se nadomesti s podpičjem in doda se opredelitev druge komponente formule z naslednjim besedilom:</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„A</w:t>
      </w:r>
      <w:r>
        <w:rPr>
          <w:rFonts w:ascii="Calibri" w:hAnsi="Calibri"/>
          <w:sz w:val="22"/>
          <w:vertAlign w:val="subscript"/>
        </w:rPr>
        <w:t>util</w:t>
      </w:r>
      <w:r>
        <w:rPr>
          <w:rFonts w:ascii="Calibri" w:hAnsi="Calibri"/>
          <w:sz w:val="22"/>
        </w:rPr>
        <w:t xml:space="preserve"> površina, za katero se šteje, da je v skladu s pododdelkom 4.6 oddelka HE 0.“</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ss) V prilogi A se v opredelitvi pojma „Končna energija“ besedilo „pomeni energijo, ki so jo potrošniki kupili v obliki električne energije, goriva ali drugih kuriv, ki se uporabljajo neposredno“ nadomesti z besedilom „pomeni energijo, ki se dobavlja gradbenim sistemom za opravljanje storitev; ta oskrba se običajno zagotavlja z gorivom, proizvodnjo na kraju samem ali posebnimi omrežji (električna energija, plin, daljinsko ogrevanje ali hlajenje itd.)“.</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tt) V Prilogi A v opredelitvi pojma „Klimatiziran bivalni prostor“ je izraz „zasebna stanovanjska uporaba“ v poševnem tisku.</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uu) V Prilogi A v opredelitvi pojma „Obdobje uporabe“ je izraz „zasebna stanovanjska uporaba“ v poševnem tisku.</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vv) V Prilogi A se v opredelitvi pojma „Toplotni prenos (vrednost U)“ na koncu opredelitve doda naslednji stavek:</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„Izražena je v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ww) V Prilogi A v opredelitvi pojma „Vrednost energetske učinkovitosti naprave (VEEI)“ je izraz „zasebna stanovanjska uporaba“ v poševnem tisku.</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xx) V Prilogo A „Terminologija“ se vključijo naslednje opredelitve:</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w:t>
      </w:r>
      <w:r>
        <w:rPr>
          <w:rFonts w:ascii="Calibri" w:hAnsi="Calibri"/>
          <w:b/>
          <w:i/>
          <w:sz w:val="22"/>
        </w:rPr>
        <w:t>Pomožna oprema</w:t>
      </w:r>
      <w:r>
        <w:rPr>
          <w:rFonts w:ascii="Calibri" w:hAnsi="Calibri"/>
          <w:b/>
          <w:sz w:val="22"/>
        </w:rPr>
        <w:t xml:space="preserve">: </w:t>
      </w:r>
      <w:r>
        <w:rPr>
          <w:rFonts w:ascii="Calibri" w:hAnsi="Calibri"/>
          <w:sz w:val="22"/>
        </w:rPr>
        <w:t>pomeni električno ali elektronsko opremo, povezano s svetilnimi elementi, ki se razlikuje glede na posamezne vrste svetilnih elementov ter katere funkcija je sprožitev in nadzor pogojev obratovanja. To pomožno opremo sestavljajo zaganjalnik, predstikalna naprava in kondenzator, razen če gre ta elektronsko opremo.“</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i/>
          <w:sz w:val="22"/>
        </w:rPr>
        <w:t>Polnilna postaja</w:t>
      </w:r>
      <w:r>
        <w:rPr>
          <w:rFonts w:ascii="Calibri" w:hAnsi="Calibri"/>
          <w:b/>
          <w:sz w:val="22"/>
        </w:rPr>
        <w:t xml:space="preserve">: </w:t>
      </w:r>
      <w:r>
        <w:rPr>
          <w:rFonts w:ascii="Calibri" w:hAnsi="Calibri"/>
          <w:sz w:val="22"/>
        </w:rPr>
        <w:t xml:space="preserve">pomeni sklop elementov, potrebnih za priključitev električnega vozila na fiksno električno napravo za polnjenje. </w:t>
      </w:r>
      <w:r>
        <w:rPr>
          <w:rFonts w:ascii="Calibri" w:hAnsi="Calibri"/>
          <w:i/>
          <w:sz w:val="22"/>
        </w:rPr>
        <w:t>Polnilne postaje</w:t>
      </w:r>
      <w:r>
        <w:rPr>
          <w:rFonts w:ascii="Calibri" w:hAnsi="Calibri"/>
          <w:sz w:val="22"/>
        </w:rPr>
        <w:t xml:space="preserve"> se delijo na:</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enostavna polnilna mesta, sestavljena iz potrebnih varovalnih elementov, ene ali več vtičnic, ki niso specifične za </w:t>
      </w:r>
      <w:r>
        <w:rPr>
          <w:rFonts w:ascii="Calibri" w:hAnsi="Calibri"/>
          <w:i/>
          <w:sz w:val="22"/>
        </w:rPr>
        <w:t>električno vozilo</w:t>
      </w:r>
      <w:r>
        <w:rPr>
          <w:rFonts w:ascii="Calibri" w:hAnsi="Calibri"/>
          <w:sz w:val="22"/>
        </w:rPr>
        <w:t>, in, kjer je primerno, ohišja;</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 xml:space="preserve">polnilna mesta s </w:t>
      </w:r>
      <w:r>
        <w:rPr>
          <w:rFonts w:ascii="Calibri" w:hAnsi="Calibri"/>
          <w:i/>
          <w:sz w:val="22"/>
        </w:rPr>
        <w:t>posebnim sistemom za oskrbo električnih vozil z energijo</w:t>
      </w:r>
      <w:r>
        <w:rPr>
          <w:rFonts w:ascii="Calibri" w:hAnsi="Calibri"/>
          <w:sz w:val="22"/>
        </w:rPr>
        <w:t>.“</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Infrastruktura za polnjenje električnih vozil</w:t>
      </w:r>
      <w:r>
        <w:rPr>
          <w:rFonts w:ascii="Calibri" w:hAnsi="Calibri"/>
          <w:b/>
          <w:sz w:val="22"/>
        </w:rPr>
        <w:t xml:space="preserve">: </w:t>
      </w:r>
      <w:r>
        <w:rPr>
          <w:rFonts w:ascii="Calibri" w:hAnsi="Calibri"/>
          <w:sz w:val="22"/>
        </w:rPr>
        <w:t xml:space="preserve">pomeni sklop fizičnih in logičnih naprav, ki so namenjene polnjenju električnih vozil, izpolnjujejo zahteve glede varnosti in razpoložljivosti, ki so za posamezne primere določene v Pravilniku o nizkonapetostnih elektrotehničnih napravah, ter lahko zagotavljajo popolno in celovito storitev polnjenja. Vključujejo </w:t>
      </w:r>
      <w:r>
        <w:rPr>
          <w:rFonts w:ascii="Calibri" w:hAnsi="Calibri"/>
          <w:i/>
          <w:iCs/>
          <w:sz w:val="22"/>
        </w:rPr>
        <w:t>polnilne postaje</w:t>
      </w:r>
      <w:r>
        <w:rPr>
          <w:rFonts w:ascii="Calibri" w:hAnsi="Calibri"/>
          <w:sz w:val="22"/>
        </w:rPr>
        <w:t xml:space="preserve">, krmilni sistem, električne vode, električne krmilne in zaščitne plošče ter merilno opremo, ki je namenjena izključno polnjenju </w:t>
      </w:r>
      <w:r>
        <w:rPr>
          <w:rFonts w:ascii="Calibri" w:hAnsi="Calibri"/>
          <w:i/>
          <w:iCs/>
          <w:sz w:val="22"/>
        </w:rPr>
        <w:t>električnih vozil</w:t>
      </w:r>
      <w:r>
        <w:rPr>
          <w:rFonts w:ascii="Calibri" w:hAnsi="Calibri"/>
          <w:sz w:val="22"/>
        </w:rPr>
        <w:t>.“</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Posebni sistem za oskrbo električnih vozil z energijo</w:t>
      </w:r>
      <w:r>
        <w:rPr>
          <w:rFonts w:ascii="Calibri" w:hAnsi="Calibri"/>
          <w:b/>
          <w:sz w:val="22"/>
        </w:rPr>
        <w:t>:</w:t>
      </w:r>
      <w:r>
        <w:rPr>
          <w:rFonts w:ascii="Calibri" w:hAnsi="Calibri"/>
          <w:sz w:val="22"/>
        </w:rPr>
        <w:t xml:space="preserve"> pomeni sklop opreme, ki je namenjen oskrbi z električno energijo za polnjenje električnega vozila ter vključuje varovalne elemente polnilne postaje, priključni kabel (s </w:t>
      </w:r>
      <w:r>
        <w:rPr>
          <w:rFonts w:ascii="Calibri" w:hAnsi="Calibri"/>
          <w:sz w:val="22"/>
        </w:rPr>
        <w:lastRenderedPageBreak/>
        <w:t xml:space="preserve">faznimi, nevtralnimi in zaščitnimi vodniki), vtičnico ali priključek in, kjer je primerno, pretvornik za izmenični/enosmerni tok. Ta sistem po potrebi omogoča komunikacijo med </w:t>
      </w:r>
      <w:r>
        <w:rPr>
          <w:rFonts w:ascii="Calibri" w:hAnsi="Calibri"/>
          <w:i/>
          <w:sz w:val="22"/>
        </w:rPr>
        <w:t>električnim vozilom</w:t>
      </w:r>
      <w:r>
        <w:rPr>
          <w:rFonts w:ascii="Calibri" w:hAnsi="Calibri"/>
          <w:sz w:val="22"/>
        </w:rPr>
        <w:t xml:space="preserve"> in fiksno napravo.“</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Zasebna stanovanjska uporaba</w:t>
      </w:r>
      <w:r>
        <w:rPr>
          <w:rFonts w:ascii="Calibri" w:hAnsi="Calibri"/>
          <w:sz w:val="22"/>
        </w:rPr>
        <w:t xml:space="preserve">‘ pomeni uporabo stavbe ali območja, namenjenega stalnemu prebivanju, ne glede na vrsto stavbe, ki je lahko samostojna hiša, stanovanjska stavba itd., in ne glede na to, ali gre za zasebno ali javno gradnjo.“ </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Električno vozilo</w:t>
      </w:r>
      <w:r>
        <w:rPr>
          <w:rFonts w:ascii="Calibri" w:hAnsi="Calibri"/>
          <w:sz w:val="22"/>
        </w:rPr>
        <w:t>‘ pomeni motorno vozilo, ki je opremljeno s pogonsko enoto z vsaj enim neperifernim električnim mehanizmom, ki deluje kot pretvornik energije, in s sistemom za shranjevanje električne energije z možnostjo ponovnega polnjenja od zunaj.“</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yy) V Prilogi C se izraza „toplotni ovoj“ v naslovu in izraz „prostori, ki niso primerni za bivanje“ v oddelku 1(a) navedeta v poševnem tisku.</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zz) V Prilogi D se izrazi „operativni pogoji“, „profili uporabe“ in „zasebna stanovanjska uporaba“ v naslovu, odstavku 2 ter preglednici A v Prilogi D, preglednici b v Prilogi D in preglednici c v Prilogi D.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aaa) V Prilogi D se odstavek „2. </w:t>
      </w:r>
      <w:r>
        <w:rPr>
          <w:rFonts w:ascii="Calibri" w:hAnsi="Calibri"/>
          <w:i/>
          <w:iCs/>
          <w:sz w:val="22"/>
        </w:rPr>
        <w:t>Pogoji delovanja</w:t>
      </w:r>
      <w:r>
        <w:rPr>
          <w:rFonts w:ascii="Calibri" w:hAnsi="Calibri"/>
          <w:sz w:val="22"/>
        </w:rPr>
        <w:t xml:space="preserve"> in </w:t>
      </w:r>
      <w:r>
        <w:rPr>
          <w:rFonts w:ascii="Calibri" w:hAnsi="Calibri"/>
          <w:i/>
          <w:iCs/>
          <w:sz w:val="22"/>
        </w:rPr>
        <w:t>profil uporabe</w:t>
      </w:r>
      <w:r>
        <w:rPr>
          <w:rFonts w:ascii="Calibri" w:hAnsi="Calibri"/>
          <w:sz w:val="22"/>
        </w:rPr>
        <w:t xml:space="preserve"> ...“ glasi „3. </w:t>
      </w:r>
      <w:r>
        <w:rPr>
          <w:rFonts w:ascii="Calibri" w:hAnsi="Calibri"/>
          <w:i/>
          <w:iCs/>
          <w:sz w:val="22"/>
        </w:rPr>
        <w:t>Pogoji delovanja</w:t>
      </w:r>
      <w:r>
        <w:rPr>
          <w:rFonts w:ascii="Calibri" w:hAnsi="Calibri"/>
          <w:sz w:val="22"/>
        </w:rPr>
        <w:t xml:space="preserve"> in </w:t>
      </w:r>
      <w:r>
        <w:rPr>
          <w:rFonts w:ascii="Calibri" w:hAnsi="Calibri"/>
          <w:i/>
          <w:iCs/>
          <w:sz w:val="22"/>
        </w:rPr>
        <w:t>profil uporabe</w:t>
      </w:r>
      <w:r>
        <w:rPr>
          <w:rFonts w:ascii="Calibri" w:hAnsi="Calibri"/>
          <w:sz w:val="22"/>
        </w:rPr>
        <w:t xml:space="preserve"> ...“</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bbb) V odstavku 4 Priloge D se besedilo „Priznani dokument“ nadomesti z besedilom „Priznani dokument za energetsko certifikacijo stavb“.</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V Prilogi E se izraz „zasebna stanovanjska uporaba“ v oddelku 1 navede v poševnem tisku.</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ddd) V oddelku 1 in preglednici a iz Priloge F se izraz „zasebna stanovanjska uporaba“ označi s poševnim tiskom.</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r>
        <w:rPr>
          <w:rFonts w:ascii="Calibri" w:hAnsi="Calibri"/>
          <w:sz w:val="22"/>
        </w:rPr>
        <w:t xml:space="preserve">eee) V Prilogi H se naslednje besedilo vstavi za naslovom razdelka: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„Določanje </w:t>
      </w:r>
      <w:r>
        <w:rPr>
          <w:rFonts w:ascii="Calibri" w:hAnsi="Calibri"/>
          <w:i/>
          <w:iCs/>
          <w:sz w:val="22"/>
        </w:rPr>
        <w:t>zračne prepustnosti</w:t>
      </w:r>
      <w:r>
        <w:rPr>
          <w:rFonts w:ascii="Calibri" w:hAnsi="Calibri"/>
          <w:sz w:val="22"/>
        </w:rPr>
        <w:t xml:space="preserve"> stavbe je treba določiti z eno od spodaj navedenih metod.“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fff) V Prilogi H se besedilo „Vrednost količnika spremembe zraka pri 50 Pa, n50, se lahko izračuna s preskušanjem v skladu z metodo B iz standarda UNE-EN 13829:2002 – Ugotavljanje tesnosti obodnih konstrukcij. Metoda tlačne razlike z uporabo ventilatorja.“ nadomesti z: „Vrednost </w:t>
      </w:r>
      <w:r>
        <w:rPr>
          <w:rFonts w:ascii="Calibri" w:hAnsi="Calibri"/>
          <w:i/>
          <w:iCs/>
          <w:sz w:val="22"/>
        </w:rPr>
        <w:t>količnika spremembe zraka</w:t>
      </w:r>
      <w:r>
        <w:rPr>
          <w:rFonts w:ascii="Calibri" w:hAnsi="Calibri"/>
          <w:sz w:val="22"/>
        </w:rPr>
        <w:t xml:space="preserve"> pri 50 Pa, n</w:t>
      </w:r>
      <w:r>
        <w:rPr>
          <w:rFonts w:ascii="Calibri" w:hAnsi="Calibri"/>
          <w:sz w:val="22"/>
          <w:vertAlign w:val="subscript"/>
        </w:rPr>
        <w:t>50</w:t>
      </w:r>
      <w:r>
        <w:rPr>
          <w:rFonts w:ascii="Calibri" w:hAnsi="Calibri"/>
          <w:sz w:val="22"/>
        </w:rPr>
        <w:t xml:space="preserve">, s preskušanjem se izračuna v skladu z metodo 1 ali 2 iz standarda UNE-EN ISO 9972: 2019 </w:t>
      </w:r>
      <w:r>
        <w:rPr>
          <w:rFonts w:ascii="Calibri" w:hAnsi="Calibri"/>
          <w:i/>
          <w:sz w:val="22"/>
        </w:rPr>
        <w:t>Toplotne značilnosti stavb. Ugotavljanje prepustnosti za zrak obodnih konstrukcij. Metoda tlačne razlike z uporabo ventilatorja.“.</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ggg) V oddelku 2 razdelka H se besedilo: „[...] 2. Vrednost količnika spremembe zraka pri 50 Pa, n</w:t>
      </w:r>
      <w:r>
        <w:rPr>
          <w:rFonts w:ascii="Calibri" w:hAnsi="Calibri"/>
          <w:sz w:val="22"/>
          <w:vertAlign w:val="subscript"/>
        </w:rPr>
        <w:t>50</w:t>
      </w:r>
      <w:r>
        <w:rPr>
          <w:rFonts w:ascii="Calibri" w:hAnsi="Calibri"/>
          <w:sz w:val="22"/>
        </w:rPr>
        <w:t xml:space="preserve">, se lahko izračuna z uporabo naslednje enačbe:“ nadomesti z besedilom: „[...] 1. Vrednost </w:t>
      </w:r>
      <w:r>
        <w:rPr>
          <w:rFonts w:ascii="Calibri" w:hAnsi="Calibri"/>
          <w:i/>
          <w:iCs/>
          <w:sz w:val="22"/>
        </w:rPr>
        <w:t>količnika spremembe zraka</w:t>
      </w:r>
      <w:r>
        <w:rPr>
          <w:rFonts w:ascii="Calibri" w:hAnsi="Calibri"/>
          <w:sz w:val="22"/>
        </w:rPr>
        <w:t xml:space="preserve"> pri 50 Pa, n</w:t>
      </w:r>
      <w:r>
        <w:rPr>
          <w:rFonts w:ascii="Calibri" w:hAnsi="Calibri"/>
          <w:sz w:val="22"/>
          <w:vertAlign w:val="subscript"/>
        </w:rPr>
        <w:t>50</w:t>
      </w:r>
      <w:r>
        <w:rPr>
          <w:rFonts w:ascii="Calibri" w:hAnsi="Calibri"/>
          <w:sz w:val="22"/>
        </w:rPr>
        <w:t>, z referenčnimi vrednostmi se izračuna z naslednjo enačbo:“, besedilo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 se nadomesti z besedilom: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w:t>
      </w:r>
      <w:r>
        <w:rPr>
          <w:rFonts w:ascii="Calibri" w:hAnsi="Calibri"/>
          <w:sz w:val="22"/>
          <w:vertAlign w:val="subscript"/>
        </w:rPr>
        <w:t>int</w:t>
      </w:r>
      <w:r>
        <w:rPr>
          <w:rFonts w:ascii="Calibri" w:hAnsi="Calibri"/>
          <w:sz w:val="22"/>
        </w:rPr>
        <w:t>“, besedilo: „V je notranja prostornina toplotnega ovoja v [m</w:t>
      </w:r>
      <w:r>
        <w:rPr>
          <w:rFonts w:ascii="Calibri" w:hAnsi="Calibri"/>
          <w:sz w:val="22"/>
          <w:vertAlign w:val="superscript"/>
        </w:rPr>
        <w:t>3</w:t>
      </w:r>
      <w:r>
        <w:rPr>
          <w:rFonts w:ascii="Calibri" w:hAnsi="Calibri"/>
          <w:sz w:val="22"/>
        </w:rPr>
        <w:t>]“ se nadomesti z besedilom „V</w:t>
      </w:r>
      <w:r>
        <w:rPr>
          <w:rFonts w:ascii="Calibri" w:hAnsi="Calibri"/>
          <w:sz w:val="22"/>
          <w:vertAlign w:val="subscript"/>
        </w:rPr>
        <w:t>int</w:t>
      </w:r>
      <w:r>
        <w:rPr>
          <w:rFonts w:ascii="Calibri" w:hAnsi="Calibri"/>
          <w:sz w:val="22"/>
        </w:rPr>
        <w:t xml:space="preserve"> je notranja prostornina zraka </w:t>
      </w:r>
      <w:r>
        <w:rPr>
          <w:rFonts w:ascii="Calibri" w:hAnsi="Calibri"/>
          <w:i/>
          <w:iCs/>
          <w:sz w:val="22"/>
        </w:rPr>
        <w:t>toplotnega ovoja</w:t>
      </w:r>
      <w:r>
        <w:rPr>
          <w:rFonts w:ascii="Calibri" w:hAnsi="Calibri"/>
          <w:sz w:val="22"/>
        </w:rPr>
        <w:t xml:space="preserve"> v [m</w:t>
      </w:r>
      <w:r>
        <w:rPr>
          <w:rFonts w:ascii="Calibri" w:hAnsi="Calibri"/>
          <w:sz w:val="22"/>
          <w:vertAlign w:val="superscript"/>
        </w:rPr>
        <w:t>3</w:t>
      </w:r>
      <w:r>
        <w:rPr>
          <w:rFonts w:ascii="Calibri" w:hAnsi="Calibri"/>
          <w:sz w:val="22"/>
        </w:rPr>
        <w:t>]“, besedilo „A</w:t>
      </w:r>
      <w:r>
        <w:rPr>
          <w:rFonts w:ascii="Calibri" w:hAnsi="Calibri"/>
          <w:sz w:val="22"/>
          <w:vertAlign w:val="subscript"/>
        </w:rPr>
        <w:t>o</w:t>
      </w:r>
      <w:r>
        <w:rPr>
          <w:rFonts w:ascii="Calibri" w:hAnsi="Calibri"/>
          <w:sz w:val="22"/>
        </w:rPr>
        <w:t xml:space="preserve"> je površina neprosojnega dela </w:t>
      </w:r>
      <w:r>
        <w:rPr>
          <w:rFonts w:ascii="Calibri" w:hAnsi="Calibri"/>
          <w:i/>
          <w:iCs/>
          <w:sz w:val="22"/>
        </w:rPr>
        <w:t>toplotnega ovoja</w:t>
      </w:r>
      <w:r>
        <w:rPr>
          <w:rFonts w:ascii="Calibri" w:hAnsi="Calibri"/>
          <w:sz w:val="22"/>
        </w:rPr>
        <w:t xml:space="preserve"> v [m</w:t>
      </w:r>
      <w:r>
        <w:rPr>
          <w:rFonts w:ascii="Calibri" w:hAnsi="Calibri"/>
          <w:sz w:val="22"/>
          <w:vertAlign w:val="superscript"/>
        </w:rPr>
        <w:t>2</w:t>
      </w:r>
      <w:r>
        <w:rPr>
          <w:rFonts w:ascii="Calibri" w:hAnsi="Calibri"/>
          <w:sz w:val="22"/>
        </w:rPr>
        <w:t>]“ pa se nadomesti z besedilom „A</w:t>
      </w:r>
      <w:r>
        <w:rPr>
          <w:rFonts w:ascii="Calibri" w:hAnsi="Calibri"/>
          <w:sz w:val="22"/>
          <w:vertAlign w:val="subscript"/>
        </w:rPr>
        <w:t>o</w:t>
      </w:r>
      <w:r>
        <w:rPr>
          <w:rFonts w:ascii="Calibri" w:hAnsi="Calibri"/>
          <w:sz w:val="22"/>
        </w:rPr>
        <w:t xml:space="preserve"> je površina neprosojnega dela </w:t>
      </w:r>
      <w:r>
        <w:rPr>
          <w:rFonts w:ascii="Calibri" w:hAnsi="Calibri"/>
          <w:i/>
          <w:iCs/>
          <w:sz w:val="22"/>
        </w:rPr>
        <w:t>toplotnega ovoja</w:t>
      </w:r>
      <w:r>
        <w:rPr>
          <w:rFonts w:ascii="Calibri" w:hAnsi="Calibri"/>
          <w:sz w:val="22"/>
        </w:rPr>
        <w:t xml:space="preserve"> v stiku z zunanjim zrakom pri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hhh) V Prilogi H se izraza „toplotni ovoj“ in „odprtine“ navedejo v poševnem tisku v opisu izrazov C</w:t>
      </w:r>
      <w:r>
        <w:rPr>
          <w:rFonts w:ascii="Calibri" w:hAnsi="Calibri"/>
          <w:sz w:val="22"/>
          <w:vertAlign w:val="subscript"/>
        </w:rPr>
        <w:t>o</w:t>
      </w:r>
      <w:r>
        <w:rPr>
          <w:rFonts w:ascii="Calibri" w:hAnsi="Calibri"/>
          <w:sz w:val="22"/>
        </w:rPr>
        <w:t>, C</w:t>
      </w:r>
      <w:r>
        <w:rPr>
          <w:rFonts w:ascii="Calibri" w:hAnsi="Calibri"/>
          <w:sz w:val="22"/>
          <w:vertAlign w:val="subscript"/>
        </w:rPr>
        <w:t>h</w:t>
      </w:r>
      <w:r>
        <w:rPr>
          <w:rFonts w:ascii="Calibri" w:hAnsi="Calibri"/>
          <w:sz w:val="22"/>
        </w:rPr>
        <w:t>, A</w:t>
      </w:r>
      <w:r>
        <w:rPr>
          <w:rFonts w:ascii="Calibri" w:hAnsi="Calibri"/>
          <w:sz w:val="22"/>
          <w:vertAlign w:val="subscript"/>
        </w:rPr>
        <w:t>h</w:t>
      </w:r>
      <w:r>
        <w:rPr>
          <w:rFonts w:ascii="Calibri" w:hAnsi="Calibri"/>
          <w:sz w:val="22"/>
        </w:rPr>
        <w:t xml:space="preserve"> in v preglednici a iz Priloge H.</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Četrtič.</w:t>
      </w:r>
      <w:r>
        <w:rPr>
          <w:rFonts w:ascii="Calibri" w:hAnsi="Calibri"/>
          <w:b/>
          <w:sz w:val="22"/>
        </w:rPr>
        <w:t xml:space="preserve"> </w:t>
      </w:r>
      <w:r>
        <w:rPr>
          <w:rFonts w:ascii="Calibri" w:hAnsi="Calibri"/>
          <w:sz w:val="22"/>
        </w:rPr>
        <w:t xml:space="preserve">Naslednja sprememba je uvedena v osnovni dokument DB-SUA „Varnost uporabe in dostopnost“, vključen v del II Tehničnega gradbenega zakonika: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lastRenderedPageBreak/>
        <w:t>V Prilogi A opredelitev „dostopnega parkirnega mesta“ vključuje vezaj z besedilom:</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V primeru, da ima </w:t>
      </w:r>
      <w:r>
        <w:rPr>
          <w:rFonts w:ascii="Calibri" w:hAnsi="Calibri"/>
          <w:i/>
          <w:iCs/>
          <w:sz w:val="22"/>
        </w:rPr>
        <w:t>dostopno parkirno mesto</w:t>
      </w:r>
      <w:r>
        <w:rPr>
          <w:rFonts w:ascii="Calibri" w:hAnsi="Calibri"/>
          <w:sz w:val="22"/>
        </w:rPr>
        <w:t xml:space="preserve"> električno polnilno postajo za vozila, mora biti tudi ta polnilna postaja vključena v </w:t>
      </w:r>
      <w:r>
        <w:rPr>
          <w:rFonts w:ascii="Calibri" w:hAnsi="Calibri"/>
          <w:i/>
          <w:iCs/>
          <w:sz w:val="22"/>
        </w:rPr>
        <w:t>dostopni itinerar</w:t>
      </w:r>
      <w:r>
        <w:rPr>
          <w:rFonts w:ascii="Calibri" w:hAnsi="Calibri"/>
          <w:sz w:val="22"/>
        </w:rPr>
        <w:t>. Vtičnice in priključki teh polnilnih postaj so v barvnem kontrastu z okolico, postavljeni so na višini med 80 in 120 cm, od robov pa morajo biti oddaljeni najmanj 35 cm.“</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Petič. V osnovni dokument DB-HS „Zdravje“ so vključene naslednje spremembe:</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a) V točki 2 pododdelka 3.2.2.1 razdelka HS 4 se besedilo „minimalni prispevek sončne energije k proizvodnji gospodinjske tople vode“ nadomesti z besedilom „minimalni prispevek energije iz obnovljivih virov k pokrivanju potreb po gospodinjski topli vodi“.</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 V pododdelku 6.2 razdelka 4 HS se besedilo „e) cevi iz polivinilklorida (PVC-C) v skladu s standardi UNE-EN ISO 15874-1:2013, UNE-EN ISO 15874-2:2013 in UNE-EN ISO 15874-3:2013;“ nadomesti z besedilom „e) polivinilkloridne (PVC-C) cevi v skladu s standardi UNE-EN ISO 15877-1:2009 (+ UNE-EN ISO 15877-1:2009/A1): 2011), UNE-EN ISO 15877-2:2009 (+ NE-EN ISO 15877-2:2009/A1: 2011) in UNE-EN ISO 15877-3:2009 (+ 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 V pododdelku 6.2 razdelka 4 HS se besedilo „h) cevi iz polibutilena (PB) v skladu s standardi UNE-EN ISO 15876-1:2017, UNE-EN ISO 15876-2:2017 in UNE-EN ISO 15876-3:2017;“ nadomesti z besedilom „f) cevi iz polibutena (PB) v skladu s standardi UNE-EN ISO 15876-1:2017, UNE-EN ISO 15876-2:2017 in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 V</w:t>
      </w:r>
      <w:r>
        <w:rPr>
          <w:rFonts w:ascii="Calibri" w:hAnsi="Calibri"/>
          <w:b/>
          <w:sz w:val="22"/>
        </w:rPr>
        <w:t xml:space="preserve"> </w:t>
      </w:r>
      <w:r>
        <w:rPr>
          <w:rFonts w:ascii="Calibri" w:hAnsi="Calibri"/>
          <w:sz w:val="22"/>
        </w:rPr>
        <w:t>Dodatku C razdelka HS 4 se besedilo: „Cevni sistemi iz polimernih materialov za napeljave z vročo in hladno vodo. Polibutilen (PB). 1. del: Splošno“ nadomesti z besedilom „Cevni sistemi iz polimernih materialov za napeljave z vročo in hladno vodo – Polibuten (PB) – 1. del:    Splošno“.</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e) V</w:t>
      </w:r>
      <w:r>
        <w:rPr>
          <w:rFonts w:ascii="Calibri" w:hAnsi="Calibri"/>
          <w:b/>
          <w:sz w:val="22"/>
        </w:rPr>
        <w:t xml:space="preserve"> </w:t>
      </w:r>
      <w:r>
        <w:rPr>
          <w:rFonts w:ascii="Calibri" w:hAnsi="Calibri"/>
          <w:sz w:val="22"/>
        </w:rPr>
        <w:t>Dodatku C razdelka HS 4 se besedilo: „Cevni sistemi iz polimernih materialov za napeljave z vročo in hladno vodo. Polibutilen (PB). 2. del: Cevi“ nadomesti z besedilom „Cevni sistemi iz polimernih materialov za napeljave z vročo in hladno vodo – Polibuten (PB) – 2. del:    Cevi“.</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f) V</w:t>
      </w:r>
      <w:r>
        <w:rPr>
          <w:rFonts w:ascii="Calibri" w:hAnsi="Calibri"/>
          <w:b/>
          <w:sz w:val="22"/>
        </w:rPr>
        <w:t xml:space="preserve"> </w:t>
      </w:r>
      <w:r>
        <w:rPr>
          <w:rFonts w:ascii="Calibri" w:hAnsi="Calibri"/>
          <w:sz w:val="22"/>
        </w:rPr>
        <w:t>Dodatku C razdelka HS 4 se besedilo: „Cevni sistemi iz polimernih materialov za napeljave z vročo in hladno vodo. Polibutilen (PB). 3. del: Fitingi“ nadomesti z besedilom „Cevni sistemi iz polimernih materialov za napeljave z vročo in hladno vodo – Polibuten (PB) – 3. del:    Fitingi.</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 V Dodatku C razdelka HS 4 se za sklicem na standard „UNE-EN ISO 15876-3: 2017</w:t>
      </w:r>
      <w:r>
        <w:rPr>
          <w:rFonts w:ascii="Calibri" w:hAnsi="Calibri"/>
          <w:sz w:val="22"/>
        </w:rPr>
        <w:tab/>
        <w:t>Cevni sistemi iz polimernih materialov za napeljave z vročo in hladno vodo – Polibuten (PB) – 3. del:   Fitingi“ vstavijo naslednji standardi:</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Cevni sistemi iz polimernih materialov za napeljave z vročo in hladno vodo – Klorirani polivinilklorid (PVC-C) – 1. del:  Splošno (+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Cevni sistemi iz polimernih materialov za napeljave z vročo in hladno vodo – Klorirani polivinilklorid (PVC-C) – 2. del:  Cevi. (+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UNE-EN ISO 15877-3:2009: Cevni sistemi iz polimernih materialov za napeljave z vročo in hladno vodo – Klorirani polivinilklorid (PVC-C) – 3. del:  Fitingi. (+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Prva prehodna določba. </w:t>
      </w:r>
      <w:r>
        <w:rPr>
          <w:rFonts w:ascii="Calibri" w:hAnsi="Calibri"/>
          <w:i/>
          <w:sz w:val="22"/>
        </w:rPr>
        <w:t>Stavbe, izvzete iz določb te kraljeve uredbe</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 xml:space="preserve">Spremembe Tehničnega gradbenega zakonika, sprejete s to kraljevo uredbo, se ne uporabljajo za nove stavbe in dela na obstoječih stavbah, v zvezi s katerimi je bila ob začetku veljavnosti te kraljeve uredbe že vložena vloga za izdajo občinskega dovoljenja za izvedbo del.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Ta dela se morajo začeti v obdobju veljavnosti navedenega dovoljenja v skladu z ustreznimi predpisi, če to ni mogoče, pa v šestih mesecih po izdaji navedenega dovoljenja. V nasprotnem primeru je treba projekte prilagoditi spremembam Tehničnega gradbenega zakonika, odobrenim s to kraljevo uredbo.</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Druga prehodna določba. </w:t>
      </w:r>
      <w:r>
        <w:rPr>
          <w:rFonts w:ascii="Calibri" w:hAnsi="Calibri"/>
          <w:i/>
          <w:sz w:val="22"/>
        </w:rPr>
        <w:t>Stavbe, v zvezi s katerimi je uporaba določb te kraljeve uredbe prostovoljna</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Spremembe Tehničnega gradbenega zakonika, sprejete s to kraljevo uredbo, se prostovoljno uporabljajo za nova gradbena dela in dela na obstoječih stavbah, v zvezi s katerimi se vloga za izdajo občinskega dovoljenja za izvedbo del vloži v šestih mesecih po začetku veljavnosti te kraljeve uredbe.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Ta dela se morajo začeti v obdobju veljavnosti navedenega dovoljenja v skladu z ustreznimi predpisi, če to ni mogoče, pa v šestih mesecih po izdaji navedenega dovoljenja. V nasprotnem primeru je treba projekte prilagoditi spremembam Tehničnega gradbenega zakonika, odobrenim s to kraljevo uredbo.</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Tretja prehodna določba. </w:t>
      </w:r>
      <w:r>
        <w:rPr>
          <w:rFonts w:ascii="Calibri" w:hAnsi="Calibri"/>
          <w:i/>
          <w:sz w:val="22"/>
        </w:rPr>
        <w:t>Stavbe, v zvezi s katerimi je uporaba določb te kraljeve uredbe obvezna</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Uporaba sprememb Tehničnega gradbenega zakonika, sprejetih s to kraljevo uredbo, je obvezna za nove stavbe in dela na obstoječih stavbah, v zvezi s katerimi se vloga za izdajo občinskega dovoljenja za izvedbo del vloži po več kot devetih mesecih od začetka veljavnosti te uredbe.</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Prva končna določba. </w:t>
      </w:r>
      <w:r>
        <w:rPr>
          <w:rFonts w:ascii="Calibri" w:hAnsi="Calibri"/>
          <w:i/>
          <w:sz w:val="22"/>
        </w:rPr>
        <w:t>Sprememba kraljeve uredbe št. 1053/2014 z dne 12. decembra 2014 o odobritvi novega dopolnilnega tehničnega navodila BT 52 – Naprave za posebne namene. Infrastruktura za polnjenje električnih vozil – Pravilnika o nizkonapetostnih elektrotehničnih napravah, odobrenega s Kraljevo uredbo št. 842/2002 z dne 2. avgusta 2002, in spremembah drugih dopolnilnih tehničnih navodil</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Kraljeva uredba št. 1053/2014 z dne 12. decembra 2014 o odobritvi novega dopolnilnega tehničnega navodila BT 52 „Naprave za posebne namene. Infrastruktura za polnjenje električnih vozil“ Pravilnika o nizkonapetostnih elektrotehničnih napravah, odobrenega s Kraljevo uredbo št. 842/2002 z dne 2. avgusta 2002, in druge dopolnilne tehnična navodila se spremenijo, kot sledi: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Prvič. Prva dodatna določba se spremeni in se glasi:</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„Prva dodatna določba. Minimalne strukturne zmogljivosti za polnjenje električnih vozil na parkiriščih, ki niso povezana s stavbami ter so novozgrajena ali predmet večje prenove, ter na javnih cestah</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Na novozgrajenih parkiriščih ali parkiriščih v postopku večje prenove, ki se ne nahajajo v stavbi in ne mejijo nanjo ter zato ne spadajo na področje uporabe osnovnega dokumenta o varčevanju z energijo (DB HE) Tehničnega gradbenega zakonika, je treba namestiti vsaj eno polnilno postajo na vsakih 40 parkirnih mest ali njihovih delov. Šteje se, da je parkirišče novozgrajeno, če se gradbeni projekt predloži v obdelavo pristojni javni upravi po začetku veljavnosti te kraljeve uredbe.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2. Na javnih cestah je treba namestiti potrebne naprave za napajanje polnilnih postaj na mestih, ki so namenjena električnim vozilom in predvidena v nadobčinskih ali občinskih načrtih trajnostne mobilnosti.“</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Drugič. Oddelek 3.2 dopolnilnega tehničnega navodila BT-52 se spremeni in se glasi:</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Namestitev na parkiriščih ali skupnih parkirnih mestih, ki mejijo na stavbe ali stavbne komplekse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Električne naprave za polnjenje </w:t>
      </w:r>
      <w:r>
        <w:rPr>
          <w:rFonts w:ascii="Calibri" w:hAnsi="Calibri"/>
          <w:color w:val="000000"/>
          <w:sz w:val="22"/>
        </w:rPr>
        <w:t>električnih vozil</w:t>
      </w:r>
      <w:r>
        <w:rPr>
          <w:rFonts w:ascii="Calibri" w:hAnsi="Calibri"/>
          <w:sz w:val="22"/>
        </w:rPr>
        <w:t>, ki se nahajajo na parkiriščih ali parkirnih mestih v stavbah ali stanovanjskih naseljih ali mejijo nanje, morajo biti v skladu z eno od shem, opisanih zgoraj.</w:t>
      </w:r>
      <w:r>
        <w:rPr>
          <w:rFonts w:ascii="Calibri" w:hAnsi="Calibri"/>
          <w:color w:val="000000"/>
          <w:sz w:val="22"/>
        </w:rPr>
        <w:t xml:space="preserve"> </w:t>
      </w:r>
      <w:r>
        <w:rPr>
          <w:rFonts w:ascii="Calibri" w:hAnsi="Calibri"/>
          <w:sz w:val="22"/>
        </w:rPr>
        <w:t>V isti stavbi se lahko uporabljajo različne sheme, če so izpolnjene vse zahteve iz tega dopolnilnega tehničnega navodila BT-52.</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V primeru sheme 4a mora napajalni tokokrog izpolnjevati vse namestitvene pogoje, opisane v dopolnilnem tehničnem navodilu BT-15, pri čemer je treba uporabiti kable in prevodne sisteme enakih vrst in značilnosti kot v primeru posameznega obvoda, presek kablov pa je treba izračunati v skladu s splošnimi zahtevami oddelka 5 tega dopolnilnega tehničnega navodila. Za določitev premera ali prečnih mer prevodnega sistema, ki se bo uporabljal, ni treba predvideti povečanja preseka kablov.</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Shema 4b se uporabi, če je napajalni sistem polnilnih postaj zasnovan kot sestavni del ali dodaten element električne napeljave, ki oskrbuje splošne funkcije garaž.</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V primeru obstoječih in novih naprav se lahko z namenom olajšanja uporabe izbrane električne sheme plošče s splošno zaščito in drugimi napravami za polnjenje električnih vozil namestijo v prostorih, predvidenih za ta namen, ali v skupnih prostorih.</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Predhodna električna napeljava za polnjenje električnih vozil na parkiriščih, ki se nahajajo v stavbah ali stavbnih kompleksih ali mejijo nanje, olajša poznejšo uporabo zadevne namestitvene sheme. To vključuje naslednje elemente: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 namestitev kabelskih prevodnih sistemov iz merilne omarice in po glavnih cestah parkirišč, da bi lahko pozneje napajali polnilne postaje, ki se lahko namestijo na posameznih parkirnih mestih ali parkiriščih. Če je predhodna napeljava načrtovana za vsa parkirna mesta, morajo kabelski prevodni sistemi doseči vsako mesto. Če predhodna napeljava ni načrtovana za vsa parkirna mesta, se opredelijo mesta, ki izpolnjujejo predpise o kabelskih prevodnih sistemih, ti sistemi pa se napeljejo do vsakega od opredeljenih mest.</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 Dimenzije merilne omarice se določijo v skladu z električnim sistemom, izbranim za polnjenje električnega vozila, in v skladu z dopolnilnim tehničnim navodilom BT-16. Rezervni moduli se namestijo za najmanj 20 % garažnih prostorov, ki niso povezani s stanovanjem; v primeru, da so vsi prostori povezani s stanovanji, se namesti vsaj en rezervni modul. Ti rezervni moduli morajo omogočati namestitev glavnega števca in naprav za nadtokovno zaščito, povezanih s števcem, bodisi z varovalkami bodisi z odklopniki.</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Vtičnice ali priključki, nameščeni na polnilni postaji, ter njeni avtomatski zaščitni odklopniki morajo ustrezati eni od možnosti iz oddelka 5.4.“</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Tretjič. Prvi pododstavek oddelka 5.4 dodatnega tehničnega navodila BT-52 se spremeni in se glasi:</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Priključna točka. </w:t>
      </w:r>
      <w:bookmarkStart w:id="26" w:name="_Hlk81468651"/>
      <w:r>
        <w:rPr>
          <w:rFonts w:ascii="Calibri" w:hAnsi="Calibri"/>
          <w:sz w:val="22"/>
        </w:rPr>
        <w:t xml:space="preserve">Priključna točka se mora nahajati ob mestu, ki se oskrbuje, in biti trajno nameščena v ohišju.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Vtičnice in priključke je treba namestiti najmanj 60 cm nad tlemi. </w:t>
      </w:r>
      <w:bookmarkStart w:id="27" w:name="_Hlk81468224"/>
      <w:r>
        <w:rPr>
          <w:rFonts w:ascii="Calibri" w:hAnsi="Calibri"/>
          <w:sz w:val="22"/>
        </w:rPr>
        <w:t>Če je polnilna postaja namenjena javni uporabi, je največja višina 120 cm. Na dostopnih parkirnih mestih morajo biti vtičnice in priključki v barvnem kontrastu z okolico, namestiti jih je treba na višini med 80 in 120 cm, od robov pa morajo biti oddaljeni 35 cm.“</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Druga končna določba. </w:t>
      </w:r>
      <w:r>
        <w:rPr>
          <w:rFonts w:ascii="Calibri" w:hAnsi="Calibri"/>
          <w:i/>
          <w:sz w:val="22"/>
        </w:rPr>
        <w:t>Prenos zakonodaje Evropske unije</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S to kraljevo uredbo so bili v špansko zakonodajo preneseni členi 8.2, 8.4, 8.5 in 8.6 Direktive 2010/31/EU Evropskega parlamenta in Sveta o energetski učinkovitosti stavb, kakor je bila spremenjena z Direktivo (EU) 2018/844 Evropskega parlamenta in Sveta z dne 30. maja 2018 o spremembi Direktive 2010/31/EU</w:t>
      </w:r>
      <w:r>
        <w:t xml:space="preserve"> </w:t>
      </w:r>
      <w:bookmarkStart w:id="28" w:name="_Hlk92814279"/>
      <w:r>
        <w:rPr>
          <w:rFonts w:ascii="Calibri" w:hAnsi="Calibri"/>
          <w:sz w:val="22"/>
        </w:rPr>
        <w:t>o energetski učinkovitosti stavb</w:t>
      </w:r>
      <w:bookmarkEnd w:id="28"/>
      <w:r>
        <w:t xml:space="preserve"> </w:t>
      </w:r>
      <w:r>
        <w:rPr>
          <w:rFonts w:ascii="Calibri" w:hAnsi="Calibri"/>
          <w:sz w:val="22"/>
        </w:rPr>
        <w:t>in Direktive 2012/27/EU o energetski učinkovitosti.</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Tretja končna določba. </w:t>
      </w:r>
      <w:r>
        <w:rPr>
          <w:rFonts w:ascii="Calibri" w:hAnsi="Calibri"/>
          <w:i/>
          <w:sz w:val="22"/>
        </w:rPr>
        <w:t>Začetek veljavnosti</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Ta kraljeva uredba začne veljati dan po objavi v Uradnem listu.</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PREDLOŽITI SVETU MINISTROV</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Madrid, dne [...] 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MINISTRICA ZA PROMET, MOBILNOST IN AGENDO ZA MESTA</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Raquel Sánchez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TRETJA NAMESTNICA PREDSEDNIKA VLADE IN MINISTRICA ZA EKOLOŠKI PREHOD IN DEMOGRAFSKE IZZIVE</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Teresa Ribera Rodríguez</w:t>
            </w:r>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7812" w14:textId="77777777" w:rsidR="00B66224" w:rsidRDefault="00B66224">
      <w:r>
        <w:separator/>
      </w:r>
    </w:p>
  </w:endnote>
  <w:endnote w:type="continuationSeparator" w:id="0">
    <w:p w14:paraId="4AA04B9F" w14:textId="77777777" w:rsidR="00B66224" w:rsidRDefault="00B6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3CD1" w14:textId="77777777" w:rsidR="00B66224" w:rsidRDefault="00B66224">
      <w:r>
        <w:separator/>
      </w:r>
    </w:p>
  </w:footnote>
  <w:footnote w:type="continuationSeparator" w:id="0">
    <w:p w14:paraId="55093CB0" w14:textId="77777777" w:rsidR="00B66224" w:rsidRDefault="00B66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80790"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7" w:type="dxa"/>
      <w:jc w:val="center"/>
      <w:tblLayout w:type="fixed"/>
      <w:tblCellMar>
        <w:left w:w="70" w:type="dxa"/>
        <w:right w:w="70" w:type="dxa"/>
      </w:tblCellMar>
      <w:tblLook w:val="0000" w:firstRow="0" w:lastRow="0" w:firstColumn="0" w:lastColumn="0" w:noHBand="0" w:noVBand="0"/>
    </w:tblPr>
    <w:tblGrid>
      <w:gridCol w:w="1357"/>
      <w:gridCol w:w="3728"/>
      <w:gridCol w:w="2020"/>
      <w:gridCol w:w="3772"/>
    </w:tblGrid>
    <w:tr w:rsidR="00546D77" w14:paraId="1E577442" w14:textId="77777777" w:rsidTr="00546D77">
      <w:trPr>
        <w:cantSplit/>
        <w:trHeight w:val="427"/>
        <w:jc w:val="center"/>
      </w:trPr>
      <w:tc>
        <w:tcPr>
          <w:tcW w:w="1357"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95pt;height:59.45pt" fillcolor="window">
                <v:imagedata r:id="rId1" o:title=""/>
              </v:shape>
              <o:OLEObject Type="Embed" ProgID="Word.Picture.8" ShapeID="_x0000_i1026" DrawAspect="Content" ObjectID="_1724480791" r:id="rId2"/>
            </w:object>
          </w:r>
        </w:p>
      </w:tc>
      <w:tc>
        <w:tcPr>
          <w:tcW w:w="3728"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MINISTRSTVO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ZA PROMET, MOBILNOST IN AGENDO ZA MESTA</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MINISTRSTVO ZA EKOLOŠKI PREHOD IN DEMOGRAFSKI IZZIV</w:t>
          </w:r>
        </w:p>
      </w:tc>
      <w:tc>
        <w:tcPr>
          <w:tcW w:w="2020"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546D77">
      <w:trPr>
        <w:cantSplit/>
        <w:trHeight w:hRule="exact" w:val="100"/>
        <w:jc w:val="center"/>
      </w:trPr>
      <w:tc>
        <w:tcPr>
          <w:tcW w:w="1357" w:type="dxa"/>
          <w:vMerge/>
        </w:tcPr>
        <w:p w14:paraId="1C13B7EF" w14:textId="77777777" w:rsidR="00546D77" w:rsidRDefault="00546D77">
          <w:pPr>
            <w:pStyle w:val="Header"/>
            <w:tabs>
              <w:tab w:val="clear" w:pos="4252"/>
              <w:tab w:val="clear" w:pos="8504"/>
            </w:tabs>
            <w:ind w:left="-41" w:right="1176"/>
          </w:pPr>
        </w:p>
      </w:tc>
      <w:tc>
        <w:tcPr>
          <w:tcW w:w="3728"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546D77">
      <w:trPr>
        <w:cantSplit/>
        <w:trHeight w:hRule="exact" w:val="427"/>
        <w:jc w:val="center"/>
      </w:trPr>
      <w:tc>
        <w:tcPr>
          <w:tcW w:w="1357" w:type="dxa"/>
          <w:vMerge/>
        </w:tcPr>
        <w:p w14:paraId="6B5B66CA" w14:textId="77777777" w:rsidR="00546D77" w:rsidRDefault="00546D77">
          <w:pPr>
            <w:pStyle w:val="Header"/>
            <w:tabs>
              <w:tab w:val="clear" w:pos="4252"/>
              <w:tab w:val="clear" w:pos="8504"/>
            </w:tabs>
            <w:ind w:left="-41" w:right="1176"/>
          </w:pPr>
        </w:p>
      </w:tc>
      <w:tc>
        <w:tcPr>
          <w:tcW w:w="3728"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REF.:</w:t>
          </w:r>
        </w:p>
      </w:tc>
    </w:tr>
    <w:tr w:rsidR="00546D77" w14:paraId="245FEC80" w14:textId="77777777" w:rsidTr="00546D77">
      <w:trPr>
        <w:cantSplit/>
        <w:trHeight w:hRule="exact" w:val="600"/>
        <w:jc w:val="center"/>
      </w:trPr>
      <w:tc>
        <w:tcPr>
          <w:tcW w:w="1357" w:type="dxa"/>
          <w:vMerge/>
        </w:tcPr>
        <w:p w14:paraId="28B5929C" w14:textId="77777777" w:rsidR="00546D77" w:rsidRDefault="00546D77">
          <w:pPr>
            <w:pStyle w:val="Header"/>
            <w:tabs>
              <w:tab w:val="clear" w:pos="4252"/>
              <w:tab w:val="clear" w:pos="8504"/>
            </w:tabs>
            <w:ind w:left="-41" w:right="1176"/>
          </w:pPr>
        </w:p>
      </w:tc>
      <w:tc>
        <w:tcPr>
          <w:tcW w:w="3728"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REF. 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F7365"/>
    <w:rsid w:val="002B64A6"/>
    <w:rsid w:val="004D344F"/>
    <w:rsid w:val="00513973"/>
    <w:rsid w:val="00546D77"/>
    <w:rsid w:val="00717198"/>
    <w:rsid w:val="007C6042"/>
    <w:rsid w:val="008577E8"/>
    <w:rsid w:val="008D3E08"/>
    <w:rsid w:val="00991C0F"/>
    <w:rsid w:val="009B305A"/>
    <w:rsid w:val="00B00277"/>
    <w:rsid w:val="00B369EC"/>
    <w:rsid w:val="00B66224"/>
    <w:rsid w:val="00BC3417"/>
    <w:rsid w:val="00BD54D4"/>
    <w:rsid w:val="00C93CCC"/>
    <w:rsid w:val="00CE0018"/>
    <w:rsid w:val="00D60A1D"/>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sl-SI"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1</TotalTime>
  <Pages>16</Pages>
  <Words>7051</Words>
  <Characters>40828</Characters>
  <Application>Microsoft Office Word</Application>
  <DocSecurity>0</DocSecurity>
  <Lines>591</Lines>
  <Paragraphs>286</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47593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2022-09-12T07:40:00Z</dcterms:created>
  <dcterms:modified xsi:type="dcterms:W3CDTF">2022-09-12T07:40:00Z</dcterms:modified>
</cp:coreProperties>
</file>