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1428AA" w14:paraId="58F7213C" w14:textId="77777777" w:rsidTr="00A857F7">
        <w:trPr>
          <w:cantSplit/>
        </w:trPr>
        <w:tc>
          <w:tcPr>
            <w:tcW w:w="4338" w:type="dxa"/>
            <w:gridSpan w:val="3"/>
            <w:shd w:val="clear" w:color="auto" w:fill="FFFFFF"/>
            <w:hideMark/>
          </w:tcPr>
          <w:p w14:paraId="091A81ED" w14:textId="77777777" w:rsidR="00A857F7" w:rsidRPr="001428AA" w:rsidRDefault="00A857F7" w:rsidP="00A857F7">
            <w:pPr>
              <w:suppressAutoHyphens w:val="0"/>
              <w:spacing w:line="276" w:lineRule="auto"/>
              <w:jc w:val="center"/>
              <w:rPr>
                <w:b/>
                <w:bCs/>
                <w:color w:val="auto"/>
                <w:szCs w:val="20"/>
              </w:rPr>
            </w:pPr>
            <w:r w:rsidRPr="001428AA">
              <w:rPr>
                <w:b/>
                <w:color w:val="auto"/>
              </w:rPr>
              <w:t>DEN FRANSKE REPUBLIK</w:t>
            </w:r>
          </w:p>
        </w:tc>
      </w:tr>
      <w:tr w:rsidR="00A857F7" w:rsidRPr="001428AA" w14:paraId="2F616D12" w14:textId="77777777" w:rsidTr="00A857F7">
        <w:trPr>
          <w:cantSplit/>
          <w:trHeight w:hRule="exact" w:val="113"/>
        </w:trPr>
        <w:tc>
          <w:tcPr>
            <w:tcW w:w="1526" w:type="dxa"/>
            <w:shd w:val="clear" w:color="auto" w:fill="FFFFFF"/>
          </w:tcPr>
          <w:p w14:paraId="1BC2E738" w14:textId="77777777" w:rsidR="00A857F7" w:rsidRPr="001428AA"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F2D22D1" w14:textId="77777777" w:rsidR="00A857F7" w:rsidRPr="001428AA"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219D6CBE" w14:textId="77777777" w:rsidR="00A857F7" w:rsidRPr="001428AA"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1428AA" w14:paraId="643970B4" w14:textId="77777777" w:rsidTr="00A857F7">
        <w:trPr>
          <w:cantSplit/>
        </w:trPr>
        <w:tc>
          <w:tcPr>
            <w:tcW w:w="4338" w:type="dxa"/>
            <w:gridSpan w:val="3"/>
            <w:shd w:val="clear" w:color="auto" w:fill="FFFFFF"/>
            <w:hideMark/>
          </w:tcPr>
          <w:p w14:paraId="47A22048" w14:textId="77777777" w:rsidR="00A857F7" w:rsidRPr="001428AA" w:rsidRDefault="00A857F7" w:rsidP="00A857F7">
            <w:pPr>
              <w:widowControl w:val="0"/>
              <w:snapToGrid w:val="0"/>
              <w:spacing w:before="120" w:line="276" w:lineRule="auto"/>
              <w:ind w:hanging="57"/>
              <w:jc w:val="center"/>
              <w:rPr>
                <w:rFonts w:eastAsia="Lucida Sans Unicode"/>
                <w:color w:val="auto"/>
              </w:rPr>
            </w:pPr>
            <w:r w:rsidRPr="001428AA">
              <w:rPr>
                <w:color w:val="auto"/>
              </w:rPr>
              <w:t>Ministeriet for økologisk omstilling</w:t>
            </w:r>
          </w:p>
          <w:p w14:paraId="47676278" w14:textId="08532887" w:rsidR="00A857F7" w:rsidRPr="001428AA" w:rsidRDefault="00A857F7" w:rsidP="00972079">
            <w:pPr>
              <w:widowControl w:val="0"/>
              <w:snapToGrid w:val="0"/>
              <w:spacing w:before="120" w:line="276" w:lineRule="auto"/>
              <w:ind w:hanging="57"/>
              <w:jc w:val="center"/>
              <w:rPr>
                <w:rFonts w:eastAsia="Lucida Sans Unicode"/>
                <w:color w:val="auto"/>
              </w:rPr>
            </w:pPr>
            <w:r w:rsidRPr="001428AA">
              <w:rPr>
                <w:color w:val="auto"/>
              </w:rPr>
              <w:t>Ministeriet for solidaritet og sundhed</w:t>
            </w:r>
          </w:p>
        </w:tc>
      </w:tr>
      <w:tr w:rsidR="00A857F7" w:rsidRPr="001428AA" w14:paraId="0D1C3E98" w14:textId="77777777" w:rsidTr="00A857F7">
        <w:trPr>
          <w:cantSplit/>
          <w:trHeight w:hRule="exact" w:val="227"/>
        </w:trPr>
        <w:tc>
          <w:tcPr>
            <w:tcW w:w="1526" w:type="dxa"/>
            <w:shd w:val="clear" w:color="auto" w:fill="FFFFFF"/>
          </w:tcPr>
          <w:p w14:paraId="0AA5A4CD" w14:textId="77777777" w:rsidR="00A857F7" w:rsidRPr="001428AA"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0FB0062C" w14:textId="77777777" w:rsidR="00A857F7" w:rsidRPr="001428AA"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EE97436" w14:textId="77777777" w:rsidR="00A857F7" w:rsidRPr="001428AA"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1428AA" w14:paraId="38F1C3CC" w14:textId="77777777" w:rsidTr="00A857F7">
        <w:trPr>
          <w:cantSplit/>
          <w:trHeight w:hRule="exact" w:val="227"/>
        </w:trPr>
        <w:tc>
          <w:tcPr>
            <w:tcW w:w="1526" w:type="dxa"/>
            <w:shd w:val="clear" w:color="auto" w:fill="FFFFFF"/>
          </w:tcPr>
          <w:p w14:paraId="0F9A142E" w14:textId="77777777" w:rsidR="00A857F7" w:rsidRPr="001428AA"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2504DCB7" w14:textId="77777777" w:rsidR="00A857F7" w:rsidRPr="001428AA"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46940E34" w14:textId="77777777" w:rsidR="00A857F7" w:rsidRPr="001428AA" w:rsidRDefault="00A857F7" w:rsidP="00A857F7">
            <w:pPr>
              <w:suppressAutoHyphens w:val="0"/>
              <w:spacing w:after="160" w:line="256" w:lineRule="auto"/>
              <w:rPr>
                <w:rFonts w:ascii="Calibri" w:eastAsia="Calibri" w:hAnsi="Calibri"/>
                <w:color w:val="auto"/>
                <w:sz w:val="22"/>
                <w:szCs w:val="22"/>
                <w:lang w:eastAsia="en-US"/>
              </w:rPr>
            </w:pPr>
          </w:p>
        </w:tc>
      </w:tr>
    </w:tbl>
    <w:p w14:paraId="17EA9DD1" w14:textId="289D73EA" w:rsidR="008347CD" w:rsidRPr="001428AA" w:rsidRDefault="006D6666">
      <w:pPr>
        <w:pStyle w:val="SNNature"/>
      </w:pPr>
      <w:r w:rsidRPr="001428AA">
        <w:t xml:space="preserve">Udkast til bekendtgørelse </w:t>
      </w:r>
      <w:r w:rsidRPr="001428AA">
        <w:rPr>
          <w:rStyle w:val="SNDateSignature"/>
        </w:rPr>
        <w:t xml:space="preserve">af </w:t>
      </w:r>
    </w:p>
    <w:p w14:paraId="1EB51F43" w14:textId="190FE6AE" w:rsidR="008347CD" w:rsidRPr="001428AA" w:rsidRDefault="00A857F7">
      <w:pPr>
        <w:pStyle w:val="SNObjet"/>
        <w:jc w:val="center"/>
      </w:pPr>
      <w:r w:rsidRPr="001428AA">
        <w:t>om listen over stoffer med hormonforstyrrende egenskaber, der er omhandlet i artikel L. 5232-5, I og II, i lov om offentlig sundhed, og de kategorier af produkter, der udgør en særlig risiko for eksponering, jf. artikel L. 5232-5 i lov om offentlig sundhed</w:t>
      </w:r>
    </w:p>
    <w:p w14:paraId="478A9991" w14:textId="77777777" w:rsidR="00A857F7" w:rsidRPr="001428AA" w:rsidRDefault="00A857F7">
      <w:pPr>
        <w:pStyle w:val="SNObjet"/>
        <w:jc w:val="center"/>
        <w:rPr>
          <w:b w:val="0"/>
        </w:rPr>
      </w:pPr>
    </w:p>
    <w:p w14:paraId="4B5AF825" w14:textId="694CEF70" w:rsidR="008347CD" w:rsidRPr="001428AA" w:rsidRDefault="00C46B5B">
      <w:pPr>
        <w:pStyle w:val="SNObjet"/>
        <w:jc w:val="center"/>
      </w:pPr>
      <w:r w:rsidRPr="001428AA">
        <w:rPr>
          <w:b w:val="0"/>
        </w:rPr>
        <w:t xml:space="preserve">NOR: </w:t>
      </w:r>
    </w:p>
    <w:p w14:paraId="7BEE793B" w14:textId="1BACFF04" w:rsidR="008347CD" w:rsidRPr="001428AA" w:rsidRDefault="00C46B5B">
      <w:pPr>
        <w:spacing w:before="720" w:after="120"/>
        <w:jc w:val="both"/>
      </w:pPr>
      <w:r w:rsidRPr="001428AA">
        <w:rPr>
          <w:b/>
          <w:i/>
        </w:rPr>
        <w:t>Berørte personer:</w:t>
      </w:r>
      <w:r w:rsidRPr="001428AA">
        <w:rPr>
          <w:i/>
        </w:rPr>
        <w:t xml:space="preserve"> Enhver person, der markedsfører produkter til forbrugere, som ved afslutningen af deres fremstilling indeholder stoffer, som det franske nationale sundhedsagentur på arbejdspladsen (ANSES) kvalificerer som havende verificeret, formodet eller mistænkt hormonforstyrrende egenskaber</w:t>
      </w:r>
    </w:p>
    <w:p w14:paraId="63145422" w14:textId="56CADA03" w:rsidR="00026E60" w:rsidRPr="001428AA" w:rsidRDefault="00C46B5B" w:rsidP="003A3003">
      <w:pPr>
        <w:spacing w:before="120" w:after="200"/>
        <w:jc w:val="both"/>
        <w:rPr>
          <w:bCs/>
          <w:i/>
          <w:iCs/>
        </w:rPr>
      </w:pPr>
      <w:r w:rsidRPr="001428AA">
        <w:rPr>
          <w:b/>
          <w:i/>
        </w:rPr>
        <w:t>Formål:</w:t>
      </w:r>
      <w:r w:rsidRPr="001428AA">
        <w:rPr>
          <w:i/>
        </w:rPr>
        <w:t xml:space="preserve"> I denne bekendtgørelse anføres følgende:</w:t>
      </w:r>
    </w:p>
    <w:p w14:paraId="72CB79D9" w14:textId="554B37C4" w:rsidR="00026E60" w:rsidRPr="001428AA" w:rsidRDefault="00026E60" w:rsidP="00026E60">
      <w:pPr>
        <w:pStyle w:val="ListParagraph"/>
        <w:numPr>
          <w:ilvl w:val="0"/>
          <w:numId w:val="4"/>
        </w:numPr>
        <w:spacing w:before="120" w:after="200"/>
        <w:jc w:val="both"/>
        <w:rPr>
          <w:i/>
        </w:rPr>
      </w:pPr>
      <w:r w:rsidRPr="001428AA">
        <w:rPr>
          <w:i/>
        </w:rPr>
        <w:t>stoffer med hormonforstyrrende egenskaber, der er klassificeret som verificerede og formodede som omhandlet i artikel L. 5232-5 i lov om offentlig sundhed, herunder oplysninger om tilstedeværelsen i de produkter, der er omhandlet i artikel R. 5232-19 i lov om offentlig sundhed, skal gøres tilgængelige for offentligheden af de personer, der markedsfører dem</w:t>
      </w:r>
    </w:p>
    <w:p w14:paraId="1EEAFD30" w14:textId="650B2653" w:rsidR="00026E60" w:rsidRPr="001428AA" w:rsidRDefault="00026E60" w:rsidP="00026E60">
      <w:pPr>
        <w:pStyle w:val="ListParagraph"/>
        <w:numPr>
          <w:ilvl w:val="0"/>
          <w:numId w:val="4"/>
        </w:numPr>
        <w:jc w:val="both"/>
        <w:rPr>
          <w:bCs/>
          <w:i/>
          <w:iCs/>
        </w:rPr>
      </w:pPr>
      <w:r w:rsidRPr="001428AA">
        <w:rPr>
          <w:i/>
        </w:rPr>
        <w:t>stoffer med hormonforstyrrende egenskaber, der er klassificeret som mistænkte, jf. artikel L. 5232-5 II i lov om offentlig sundhed</w:t>
      </w:r>
    </w:p>
    <w:p w14:paraId="6E3CD793" w14:textId="6D0420B6" w:rsidR="00026E60" w:rsidRPr="001428AA" w:rsidRDefault="00026E60" w:rsidP="00026E60">
      <w:pPr>
        <w:pStyle w:val="ListParagraph"/>
        <w:numPr>
          <w:ilvl w:val="0"/>
          <w:numId w:val="4"/>
        </w:numPr>
        <w:jc w:val="both"/>
        <w:rPr>
          <w:bCs/>
          <w:i/>
          <w:iCs/>
        </w:rPr>
      </w:pPr>
      <w:r w:rsidRPr="001428AA">
        <w:rPr>
          <w:i/>
        </w:rPr>
        <w:t>kategorier af produkter med en særlig risiko for eksponering, for hvilke forpligtelsen til at give oplysninger om tilstedeværelsen af hormonforstyrrende stoffer, der er klassificeret som mistænkte, finder anvendelse.</w:t>
      </w:r>
      <w:bookmarkStart w:id="0" w:name="move773304541"/>
      <w:bookmarkEnd w:id="0"/>
    </w:p>
    <w:p w14:paraId="5470BC4F" w14:textId="72315F6A" w:rsidR="008347CD" w:rsidRPr="001428AA" w:rsidRDefault="00C46B5B">
      <w:pPr>
        <w:spacing w:before="120" w:after="120"/>
        <w:jc w:val="both"/>
      </w:pPr>
      <w:r w:rsidRPr="001428AA">
        <w:rPr>
          <w:b/>
          <w:bCs/>
          <w:i/>
        </w:rPr>
        <w:t>Ikrafttrædelse:</w:t>
      </w:r>
      <w:r w:rsidRPr="001428AA">
        <w:rPr>
          <w:i/>
        </w:rPr>
        <w:t xml:space="preserve"> Teksten træder i kraft den 1. januar 2022.</w:t>
      </w:r>
    </w:p>
    <w:p w14:paraId="733E13B9" w14:textId="7E2678C1" w:rsidR="005C023A" w:rsidRPr="001428AA" w:rsidRDefault="00C46B5B" w:rsidP="009934B3">
      <w:pPr>
        <w:spacing w:after="120"/>
        <w:jc w:val="both"/>
        <w:rPr>
          <w:i/>
          <w:iCs/>
        </w:rPr>
      </w:pPr>
      <w:r w:rsidRPr="001428AA">
        <w:rPr>
          <w:b/>
          <w:i/>
        </w:rPr>
        <w:t>Bemærkning:</w:t>
      </w:r>
      <w:r w:rsidRPr="001428AA">
        <w:rPr>
          <w:i/>
        </w:rPr>
        <w:t xml:space="preserve"> Artikel 13-II i lov nr. 2020-105 af 10. februar 2020 om bekæmpelse af affald og den cirkulære økonomi, den såkaldte "AGEC", bestemmer, at enhver, der markedsfører produkter til forbrugere, der indeholder stoffer, for hvilke det franske nationale sundhedsagentur (ANSES) klassificerer hormonforstyrrende egenskaber som verificerede eller mistænkte, skal "give offentligheden elektronisk information i et åbent, let genanvendeligt og udnytteligt format ved hjælp af et automatiseret behandlingssystem for hvert af de pågældende produkter med henblik på at identificere tilstedeværelsen af sådanne stoffer i disse produkter". Denne forpligtelse gælder også for visse kategorier af produkter med særlig risiko for eksponering for stoffer, som ANSES mistænker for at indeholde hormonforstyrrende egenskaber.</w:t>
      </w:r>
    </w:p>
    <w:p w14:paraId="5B62B7D5" w14:textId="4A3BF621" w:rsidR="005C023A" w:rsidRPr="001428AA" w:rsidRDefault="005C023A" w:rsidP="005C023A">
      <w:pPr>
        <w:spacing w:after="120"/>
        <w:jc w:val="both"/>
        <w:rPr>
          <w:i/>
          <w:iCs/>
        </w:rPr>
      </w:pPr>
      <w:r w:rsidRPr="001428AA">
        <w:rPr>
          <w:i/>
        </w:rPr>
        <w:t xml:space="preserve">Denne forpligtelse er i overensstemmelse med målene i den anden nationale strategi for hormonforstyrrende stoffer (NSPE2). Den har til formål at give borgerne gennemsigtige oplysninger om tilstedeværelsen af stoffer med hormonforstyrrende egenskaber i produkter, dvs. stoffer, blandinger, artikler og fødevarer. </w:t>
      </w:r>
    </w:p>
    <w:p w14:paraId="4B8A6D79" w14:textId="26B4F5AE" w:rsidR="003A3003" w:rsidRPr="001428AA" w:rsidRDefault="00844E8D" w:rsidP="009934B3">
      <w:pPr>
        <w:spacing w:after="120"/>
        <w:jc w:val="both"/>
        <w:rPr>
          <w:bCs/>
          <w:i/>
          <w:iCs/>
        </w:rPr>
      </w:pPr>
      <w:r w:rsidRPr="001428AA">
        <w:rPr>
          <w:i/>
        </w:rPr>
        <w:lastRenderedPageBreak/>
        <w:t>Gennemførelsesbestemmelserne til denne lovbestemmelse er fastsat i artikel R. 5232-19 til R. 5232-22 i lov om offentlig sundhed. Artikel R. 5232-19 bestemmer, at en fælles bekendtgørelse fra ministrene med ansvar for sundhed og miljø på forslag af ANSES fastsætter:</w:t>
      </w:r>
    </w:p>
    <w:p w14:paraId="0EF9AEBF" w14:textId="6805D919" w:rsidR="00844E8D" w:rsidRPr="001428AA" w:rsidRDefault="005C023A" w:rsidP="003A3003">
      <w:pPr>
        <w:pStyle w:val="ListParagraph"/>
        <w:numPr>
          <w:ilvl w:val="0"/>
          <w:numId w:val="4"/>
        </w:numPr>
        <w:spacing w:after="120"/>
        <w:jc w:val="both"/>
        <w:rPr>
          <w:bCs/>
          <w:i/>
          <w:iCs/>
        </w:rPr>
      </w:pPr>
      <w:r w:rsidRPr="001428AA">
        <w:rPr>
          <w:i/>
        </w:rPr>
        <w:t>listen over stoffer med hormonforstyrrende egenskaber, der er omhandlet i artikel L. 5232-5, og som er opdelt i to kategorier, som er verificeret og formodet, alt efter det videnskabelige evidensniveau</w:t>
      </w:r>
    </w:p>
    <w:p w14:paraId="1DD34A14" w14:textId="0439FE39" w:rsidR="003A3003" w:rsidRPr="001428AA" w:rsidRDefault="00840BD7" w:rsidP="003A3003">
      <w:pPr>
        <w:pStyle w:val="ListParagraph"/>
        <w:numPr>
          <w:ilvl w:val="0"/>
          <w:numId w:val="4"/>
        </w:numPr>
        <w:autoSpaceDN w:val="0"/>
        <w:jc w:val="both"/>
        <w:textAlignment w:val="baseline"/>
        <w:rPr>
          <w:bCs/>
          <w:i/>
          <w:iCs/>
        </w:rPr>
      </w:pPr>
      <w:r w:rsidRPr="001428AA">
        <w:rPr>
          <w:i/>
        </w:rPr>
        <w:t xml:space="preserve">listen over stoffer med mistænkte hormonforstyrrende egenskaber, jf. artikel L. 5232-5 </w:t>
      </w:r>
    </w:p>
    <w:p w14:paraId="62A7D081" w14:textId="4DFAECBB" w:rsidR="003A3003" w:rsidRPr="001428AA" w:rsidRDefault="00840BD7" w:rsidP="003A3003">
      <w:pPr>
        <w:pStyle w:val="ListParagraph"/>
        <w:numPr>
          <w:ilvl w:val="0"/>
          <w:numId w:val="4"/>
        </w:numPr>
        <w:autoSpaceDN w:val="0"/>
        <w:jc w:val="both"/>
        <w:textAlignment w:val="baseline"/>
        <w:rPr>
          <w:bCs/>
          <w:i/>
          <w:iCs/>
        </w:rPr>
      </w:pPr>
      <w:r w:rsidRPr="001428AA">
        <w:rPr>
          <w:i/>
        </w:rPr>
        <w:t>de kategorier af produkter, der udgør en særlig risiko for eksponering som omhandlet i artikel L. 5232-5, for så vidt angår de eksponerede populationer, betingelserne for anvendelse og bortskaffelse af disse produkter og andre relevante kriterier.</w:t>
      </w:r>
    </w:p>
    <w:p w14:paraId="46CC9886" w14:textId="77777777" w:rsidR="00844E8D" w:rsidRPr="001428AA" w:rsidRDefault="00844E8D">
      <w:pPr>
        <w:spacing w:after="120"/>
        <w:jc w:val="both"/>
        <w:rPr>
          <w:i/>
          <w:iCs/>
        </w:rPr>
      </w:pPr>
    </w:p>
    <w:p w14:paraId="6983208D" w14:textId="6432FC6E" w:rsidR="008347CD" w:rsidRPr="001428AA" w:rsidRDefault="00C46B5B">
      <w:pPr>
        <w:spacing w:after="120"/>
        <w:jc w:val="both"/>
      </w:pPr>
      <w:r w:rsidRPr="001428AA">
        <w:rPr>
          <w:b/>
          <w:i/>
        </w:rPr>
        <w:t>Referencer:</w:t>
      </w:r>
      <w:r w:rsidRPr="001428AA">
        <w:rPr>
          <w:i/>
        </w:rPr>
        <w:t xml:space="preserve"> teksten kan findes på Légifrances hjemmeside (http://legifrance.gouv.fr).</w:t>
      </w:r>
    </w:p>
    <w:p w14:paraId="6684B3B6" w14:textId="77777777" w:rsidR="008347CD" w:rsidRPr="001428AA" w:rsidRDefault="008347CD">
      <w:pPr>
        <w:pStyle w:val="SNObjet"/>
        <w:rPr>
          <w:b w:val="0"/>
        </w:rPr>
      </w:pPr>
    </w:p>
    <w:p w14:paraId="0BEF3BF1" w14:textId="026CEB60" w:rsidR="008347CD" w:rsidRPr="001428AA" w:rsidRDefault="00C46B5B">
      <w:pPr>
        <w:pStyle w:val="SNObjet"/>
      </w:pPr>
      <w:r w:rsidRPr="001428AA">
        <w:t>Ministeren for økologisk omstilling og ministeren for solidaritet og sundhed</w:t>
      </w:r>
    </w:p>
    <w:p w14:paraId="73DB3276" w14:textId="475B4219" w:rsidR="007F7405" w:rsidRPr="001428AA" w:rsidRDefault="00C46B5B" w:rsidP="00A42F37">
      <w:pPr>
        <w:pStyle w:val="SNVisa"/>
        <w:ind w:firstLine="708"/>
      </w:pPr>
      <w:r w:rsidRPr="001428AA">
        <w:t>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p>
    <w:p w14:paraId="3B2BD5A0" w14:textId="130383A4" w:rsidR="00A14477" w:rsidRPr="001428AA" w:rsidRDefault="00A14477" w:rsidP="00A42F37">
      <w:pPr>
        <w:pStyle w:val="SNVisa"/>
        <w:ind w:firstLine="708"/>
      </w:pPr>
      <w:r w:rsidRPr="001428AA">
        <w:t>Under henvisning til Europa-Parlamentets og Rådets forordning (EF) nr. 1107/2009 af 21. oktober 2009 om markedsføring af plantebeskyttelsesmidler og om ophævelse af Rådets direktiv 79/117/EØF og 91/414/EØF</w:t>
      </w:r>
    </w:p>
    <w:p w14:paraId="1BAF1F3D" w14:textId="08DDD3CB" w:rsidR="008347CD" w:rsidRPr="001428AA" w:rsidRDefault="007F7405" w:rsidP="00A42F37">
      <w:pPr>
        <w:pStyle w:val="SNVisa"/>
        <w:ind w:firstLine="708"/>
      </w:pPr>
      <w:r w:rsidRPr="001428AA">
        <w:t>Under henvisning til Europa-Parlamentets og Rådets forordning (EU) nr. 528/2012 af 22. maj 2012 om tilgængeliggørelse på markedet og anvendelse af biocidholdige produkter</w:t>
      </w:r>
    </w:p>
    <w:p w14:paraId="284E1EE9" w14:textId="12EEA247" w:rsidR="008347CD" w:rsidRPr="001428AA" w:rsidRDefault="00C46B5B" w:rsidP="00A42F37">
      <w:pPr>
        <w:pStyle w:val="SNVisa"/>
        <w:ind w:firstLine="708"/>
      </w:pPr>
      <w:r w:rsidRPr="001428AA">
        <w:t xml:space="preserve">Under henvisning til </w:t>
      </w:r>
      <w:bookmarkStart w:id="1" w:name="__DdeLink__11050_299813634"/>
      <w:r w:rsidRPr="001428AA">
        <w:t>lov om offentlig sundhed, særlig artikel L. 5</w:t>
      </w:r>
      <w:bookmarkEnd w:id="1"/>
      <w:r w:rsidRPr="001428AA">
        <w:t>232-5 i dens ordlyd, der følger af artikel 13 i lov nr. 2020-105 af 10. februar 2020 om bekæmpelse af affald og den cirkulære økonomi og artikel R. 5232-19</w:t>
      </w:r>
    </w:p>
    <w:p w14:paraId="58048984" w14:textId="5480FE12" w:rsidR="008347CD" w:rsidRPr="001428AA" w:rsidRDefault="00414610" w:rsidP="00A42F37">
      <w:pPr>
        <w:pStyle w:val="SNVisa"/>
        <w:ind w:firstLine="708"/>
      </w:pPr>
      <w:r w:rsidRPr="001428AA">
        <w:t>Under henvisning til udtalelse af XXXX fra det franske nationale sundhedsagentur</w:t>
      </w:r>
    </w:p>
    <w:p w14:paraId="411C619F" w14:textId="77777777" w:rsidR="008347CD" w:rsidRPr="001428AA" w:rsidRDefault="00C46B5B">
      <w:pPr>
        <w:pStyle w:val="SNActe"/>
      </w:pPr>
      <w:r w:rsidRPr="001428AA">
        <w:t>Udstedes følgende dekret:</w:t>
      </w:r>
    </w:p>
    <w:p w14:paraId="78D9F457" w14:textId="77777777" w:rsidR="008347CD" w:rsidRPr="001428AA" w:rsidRDefault="008347CD">
      <w:pPr>
        <w:pStyle w:val="SNArticle"/>
      </w:pPr>
    </w:p>
    <w:p w14:paraId="5C7F96CE" w14:textId="77777777" w:rsidR="008347CD" w:rsidRPr="001428AA" w:rsidRDefault="00C46B5B">
      <w:pPr>
        <w:pStyle w:val="SNArticle"/>
      </w:pPr>
      <w:r w:rsidRPr="001428AA">
        <w:t>Artikel 1</w:t>
      </w:r>
    </w:p>
    <w:p w14:paraId="25C93793" w14:textId="77777777" w:rsidR="00A42F37" w:rsidRPr="001428AA" w:rsidRDefault="00A42F37">
      <w:pPr>
        <w:jc w:val="both"/>
      </w:pPr>
    </w:p>
    <w:p w14:paraId="658E2A64" w14:textId="1473D7BA" w:rsidR="00A42F37" w:rsidRPr="001428AA" w:rsidRDefault="00A42F37" w:rsidP="00F92FDA">
      <w:pPr>
        <w:jc w:val="both"/>
      </w:pPr>
      <w:r w:rsidRPr="001428AA">
        <w:t>Stoffer med verificerede og formodede hormonforstyrrende egenskaber som omhandlet i artikel L. 5232-5 i lov om offentlig sundhed er opført i tabel A i bilag I til denne bekendtgørelse.</w:t>
      </w:r>
    </w:p>
    <w:p w14:paraId="1B8D27AD" w14:textId="3F1A9B07" w:rsidR="008347CD" w:rsidRPr="001428AA" w:rsidRDefault="008347CD">
      <w:pPr>
        <w:jc w:val="both"/>
      </w:pPr>
    </w:p>
    <w:p w14:paraId="7ABA31A2" w14:textId="540F08BD" w:rsidR="003A3003" w:rsidRPr="001428AA" w:rsidRDefault="003A3003">
      <w:pPr>
        <w:jc w:val="both"/>
      </w:pPr>
    </w:p>
    <w:p w14:paraId="5FCF2249" w14:textId="28632C61" w:rsidR="003A3003" w:rsidRPr="001428AA" w:rsidRDefault="003A3003">
      <w:pPr>
        <w:jc w:val="both"/>
      </w:pPr>
    </w:p>
    <w:p w14:paraId="7FAA4141" w14:textId="41964769" w:rsidR="003A3003" w:rsidRPr="001428AA" w:rsidRDefault="003A3003">
      <w:pPr>
        <w:jc w:val="both"/>
      </w:pPr>
    </w:p>
    <w:p w14:paraId="3D3E5718" w14:textId="2E589BC6" w:rsidR="003A3003" w:rsidRPr="001428AA" w:rsidRDefault="003A3003">
      <w:pPr>
        <w:jc w:val="both"/>
      </w:pPr>
    </w:p>
    <w:p w14:paraId="185CCC9B" w14:textId="77777777" w:rsidR="00840BD7" w:rsidRPr="001428AA" w:rsidRDefault="00840BD7">
      <w:pPr>
        <w:jc w:val="both"/>
      </w:pPr>
    </w:p>
    <w:p w14:paraId="1CB2A07C" w14:textId="61E452D4" w:rsidR="00220182" w:rsidRPr="001428AA" w:rsidRDefault="00220182" w:rsidP="00220182">
      <w:pPr>
        <w:pStyle w:val="SNArticle"/>
      </w:pPr>
      <w:r w:rsidRPr="001428AA">
        <w:t>Artikel 2</w:t>
      </w:r>
    </w:p>
    <w:p w14:paraId="0BC38752" w14:textId="77777777" w:rsidR="00220182" w:rsidRPr="001428AA" w:rsidRDefault="00220182" w:rsidP="00220182">
      <w:pPr>
        <w:jc w:val="both"/>
      </w:pPr>
    </w:p>
    <w:p w14:paraId="29D79603" w14:textId="7710243A" w:rsidR="00220182" w:rsidRPr="001428AA" w:rsidRDefault="00220182" w:rsidP="00220182">
      <w:pPr>
        <w:jc w:val="both"/>
      </w:pPr>
      <w:r w:rsidRPr="001428AA">
        <w:t>Stoffer med mistænkte hormonforstyrrende egenskaber som omhandlet i artikel L. 5232-5 II i lov om offentlig sundhed er opført i tabel B i bilag I til denne bekendtgørelse.</w:t>
      </w:r>
    </w:p>
    <w:p w14:paraId="414AAF65" w14:textId="77777777" w:rsidR="00840BD7" w:rsidRPr="001428AA" w:rsidRDefault="00840BD7" w:rsidP="00220182">
      <w:pPr>
        <w:jc w:val="both"/>
      </w:pPr>
    </w:p>
    <w:p w14:paraId="414FCA1E" w14:textId="71ABDFE8" w:rsidR="00220182" w:rsidRPr="001428AA" w:rsidRDefault="00220182" w:rsidP="00220182">
      <w:pPr>
        <w:pStyle w:val="SNArticle"/>
      </w:pPr>
      <w:r w:rsidRPr="001428AA">
        <w:lastRenderedPageBreak/>
        <w:t>Artikel 3</w:t>
      </w:r>
    </w:p>
    <w:p w14:paraId="2D09A589" w14:textId="77777777" w:rsidR="00220182" w:rsidRPr="001428AA" w:rsidRDefault="00220182" w:rsidP="00220182">
      <w:pPr>
        <w:jc w:val="both"/>
      </w:pPr>
    </w:p>
    <w:p w14:paraId="19C5E591" w14:textId="14F23B7A" w:rsidR="00220182" w:rsidRPr="001428AA" w:rsidRDefault="00220182" w:rsidP="00220182">
      <w:pPr>
        <w:jc w:val="both"/>
      </w:pPr>
      <w:r w:rsidRPr="001428AA">
        <w:t>De kategorier af produkter, der udgør en særlig risiko for eksponering, jf. artikel L. 5232-5 II i lov om offentlig sundhed, er anført i bilag II til denne bekendtgørelse.</w:t>
      </w:r>
    </w:p>
    <w:p w14:paraId="1FF4DAAD" w14:textId="21F9B44B" w:rsidR="00220182" w:rsidRPr="001428AA" w:rsidRDefault="00220182" w:rsidP="00220182">
      <w:pPr>
        <w:jc w:val="both"/>
      </w:pPr>
    </w:p>
    <w:p w14:paraId="1137E4CD" w14:textId="3090F12E" w:rsidR="008347CD" w:rsidRPr="001428AA" w:rsidRDefault="00C46B5B">
      <w:pPr>
        <w:pStyle w:val="SNArticle"/>
      </w:pPr>
      <w:r w:rsidRPr="001428AA">
        <w:t>Artikel 4</w:t>
      </w:r>
    </w:p>
    <w:p w14:paraId="285154DB" w14:textId="77777777" w:rsidR="008347CD" w:rsidRPr="001428AA" w:rsidRDefault="00C46B5B">
      <w:pPr>
        <w:pStyle w:val="SNArticle"/>
        <w:jc w:val="left"/>
        <w:rPr>
          <w:b w:val="0"/>
        </w:rPr>
      </w:pPr>
      <w:r w:rsidRPr="001428AA">
        <w:rPr>
          <w:b w:val="0"/>
        </w:rPr>
        <w:t xml:space="preserve">Bestemmelserne i denne bekendtgørelse træder i kraft den 1. januar 2022. </w:t>
      </w:r>
    </w:p>
    <w:p w14:paraId="716A6006" w14:textId="77777777" w:rsidR="009F20C4" w:rsidRPr="001428AA" w:rsidRDefault="009F20C4">
      <w:pPr>
        <w:pStyle w:val="SNArticle"/>
      </w:pPr>
    </w:p>
    <w:p w14:paraId="1DE0912A" w14:textId="43814AF3" w:rsidR="008347CD" w:rsidRPr="001428AA" w:rsidRDefault="00C46B5B">
      <w:pPr>
        <w:pStyle w:val="SNArticle"/>
      </w:pPr>
      <w:r w:rsidRPr="001428AA">
        <w:t>Artikel 5</w:t>
      </w:r>
    </w:p>
    <w:p w14:paraId="4B2DBBEB" w14:textId="77777777" w:rsidR="008347CD" w:rsidRPr="001428AA" w:rsidRDefault="00C46B5B">
      <w:pPr>
        <w:pStyle w:val="BodyText"/>
        <w:jc w:val="both"/>
      </w:pPr>
      <w:r w:rsidRPr="001428AA">
        <w:t xml:space="preserve">Denne bekendtgørelse offentliggøres i Den Franske Republiks </w:t>
      </w:r>
      <w:r w:rsidRPr="001428AA">
        <w:rPr>
          <w:i/>
          <w:iCs/>
        </w:rPr>
        <w:t>Statstidende</w:t>
      </w:r>
      <w:r w:rsidRPr="001428AA">
        <w:t>.</w:t>
      </w:r>
    </w:p>
    <w:p w14:paraId="348F0109" w14:textId="121A36A3" w:rsidR="008347CD" w:rsidRPr="001428AA" w:rsidRDefault="008347CD" w:rsidP="0005179D">
      <w:pPr>
        <w:tabs>
          <w:tab w:val="left" w:pos="5685"/>
        </w:tabs>
      </w:pPr>
    </w:p>
    <w:p w14:paraId="6D2787DD" w14:textId="77777777" w:rsidR="008347CD" w:rsidRPr="001428AA" w:rsidRDefault="008347CD"/>
    <w:p w14:paraId="20942212" w14:textId="77777777" w:rsidR="008347CD" w:rsidRPr="001428AA" w:rsidRDefault="00C46B5B">
      <w:pPr>
        <w:ind w:firstLine="540"/>
      </w:pPr>
      <w:r w:rsidRPr="001428AA">
        <w:t xml:space="preserve">Udfærdiget den [dato] </w:t>
      </w:r>
    </w:p>
    <w:p w14:paraId="6DEBDEE2" w14:textId="77777777" w:rsidR="008347CD" w:rsidRPr="001428AA" w:rsidRDefault="008347CD">
      <w:pPr>
        <w:ind w:left="539"/>
      </w:pPr>
    </w:p>
    <w:p w14:paraId="0CD275D9" w14:textId="77777777" w:rsidR="008347CD" w:rsidRPr="001428AA" w:rsidRDefault="008347CD">
      <w:pPr>
        <w:pStyle w:val="SNSignatureGauche"/>
        <w:ind w:left="539"/>
      </w:pPr>
    </w:p>
    <w:p w14:paraId="00FFAF1F" w14:textId="77777777" w:rsidR="008347CD" w:rsidRPr="001428AA" w:rsidRDefault="008347CD">
      <w:pPr>
        <w:pStyle w:val="SNSignatureGauche"/>
        <w:ind w:left="539"/>
      </w:pPr>
    </w:p>
    <w:p w14:paraId="6BEDEEF5" w14:textId="25330FB5" w:rsidR="008347CD" w:rsidRPr="001428AA" w:rsidRDefault="00C46B5B">
      <w:pPr>
        <w:pStyle w:val="SNSignatureGauche"/>
        <w:ind w:left="539"/>
      </w:pPr>
      <w:r w:rsidRPr="001428AA">
        <w:t>Ministeren for den økologiske omstilling,</w:t>
      </w:r>
    </w:p>
    <w:p w14:paraId="21F51DC6" w14:textId="77777777" w:rsidR="008347CD" w:rsidRPr="001428AA" w:rsidRDefault="00C46B5B">
      <w:pPr>
        <w:pStyle w:val="SNSignatureDroite"/>
        <w:ind w:left="539" w:firstLine="0"/>
      </w:pPr>
      <w:r w:rsidRPr="001428AA">
        <w:t>For og på vegne af ministeren:</w:t>
      </w:r>
    </w:p>
    <w:p w14:paraId="5384022E" w14:textId="77777777" w:rsidR="008347CD" w:rsidRPr="001428AA" w:rsidRDefault="00C46B5B">
      <w:pPr>
        <w:pStyle w:val="SNSignatureDroite"/>
        <w:ind w:left="539" w:firstLine="0"/>
      </w:pPr>
      <w:r w:rsidRPr="001428AA">
        <w:t>Generaldirektøren for risikoforebyggelse,</w:t>
      </w:r>
    </w:p>
    <w:p w14:paraId="0A5482F8" w14:textId="77777777" w:rsidR="008347CD" w:rsidRPr="001428AA" w:rsidRDefault="008347CD">
      <w:pPr>
        <w:pStyle w:val="SNSignatureGauche"/>
        <w:ind w:left="539"/>
      </w:pPr>
    </w:p>
    <w:p w14:paraId="673118EB" w14:textId="77777777" w:rsidR="008347CD" w:rsidRPr="001428AA" w:rsidRDefault="008347CD">
      <w:pPr>
        <w:pStyle w:val="SNSignatureDroite"/>
        <w:ind w:left="539" w:firstLine="0"/>
      </w:pPr>
    </w:p>
    <w:p w14:paraId="6195CB62" w14:textId="77777777" w:rsidR="008347CD" w:rsidRPr="001428AA" w:rsidRDefault="008347CD">
      <w:pPr>
        <w:pStyle w:val="SNSignatureGauche"/>
        <w:ind w:left="539"/>
      </w:pPr>
    </w:p>
    <w:p w14:paraId="4AA84A8A" w14:textId="77777777" w:rsidR="008347CD" w:rsidRPr="001428AA" w:rsidRDefault="00C46B5B">
      <w:pPr>
        <w:pStyle w:val="SNSignatureDroite"/>
        <w:ind w:left="539" w:firstLine="0"/>
      </w:pPr>
      <w:r w:rsidRPr="001428AA">
        <w:t>Cédric BOURILLET</w:t>
      </w:r>
    </w:p>
    <w:p w14:paraId="3540651A" w14:textId="77777777" w:rsidR="008347CD" w:rsidRPr="001428AA" w:rsidRDefault="008347CD">
      <w:pPr>
        <w:ind w:left="539"/>
      </w:pPr>
    </w:p>
    <w:p w14:paraId="02736F8A" w14:textId="77777777" w:rsidR="008347CD" w:rsidRPr="001428AA" w:rsidRDefault="008347CD">
      <w:pPr>
        <w:ind w:left="539"/>
      </w:pPr>
    </w:p>
    <w:p w14:paraId="218AB37D" w14:textId="77777777" w:rsidR="008347CD" w:rsidRPr="001428AA" w:rsidRDefault="008347CD">
      <w:pPr>
        <w:ind w:left="539"/>
      </w:pPr>
    </w:p>
    <w:p w14:paraId="61147849" w14:textId="32EE603B" w:rsidR="008347CD" w:rsidRPr="001428AA" w:rsidRDefault="00305F8C" w:rsidP="009934B3">
      <w:pPr>
        <w:ind w:left="539"/>
      </w:pPr>
      <w:r w:rsidRPr="001428AA">
        <w:t>Ministeren for solidaritet og sundhed,</w:t>
      </w:r>
    </w:p>
    <w:p w14:paraId="69576A00" w14:textId="7DEE8A3A" w:rsidR="008347CD" w:rsidRPr="001428AA" w:rsidRDefault="00C46B5B" w:rsidP="009934B3">
      <w:pPr>
        <w:ind w:left="539"/>
      </w:pPr>
      <w:r w:rsidRPr="001428AA">
        <w:t>For og på vegne af ministeren:</w:t>
      </w:r>
    </w:p>
    <w:p w14:paraId="598A67E7" w14:textId="77777777" w:rsidR="008347CD" w:rsidRPr="001428AA" w:rsidRDefault="00C46B5B" w:rsidP="009934B3">
      <w:pPr>
        <w:ind w:left="539"/>
      </w:pPr>
      <w:r w:rsidRPr="001428AA">
        <w:t>Generaldirektøren for sundhed,</w:t>
      </w:r>
    </w:p>
    <w:p w14:paraId="2DC0E3F5" w14:textId="77777777" w:rsidR="008347CD" w:rsidRPr="001428AA" w:rsidRDefault="008347CD" w:rsidP="009934B3">
      <w:pPr>
        <w:ind w:left="539"/>
      </w:pPr>
    </w:p>
    <w:p w14:paraId="5BF5FC14" w14:textId="77777777" w:rsidR="008347CD" w:rsidRPr="001428AA" w:rsidRDefault="008347CD" w:rsidP="009934B3">
      <w:pPr>
        <w:ind w:left="539"/>
      </w:pPr>
    </w:p>
    <w:p w14:paraId="06D46F73" w14:textId="77777777" w:rsidR="008347CD" w:rsidRPr="001428AA" w:rsidRDefault="008347CD" w:rsidP="009934B3">
      <w:pPr>
        <w:ind w:left="539"/>
      </w:pPr>
    </w:p>
    <w:p w14:paraId="1EC43CA3" w14:textId="26DC16E0" w:rsidR="008347CD" w:rsidRPr="001428AA" w:rsidRDefault="00C46B5B" w:rsidP="009934B3">
      <w:pPr>
        <w:ind w:left="539"/>
      </w:pPr>
      <w:r w:rsidRPr="001428AA">
        <w:t>Jérôme SALOMON</w:t>
      </w:r>
    </w:p>
    <w:p w14:paraId="646663AB" w14:textId="470A7E39" w:rsidR="0091346D" w:rsidRPr="001428AA" w:rsidRDefault="0091346D" w:rsidP="009934B3">
      <w:pPr>
        <w:ind w:left="539"/>
      </w:pPr>
    </w:p>
    <w:p w14:paraId="78992825" w14:textId="26A612AC" w:rsidR="0091346D" w:rsidRPr="001428AA" w:rsidRDefault="0091346D" w:rsidP="009934B3">
      <w:pPr>
        <w:ind w:left="539"/>
      </w:pPr>
    </w:p>
    <w:p w14:paraId="4C271472" w14:textId="12482997" w:rsidR="0091346D" w:rsidRPr="001428AA" w:rsidRDefault="0091346D" w:rsidP="009934B3">
      <w:pPr>
        <w:ind w:left="539"/>
      </w:pPr>
    </w:p>
    <w:p w14:paraId="757046F7" w14:textId="6F5F6C03" w:rsidR="0091346D" w:rsidRPr="001428AA" w:rsidRDefault="0091346D" w:rsidP="009934B3">
      <w:pPr>
        <w:ind w:left="539"/>
      </w:pPr>
    </w:p>
    <w:p w14:paraId="30CBFC27" w14:textId="77777777" w:rsidR="009F20C4" w:rsidRPr="001428AA" w:rsidRDefault="009F20C4" w:rsidP="009934B3">
      <w:pPr>
        <w:ind w:left="539"/>
      </w:pPr>
    </w:p>
    <w:p w14:paraId="203CF528" w14:textId="77777777" w:rsidR="009F20C4" w:rsidRPr="001428AA" w:rsidRDefault="009F20C4" w:rsidP="009934B3">
      <w:pPr>
        <w:ind w:left="539"/>
      </w:pPr>
    </w:p>
    <w:p w14:paraId="55CCE532" w14:textId="77777777" w:rsidR="009F20C4" w:rsidRPr="001428AA" w:rsidRDefault="009F20C4" w:rsidP="009934B3">
      <w:pPr>
        <w:ind w:left="539"/>
      </w:pPr>
    </w:p>
    <w:p w14:paraId="75D34D20" w14:textId="77777777" w:rsidR="009F20C4" w:rsidRPr="001428AA" w:rsidRDefault="009F20C4" w:rsidP="009934B3">
      <w:pPr>
        <w:ind w:left="539"/>
      </w:pPr>
    </w:p>
    <w:p w14:paraId="093B3990" w14:textId="77777777" w:rsidR="009F20C4" w:rsidRPr="001428AA" w:rsidRDefault="009F20C4" w:rsidP="009934B3">
      <w:pPr>
        <w:ind w:left="539"/>
      </w:pPr>
    </w:p>
    <w:p w14:paraId="0EB4AC6D" w14:textId="77777777" w:rsidR="009F20C4" w:rsidRPr="001428AA" w:rsidRDefault="009F20C4" w:rsidP="009934B3">
      <w:pPr>
        <w:ind w:left="539"/>
      </w:pPr>
    </w:p>
    <w:p w14:paraId="07DFCF09" w14:textId="77777777" w:rsidR="009F20C4" w:rsidRPr="001428AA" w:rsidRDefault="009F20C4" w:rsidP="009934B3">
      <w:pPr>
        <w:ind w:left="539"/>
      </w:pPr>
    </w:p>
    <w:p w14:paraId="1E7D03FB" w14:textId="77777777" w:rsidR="00F4110C" w:rsidRPr="001428AA" w:rsidRDefault="00F4110C">
      <w:pPr>
        <w:suppressAutoHyphens w:val="0"/>
      </w:pPr>
      <w:r w:rsidRPr="001428AA">
        <w:br w:type="page"/>
      </w:r>
    </w:p>
    <w:p w14:paraId="7290D6B3" w14:textId="0CC5E208" w:rsidR="0091346D" w:rsidRPr="001428AA" w:rsidRDefault="00F9491E" w:rsidP="009934B3">
      <w:pPr>
        <w:ind w:left="539"/>
      </w:pPr>
      <w:r w:rsidRPr="001428AA">
        <w:lastRenderedPageBreak/>
        <w:t xml:space="preserve">Bilag </w:t>
      </w:r>
    </w:p>
    <w:p w14:paraId="6EA669F8" w14:textId="77777777" w:rsidR="0091346D" w:rsidRPr="001428AA" w:rsidRDefault="0091346D" w:rsidP="009934B3">
      <w:pPr>
        <w:ind w:left="539"/>
      </w:pPr>
    </w:p>
    <w:p w14:paraId="7CD2C0F1" w14:textId="77777777" w:rsidR="0091346D" w:rsidRPr="001428AA" w:rsidRDefault="0091346D" w:rsidP="009934B3">
      <w:pPr>
        <w:ind w:left="539"/>
      </w:pPr>
    </w:p>
    <w:p w14:paraId="3ABF99B7" w14:textId="4BA3CD32" w:rsidR="0091346D" w:rsidRPr="001428AA" w:rsidRDefault="0091346D" w:rsidP="00F92FDA">
      <w:pPr>
        <w:ind w:left="539"/>
        <w:jc w:val="both"/>
      </w:pPr>
      <w:r w:rsidRPr="001428AA">
        <w:t>Bilag I: Liste over stoffer med hormonforstyrrende egenskaber som omhandlet i artikel l. 5232-5 i lov om offentlig sundhed</w:t>
      </w:r>
    </w:p>
    <w:p w14:paraId="225B512E" w14:textId="24460C4F" w:rsidR="0091346D" w:rsidRPr="001428AA" w:rsidRDefault="0091346D" w:rsidP="00F92FDA">
      <w:pPr>
        <w:ind w:left="539"/>
        <w:jc w:val="both"/>
      </w:pPr>
    </w:p>
    <w:p w14:paraId="2E52E7D3" w14:textId="52D8F88D" w:rsidR="0091346D" w:rsidRPr="001428AA" w:rsidRDefault="0091346D" w:rsidP="00F92FDA">
      <w:pPr>
        <w:ind w:left="539"/>
        <w:jc w:val="both"/>
      </w:pPr>
      <w:r w:rsidRPr="001428AA">
        <w:t>TABEL A: Liste over stoffer med verificerede og formodede hormonforstyrrende egenskaber, jf. artikel L. 5232-5 i lov om offentlig sundhed</w:t>
      </w:r>
    </w:p>
    <w:p w14:paraId="07AAC79F" w14:textId="3DB8C2F4" w:rsidR="0091346D" w:rsidRPr="001428AA" w:rsidRDefault="0091346D" w:rsidP="009934B3">
      <w:pPr>
        <w:ind w:left="539"/>
      </w:pPr>
    </w:p>
    <w:tbl>
      <w:tblPr>
        <w:tblStyle w:val="TableGrid"/>
        <w:tblW w:w="0" w:type="auto"/>
        <w:tblInd w:w="539" w:type="dxa"/>
        <w:tblLook w:val="04A0" w:firstRow="1" w:lastRow="0" w:firstColumn="1" w:lastColumn="0" w:noHBand="0" w:noVBand="1"/>
      </w:tblPr>
      <w:tblGrid>
        <w:gridCol w:w="3449"/>
        <w:gridCol w:w="2680"/>
        <w:gridCol w:w="2676"/>
      </w:tblGrid>
      <w:tr w:rsidR="00F92FDA" w:rsidRPr="001428AA" w14:paraId="4DF6403F" w14:textId="602410DF" w:rsidTr="00A95817">
        <w:tc>
          <w:tcPr>
            <w:tcW w:w="3449" w:type="dxa"/>
          </w:tcPr>
          <w:p w14:paraId="36C34FAB" w14:textId="20DA6C2C" w:rsidR="00F92FDA" w:rsidRPr="001428AA" w:rsidRDefault="00F92FDA" w:rsidP="00840BD7">
            <w:pPr>
              <w:jc w:val="center"/>
              <w:rPr>
                <w:b/>
                <w:sz w:val="20"/>
                <w:szCs w:val="20"/>
              </w:rPr>
            </w:pPr>
            <w:r w:rsidRPr="001428AA">
              <w:rPr>
                <w:b/>
                <w:sz w:val="20"/>
              </w:rPr>
              <w:t>Stoffets navn</w:t>
            </w:r>
          </w:p>
        </w:tc>
        <w:tc>
          <w:tcPr>
            <w:tcW w:w="2680" w:type="dxa"/>
          </w:tcPr>
          <w:p w14:paraId="133DF615" w14:textId="6C64F141" w:rsidR="00F92FDA" w:rsidRPr="001428AA" w:rsidRDefault="00F92FDA" w:rsidP="00840BD7">
            <w:pPr>
              <w:jc w:val="center"/>
              <w:rPr>
                <w:b/>
                <w:sz w:val="20"/>
                <w:szCs w:val="20"/>
              </w:rPr>
            </w:pPr>
            <w:r w:rsidRPr="001428AA">
              <w:rPr>
                <w:b/>
                <w:sz w:val="20"/>
              </w:rPr>
              <w:t>CAS-nummer</w:t>
            </w:r>
          </w:p>
        </w:tc>
        <w:tc>
          <w:tcPr>
            <w:tcW w:w="2676" w:type="dxa"/>
          </w:tcPr>
          <w:p w14:paraId="62A8287B" w14:textId="4A5E46C1" w:rsidR="00F92FDA" w:rsidRPr="001428AA" w:rsidRDefault="00E93CF9" w:rsidP="00840BD7">
            <w:pPr>
              <w:jc w:val="center"/>
              <w:rPr>
                <w:b/>
                <w:sz w:val="20"/>
                <w:szCs w:val="20"/>
              </w:rPr>
            </w:pPr>
            <w:r w:rsidRPr="001428AA">
              <w:rPr>
                <w:b/>
                <w:sz w:val="20"/>
              </w:rPr>
              <w:t>CE-nummer</w:t>
            </w:r>
          </w:p>
        </w:tc>
      </w:tr>
      <w:tr w:rsidR="00E93CF9" w:rsidRPr="001428AA" w14:paraId="56F53086" w14:textId="77777777" w:rsidTr="00A95817">
        <w:tc>
          <w:tcPr>
            <w:tcW w:w="3449" w:type="dxa"/>
          </w:tcPr>
          <w:p w14:paraId="2C5938A8" w14:textId="047E872C" w:rsidR="00E93CF9" w:rsidRPr="001428AA" w:rsidRDefault="00E93CF9" w:rsidP="00E93CF9">
            <w:pPr>
              <w:rPr>
                <w:sz w:val="20"/>
                <w:szCs w:val="20"/>
              </w:rPr>
            </w:pPr>
            <w:r w:rsidRPr="001428AA">
              <w:rPr>
                <w:sz w:val="20"/>
              </w:rPr>
              <w:t>4,4-(1-methylpropyliden)bisphenol</w:t>
            </w:r>
          </w:p>
        </w:tc>
        <w:tc>
          <w:tcPr>
            <w:tcW w:w="2680" w:type="dxa"/>
          </w:tcPr>
          <w:p w14:paraId="75DF6097" w14:textId="4C4B61B0" w:rsidR="00E93CF9" w:rsidRPr="001428AA" w:rsidRDefault="00E93CF9" w:rsidP="00E93CF9">
            <w:pPr>
              <w:jc w:val="center"/>
              <w:rPr>
                <w:color w:val="auto"/>
                <w:sz w:val="20"/>
                <w:szCs w:val="20"/>
              </w:rPr>
            </w:pPr>
            <w:r w:rsidRPr="001428AA">
              <w:rPr>
                <w:color w:val="auto"/>
                <w:sz w:val="20"/>
              </w:rPr>
              <w:t>77-40-7</w:t>
            </w:r>
          </w:p>
        </w:tc>
        <w:tc>
          <w:tcPr>
            <w:tcW w:w="2676" w:type="dxa"/>
          </w:tcPr>
          <w:p w14:paraId="15897FB6" w14:textId="02EF7847" w:rsidR="00E93CF9" w:rsidRPr="001428AA" w:rsidRDefault="00E93CF9" w:rsidP="00E93CF9">
            <w:pPr>
              <w:jc w:val="center"/>
              <w:rPr>
                <w:color w:val="auto"/>
                <w:sz w:val="20"/>
                <w:szCs w:val="20"/>
              </w:rPr>
            </w:pPr>
            <w:r w:rsidRPr="001428AA">
              <w:rPr>
                <w:color w:val="auto"/>
                <w:sz w:val="20"/>
              </w:rPr>
              <w:t>201-025-1</w:t>
            </w:r>
          </w:p>
        </w:tc>
      </w:tr>
      <w:tr w:rsidR="00E93CF9" w:rsidRPr="001428AA" w14:paraId="7FE6D8F2" w14:textId="6825DEFB" w:rsidTr="00A95817">
        <w:tc>
          <w:tcPr>
            <w:tcW w:w="3449" w:type="dxa"/>
          </w:tcPr>
          <w:p w14:paraId="680D6D7E" w14:textId="77777777" w:rsidR="00E93CF9" w:rsidRPr="001428AA" w:rsidRDefault="00E93CF9" w:rsidP="00E93CF9">
            <w:pPr>
              <w:rPr>
                <w:sz w:val="20"/>
                <w:szCs w:val="20"/>
              </w:rPr>
            </w:pPr>
            <w:r w:rsidRPr="001428AA">
              <w:rPr>
                <w:sz w:val="20"/>
              </w:rPr>
              <w:t>Tris(4-nonylphenyl, forgrenet og ligekædet) phosphit (TNPP) med mindst 0,1 vægtprocent 4-nonylphenol, forgrenet og ligekædet (4-NP)</w:t>
            </w:r>
          </w:p>
          <w:p w14:paraId="662E5CB4" w14:textId="77777777" w:rsidR="00E93CF9" w:rsidRPr="001428AA" w:rsidRDefault="00E93CF9" w:rsidP="00E93CF9">
            <w:pPr>
              <w:pStyle w:val="ListParagraph"/>
              <w:numPr>
                <w:ilvl w:val="0"/>
                <w:numId w:val="3"/>
              </w:numPr>
              <w:rPr>
                <w:sz w:val="20"/>
                <w:szCs w:val="20"/>
              </w:rPr>
            </w:pPr>
            <w:r w:rsidRPr="001428AA">
              <w:rPr>
                <w:sz w:val="20"/>
              </w:rPr>
              <w:t>Tris(4-nonylphenyl, forgrenet) phosphit</w:t>
            </w:r>
          </w:p>
          <w:p w14:paraId="6F2A5ECF" w14:textId="77777777" w:rsidR="00E93CF9" w:rsidRPr="001428AA" w:rsidRDefault="00E93CF9" w:rsidP="00E93CF9">
            <w:pPr>
              <w:pStyle w:val="ListParagraph"/>
              <w:numPr>
                <w:ilvl w:val="0"/>
                <w:numId w:val="3"/>
              </w:numPr>
              <w:rPr>
                <w:sz w:val="20"/>
                <w:szCs w:val="20"/>
              </w:rPr>
            </w:pPr>
            <w:r w:rsidRPr="001428AA">
              <w:rPr>
                <w:sz w:val="20"/>
              </w:rPr>
              <w:t>Phenol, 4-nonyl-, phosphit (3:1)</w:t>
            </w:r>
          </w:p>
          <w:p w14:paraId="7B0BA21A" w14:textId="3AAF38FF" w:rsidR="00E93CF9" w:rsidRPr="001428AA" w:rsidRDefault="00E93CF9" w:rsidP="00E93CF9">
            <w:pPr>
              <w:pStyle w:val="ListParagraph"/>
              <w:numPr>
                <w:ilvl w:val="0"/>
                <w:numId w:val="3"/>
              </w:numPr>
              <w:rPr>
                <w:sz w:val="20"/>
                <w:szCs w:val="20"/>
              </w:rPr>
            </w:pPr>
            <w:r w:rsidRPr="001428AA">
              <w:rPr>
                <w:sz w:val="20"/>
              </w:rPr>
              <w:t>Tris(nonylphenyl)phosphit</w:t>
            </w:r>
          </w:p>
        </w:tc>
        <w:tc>
          <w:tcPr>
            <w:tcW w:w="2680" w:type="dxa"/>
          </w:tcPr>
          <w:p w14:paraId="162D69BA" w14:textId="77777777" w:rsidR="00E93CF9" w:rsidRPr="001428AA" w:rsidRDefault="00E93CF9" w:rsidP="00E93CF9">
            <w:pPr>
              <w:jc w:val="center"/>
              <w:rPr>
                <w:sz w:val="20"/>
                <w:szCs w:val="20"/>
              </w:rPr>
            </w:pPr>
          </w:p>
          <w:p w14:paraId="673DD03F" w14:textId="77777777" w:rsidR="00E93CF9" w:rsidRPr="001428AA" w:rsidRDefault="00E93CF9" w:rsidP="00E93CF9">
            <w:pPr>
              <w:jc w:val="center"/>
              <w:rPr>
                <w:sz w:val="20"/>
                <w:szCs w:val="20"/>
              </w:rPr>
            </w:pPr>
          </w:p>
          <w:p w14:paraId="496AEC42" w14:textId="77777777" w:rsidR="00E93CF9" w:rsidRPr="001428AA" w:rsidRDefault="00E93CF9" w:rsidP="00E93CF9">
            <w:pPr>
              <w:jc w:val="center"/>
              <w:rPr>
                <w:sz w:val="20"/>
                <w:szCs w:val="20"/>
              </w:rPr>
            </w:pPr>
          </w:p>
          <w:p w14:paraId="1689416E" w14:textId="77777777" w:rsidR="00E93CF9" w:rsidRPr="001428AA" w:rsidRDefault="00E93CF9" w:rsidP="00E93CF9">
            <w:pPr>
              <w:jc w:val="center"/>
              <w:rPr>
                <w:sz w:val="20"/>
                <w:szCs w:val="20"/>
              </w:rPr>
            </w:pPr>
          </w:p>
          <w:p w14:paraId="504A4CA9" w14:textId="77777777" w:rsidR="00E93CF9" w:rsidRPr="001428AA" w:rsidRDefault="00E93CF9" w:rsidP="00E93CF9">
            <w:pPr>
              <w:jc w:val="center"/>
              <w:rPr>
                <w:sz w:val="20"/>
                <w:szCs w:val="20"/>
              </w:rPr>
            </w:pPr>
          </w:p>
          <w:p w14:paraId="25F684FB" w14:textId="2A9FD20F" w:rsidR="00E93CF9" w:rsidRPr="001428AA" w:rsidRDefault="00E93CF9" w:rsidP="00E93CF9">
            <w:pPr>
              <w:jc w:val="center"/>
              <w:rPr>
                <w:sz w:val="20"/>
                <w:szCs w:val="20"/>
              </w:rPr>
            </w:pPr>
            <w:r w:rsidRPr="001428AA">
              <w:rPr>
                <w:sz w:val="20"/>
              </w:rPr>
              <w:t>-</w:t>
            </w:r>
          </w:p>
          <w:p w14:paraId="6C8F3D54" w14:textId="77777777" w:rsidR="00E93CF9" w:rsidRPr="001428AA" w:rsidRDefault="00E93CF9" w:rsidP="00E93CF9">
            <w:pPr>
              <w:jc w:val="center"/>
              <w:rPr>
                <w:sz w:val="20"/>
                <w:szCs w:val="20"/>
              </w:rPr>
            </w:pPr>
          </w:p>
          <w:p w14:paraId="7D586553" w14:textId="4EBD0BB2" w:rsidR="00E93CF9" w:rsidRPr="001428AA" w:rsidRDefault="00E93CF9" w:rsidP="00E93CF9">
            <w:pPr>
              <w:jc w:val="center"/>
              <w:rPr>
                <w:sz w:val="20"/>
                <w:szCs w:val="20"/>
              </w:rPr>
            </w:pPr>
            <w:r w:rsidRPr="001428AA">
              <w:rPr>
                <w:sz w:val="20"/>
              </w:rPr>
              <w:t>3050-88-2</w:t>
            </w:r>
          </w:p>
          <w:p w14:paraId="7C685F9A" w14:textId="77777777" w:rsidR="00E93CF9" w:rsidRPr="001428AA" w:rsidRDefault="00E93CF9" w:rsidP="00E93CF9">
            <w:pPr>
              <w:jc w:val="center"/>
              <w:rPr>
                <w:sz w:val="20"/>
                <w:szCs w:val="20"/>
              </w:rPr>
            </w:pPr>
          </w:p>
          <w:p w14:paraId="2E8935C4" w14:textId="433420AE" w:rsidR="00E93CF9" w:rsidRPr="001428AA" w:rsidRDefault="00E93CF9" w:rsidP="00E93CF9">
            <w:pPr>
              <w:jc w:val="center"/>
              <w:rPr>
                <w:sz w:val="20"/>
                <w:szCs w:val="20"/>
              </w:rPr>
            </w:pPr>
            <w:r w:rsidRPr="001428AA">
              <w:rPr>
                <w:sz w:val="20"/>
              </w:rPr>
              <w:t>26523-78-4</w:t>
            </w:r>
          </w:p>
        </w:tc>
        <w:tc>
          <w:tcPr>
            <w:tcW w:w="2676" w:type="dxa"/>
          </w:tcPr>
          <w:p w14:paraId="5FD3F30C" w14:textId="77777777" w:rsidR="00E93CF9" w:rsidRPr="001428AA" w:rsidRDefault="00E93CF9" w:rsidP="00E93CF9">
            <w:pPr>
              <w:jc w:val="center"/>
              <w:rPr>
                <w:color w:val="384A53"/>
                <w:sz w:val="20"/>
                <w:szCs w:val="20"/>
              </w:rPr>
            </w:pPr>
          </w:p>
          <w:p w14:paraId="611FFC55" w14:textId="77777777" w:rsidR="00E93CF9" w:rsidRPr="001428AA" w:rsidRDefault="00E93CF9" w:rsidP="00E93CF9">
            <w:pPr>
              <w:jc w:val="center"/>
              <w:rPr>
                <w:color w:val="384A53"/>
                <w:sz w:val="20"/>
                <w:szCs w:val="20"/>
              </w:rPr>
            </w:pPr>
          </w:p>
          <w:p w14:paraId="23203514" w14:textId="77777777" w:rsidR="00E93CF9" w:rsidRPr="001428AA" w:rsidRDefault="00E93CF9" w:rsidP="00E93CF9">
            <w:pPr>
              <w:jc w:val="center"/>
              <w:rPr>
                <w:color w:val="384A53"/>
                <w:sz w:val="20"/>
                <w:szCs w:val="20"/>
              </w:rPr>
            </w:pPr>
          </w:p>
          <w:p w14:paraId="3DB3B8FA" w14:textId="77777777" w:rsidR="00E93CF9" w:rsidRPr="001428AA" w:rsidRDefault="00E93CF9" w:rsidP="00E93CF9">
            <w:pPr>
              <w:jc w:val="center"/>
              <w:rPr>
                <w:sz w:val="20"/>
                <w:szCs w:val="20"/>
              </w:rPr>
            </w:pPr>
          </w:p>
          <w:p w14:paraId="5A526ED2" w14:textId="77777777" w:rsidR="00E93CF9" w:rsidRPr="001428AA" w:rsidRDefault="00E93CF9" w:rsidP="00E93CF9">
            <w:pPr>
              <w:jc w:val="center"/>
              <w:rPr>
                <w:sz w:val="20"/>
                <w:szCs w:val="20"/>
              </w:rPr>
            </w:pPr>
          </w:p>
          <w:p w14:paraId="25A0FED5" w14:textId="5271686F" w:rsidR="00E93CF9" w:rsidRPr="001428AA" w:rsidRDefault="00E93CF9" w:rsidP="00E93CF9">
            <w:pPr>
              <w:jc w:val="center"/>
              <w:rPr>
                <w:sz w:val="20"/>
                <w:szCs w:val="20"/>
              </w:rPr>
            </w:pPr>
            <w:r w:rsidRPr="001428AA">
              <w:rPr>
                <w:sz w:val="20"/>
              </w:rPr>
              <w:t>701-028-2</w:t>
            </w:r>
          </w:p>
          <w:p w14:paraId="63C05D56" w14:textId="77777777" w:rsidR="00E93CF9" w:rsidRPr="001428AA" w:rsidRDefault="00E93CF9" w:rsidP="00E93CF9">
            <w:pPr>
              <w:jc w:val="center"/>
              <w:rPr>
                <w:sz w:val="20"/>
                <w:szCs w:val="20"/>
              </w:rPr>
            </w:pPr>
          </w:p>
          <w:p w14:paraId="2C5CFE8E" w14:textId="65C9A579" w:rsidR="00E93CF9" w:rsidRPr="001428AA" w:rsidRDefault="00E93CF9" w:rsidP="00E93CF9">
            <w:pPr>
              <w:jc w:val="center"/>
              <w:rPr>
                <w:sz w:val="20"/>
                <w:szCs w:val="20"/>
              </w:rPr>
            </w:pPr>
            <w:r w:rsidRPr="001428AA">
              <w:rPr>
                <w:sz w:val="20"/>
              </w:rPr>
              <w:t>608-492-4</w:t>
            </w:r>
          </w:p>
          <w:p w14:paraId="03DE0F1E" w14:textId="77777777" w:rsidR="00E93CF9" w:rsidRPr="001428AA" w:rsidRDefault="00E93CF9" w:rsidP="00E93CF9">
            <w:pPr>
              <w:jc w:val="center"/>
              <w:rPr>
                <w:sz w:val="20"/>
                <w:szCs w:val="20"/>
              </w:rPr>
            </w:pPr>
          </w:p>
          <w:p w14:paraId="0FE83D65" w14:textId="069E6AE0" w:rsidR="00E93CF9" w:rsidRPr="001428AA" w:rsidRDefault="00E93CF9" w:rsidP="00E93CF9">
            <w:pPr>
              <w:jc w:val="center"/>
              <w:rPr>
                <w:sz w:val="20"/>
                <w:szCs w:val="20"/>
              </w:rPr>
            </w:pPr>
            <w:r w:rsidRPr="001428AA">
              <w:rPr>
                <w:sz w:val="20"/>
              </w:rPr>
              <w:t>247-759-6</w:t>
            </w:r>
          </w:p>
        </w:tc>
      </w:tr>
      <w:tr w:rsidR="00E93CF9" w:rsidRPr="001428AA" w14:paraId="0897E629" w14:textId="5B8808FB" w:rsidTr="00EB2FDE">
        <w:tc>
          <w:tcPr>
            <w:tcW w:w="3449" w:type="dxa"/>
          </w:tcPr>
          <w:p w14:paraId="2952BEDB" w14:textId="77777777" w:rsidR="00E93CF9" w:rsidRPr="001428AA" w:rsidRDefault="00E93CF9" w:rsidP="00E93CF9">
            <w:pPr>
              <w:rPr>
                <w:sz w:val="20"/>
                <w:szCs w:val="20"/>
              </w:rPr>
            </w:pPr>
            <w:r w:rsidRPr="001428AA">
              <w:rPr>
                <w:sz w:val="20"/>
              </w:rPr>
              <w:t xml:space="preserve">Reaktionsprodukter af 1,3,4-thiadiazolidin-2,5-dithion, formaldehyd og 4-heptylphenol, forgrenede og ligekædede (RP-HP) </w:t>
            </w:r>
          </w:p>
          <w:p w14:paraId="561DC03D" w14:textId="66709812" w:rsidR="00E93CF9" w:rsidRPr="001428AA" w:rsidRDefault="00E93CF9" w:rsidP="00E93CF9">
            <w:pPr>
              <w:rPr>
                <w:sz w:val="20"/>
                <w:szCs w:val="20"/>
              </w:rPr>
            </w:pPr>
            <w:r w:rsidRPr="001428AA">
              <w:rPr>
                <w:sz w:val="20"/>
              </w:rPr>
              <w:t>[med ≥ 0,1 vægtprocent 4-heptylphenol, forgrenet og ligekædet]</w:t>
            </w:r>
          </w:p>
        </w:tc>
        <w:tc>
          <w:tcPr>
            <w:tcW w:w="2680" w:type="dxa"/>
            <w:vAlign w:val="center"/>
          </w:tcPr>
          <w:p w14:paraId="1D2CFB63" w14:textId="3B133BDB" w:rsidR="00E93CF9" w:rsidRPr="001428AA" w:rsidRDefault="00E93CF9" w:rsidP="00E93CF9">
            <w:pPr>
              <w:pStyle w:val="ListParagraph"/>
              <w:ind w:hanging="845"/>
              <w:jc w:val="center"/>
              <w:rPr>
                <w:sz w:val="20"/>
                <w:szCs w:val="20"/>
              </w:rPr>
            </w:pPr>
            <w:r w:rsidRPr="001428AA">
              <w:rPr>
                <w:sz w:val="20"/>
              </w:rPr>
              <w:t>-</w:t>
            </w:r>
          </w:p>
        </w:tc>
        <w:tc>
          <w:tcPr>
            <w:tcW w:w="2676" w:type="dxa"/>
            <w:vAlign w:val="center"/>
          </w:tcPr>
          <w:p w14:paraId="0CCD755B" w14:textId="5C672518" w:rsidR="00E93CF9" w:rsidRPr="001428AA" w:rsidRDefault="00E93CF9" w:rsidP="00E93CF9">
            <w:pPr>
              <w:pStyle w:val="ListParagraph"/>
              <w:ind w:hanging="720"/>
              <w:jc w:val="center"/>
              <w:rPr>
                <w:sz w:val="20"/>
                <w:szCs w:val="20"/>
              </w:rPr>
            </w:pPr>
            <w:r w:rsidRPr="001428AA">
              <w:rPr>
                <w:sz w:val="20"/>
              </w:rPr>
              <w:t>-</w:t>
            </w:r>
          </w:p>
        </w:tc>
      </w:tr>
      <w:tr w:rsidR="00E93CF9" w:rsidRPr="001428AA" w14:paraId="02A73360" w14:textId="411BD450" w:rsidTr="00A95817">
        <w:tc>
          <w:tcPr>
            <w:tcW w:w="3449" w:type="dxa"/>
          </w:tcPr>
          <w:p w14:paraId="4665671F" w14:textId="15FFA47B" w:rsidR="00E93CF9" w:rsidRPr="001428AA" w:rsidRDefault="00E93CF9" w:rsidP="00E93CF9">
            <w:pPr>
              <w:rPr>
                <w:sz w:val="20"/>
                <w:szCs w:val="20"/>
              </w:rPr>
            </w:pPr>
            <w:r w:rsidRPr="001428AA">
              <w:rPr>
                <w:sz w:val="20"/>
              </w:rPr>
              <w:t>4-tert-pentylpheno l (PTAP)</w:t>
            </w:r>
          </w:p>
        </w:tc>
        <w:tc>
          <w:tcPr>
            <w:tcW w:w="2680" w:type="dxa"/>
            <w:vAlign w:val="center"/>
          </w:tcPr>
          <w:p w14:paraId="71224A09" w14:textId="7C06FC95" w:rsidR="00E93CF9" w:rsidRPr="001428AA" w:rsidRDefault="00E93CF9" w:rsidP="00E93CF9">
            <w:pPr>
              <w:jc w:val="center"/>
              <w:rPr>
                <w:sz w:val="20"/>
                <w:szCs w:val="20"/>
              </w:rPr>
            </w:pPr>
            <w:r w:rsidRPr="001428AA">
              <w:rPr>
                <w:sz w:val="20"/>
              </w:rPr>
              <w:t>80-46-6</w:t>
            </w:r>
          </w:p>
        </w:tc>
        <w:tc>
          <w:tcPr>
            <w:tcW w:w="2676" w:type="dxa"/>
            <w:vAlign w:val="center"/>
          </w:tcPr>
          <w:p w14:paraId="63ACDA00" w14:textId="3314CB6D" w:rsidR="00E93CF9" w:rsidRPr="001428AA" w:rsidRDefault="00E93CF9" w:rsidP="00E93CF9">
            <w:pPr>
              <w:jc w:val="center"/>
              <w:rPr>
                <w:sz w:val="20"/>
                <w:szCs w:val="20"/>
              </w:rPr>
            </w:pPr>
            <w:r w:rsidRPr="001428AA">
              <w:rPr>
                <w:sz w:val="20"/>
              </w:rPr>
              <w:t>201-280-9</w:t>
            </w:r>
          </w:p>
        </w:tc>
      </w:tr>
      <w:tr w:rsidR="00E93CF9" w:rsidRPr="001428AA" w14:paraId="07FA3306" w14:textId="79342323" w:rsidTr="00A95817">
        <w:tc>
          <w:tcPr>
            <w:tcW w:w="3449" w:type="dxa"/>
            <w:vAlign w:val="center"/>
          </w:tcPr>
          <w:p w14:paraId="636A957B" w14:textId="0F92096D" w:rsidR="00E93CF9" w:rsidRPr="001428AA" w:rsidRDefault="00E93CF9" w:rsidP="00E93CF9">
            <w:pPr>
              <w:rPr>
                <w:sz w:val="20"/>
                <w:szCs w:val="20"/>
              </w:rPr>
            </w:pPr>
            <w:r w:rsidRPr="001428AA">
              <w:rPr>
                <w:sz w:val="20"/>
              </w:rPr>
              <w:t>Diisobutylphthalat (DIBP)</w:t>
            </w:r>
          </w:p>
        </w:tc>
        <w:tc>
          <w:tcPr>
            <w:tcW w:w="2680" w:type="dxa"/>
            <w:vAlign w:val="center"/>
          </w:tcPr>
          <w:p w14:paraId="668D3727" w14:textId="3FCCF2A2" w:rsidR="00E93CF9" w:rsidRPr="001428AA" w:rsidRDefault="00E93CF9" w:rsidP="00E93CF9">
            <w:pPr>
              <w:jc w:val="center"/>
              <w:rPr>
                <w:sz w:val="20"/>
                <w:szCs w:val="20"/>
              </w:rPr>
            </w:pPr>
            <w:r w:rsidRPr="001428AA">
              <w:rPr>
                <w:sz w:val="20"/>
              </w:rPr>
              <w:t>84-69-5</w:t>
            </w:r>
          </w:p>
        </w:tc>
        <w:tc>
          <w:tcPr>
            <w:tcW w:w="2676" w:type="dxa"/>
            <w:vAlign w:val="center"/>
          </w:tcPr>
          <w:p w14:paraId="6035008E" w14:textId="5AA54357" w:rsidR="00E93CF9" w:rsidRPr="001428AA" w:rsidRDefault="00E93CF9" w:rsidP="00E93CF9">
            <w:pPr>
              <w:jc w:val="center"/>
              <w:rPr>
                <w:sz w:val="20"/>
                <w:szCs w:val="20"/>
              </w:rPr>
            </w:pPr>
            <w:r w:rsidRPr="001428AA">
              <w:rPr>
                <w:sz w:val="20"/>
              </w:rPr>
              <w:t>201-553-2</w:t>
            </w:r>
          </w:p>
        </w:tc>
      </w:tr>
      <w:tr w:rsidR="00E93CF9" w:rsidRPr="001428AA" w14:paraId="425C7666" w14:textId="6C6337C0" w:rsidTr="00A95817">
        <w:tc>
          <w:tcPr>
            <w:tcW w:w="3449" w:type="dxa"/>
            <w:vAlign w:val="center"/>
          </w:tcPr>
          <w:p w14:paraId="2484315E" w14:textId="39C8F1D1" w:rsidR="00E93CF9" w:rsidRPr="001428AA" w:rsidRDefault="00E93CF9" w:rsidP="00E93CF9">
            <w:pPr>
              <w:rPr>
                <w:sz w:val="20"/>
                <w:szCs w:val="20"/>
              </w:rPr>
            </w:pPr>
            <w:r w:rsidRPr="001428AA">
              <w:rPr>
                <w:sz w:val="20"/>
              </w:rPr>
              <w:t>Dicyclohexylphthalat (DCHP)</w:t>
            </w:r>
          </w:p>
        </w:tc>
        <w:tc>
          <w:tcPr>
            <w:tcW w:w="2680" w:type="dxa"/>
            <w:vAlign w:val="center"/>
          </w:tcPr>
          <w:p w14:paraId="0BACDEA1" w14:textId="3485091E" w:rsidR="00E93CF9" w:rsidRPr="001428AA" w:rsidRDefault="00E93CF9" w:rsidP="00E93CF9">
            <w:pPr>
              <w:jc w:val="center"/>
              <w:rPr>
                <w:sz w:val="20"/>
                <w:szCs w:val="20"/>
              </w:rPr>
            </w:pPr>
            <w:r w:rsidRPr="001428AA">
              <w:rPr>
                <w:sz w:val="20"/>
              </w:rPr>
              <w:t>84-61-7</w:t>
            </w:r>
          </w:p>
        </w:tc>
        <w:tc>
          <w:tcPr>
            <w:tcW w:w="2676" w:type="dxa"/>
            <w:vAlign w:val="center"/>
          </w:tcPr>
          <w:p w14:paraId="355EBDBB" w14:textId="6EBB9CB0" w:rsidR="00E93CF9" w:rsidRPr="001428AA" w:rsidRDefault="00E93CF9" w:rsidP="00E93CF9">
            <w:pPr>
              <w:jc w:val="center"/>
              <w:rPr>
                <w:sz w:val="20"/>
                <w:szCs w:val="20"/>
              </w:rPr>
            </w:pPr>
            <w:r w:rsidRPr="001428AA">
              <w:rPr>
                <w:sz w:val="20"/>
              </w:rPr>
              <w:t>201-545-9</w:t>
            </w:r>
          </w:p>
        </w:tc>
      </w:tr>
      <w:tr w:rsidR="00E93CF9" w:rsidRPr="001428AA" w14:paraId="1EEDD8D3" w14:textId="0EA187E0" w:rsidTr="00A95817">
        <w:tc>
          <w:tcPr>
            <w:tcW w:w="3449" w:type="dxa"/>
            <w:vAlign w:val="center"/>
          </w:tcPr>
          <w:p w14:paraId="7036FC18" w14:textId="436DC02A" w:rsidR="00E93CF9" w:rsidRPr="001428AA" w:rsidRDefault="00E93CF9" w:rsidP="00E93CF9">
            <w:pPr>
              <w:rPr>
                <w:sz w:val="20"/>
                <w:szCs w:val="20"/>
              </w:rPr>
            </w:pPr>
            <w:r w:rsidRPr="001428AA">
              <w:rPr>
                <w:sz w:val="20"/>
              </w:rPr>
              <w:t>Dibutylphthalat (DBP)</w:t>
            </w:r>
          </w:p>
        </w:tc>
        <w:tc>
          <w:tcPr>
            <w:tcW w:w="2680" w:type="dxa"/>
            <w:vAlign w:val="center"/>
          </w:tcPr>
          <w:p w14:paraId="5A8AB5A7" w14:textId="2E76EF25" w:rsidR="00E93CF9" w:rsidRPr="001428AA" w:rsidRDefault="00E93CF9" w:rsidP="00E93CF9">
            <w:pPr>
              <w:jc w:val="center"/>
              <w:rPr>
                <w:sz w:val="20"/>
                <w:szCs w:val="20"/>
              </w:rPr>
            </w:pPr>
            <w:r w:rsidRPr="001428AA">
              <w:rPr>
                <w:sz w:val="20"/>
              </w:rPr>
              <w:t>84-74-2</w:t>
            </w:r>
          </w:p>
        </w:tc>
        <w:tc>
          <w:tcPr>
            <w:tcW w:w="2676" w:type="dxa"/>
            <w:vAlign w:val="center"/>
          </w:tcPr>
          <w:p w14:paraId="65E66727" w14:textId="23C124CD" w:rsidR="00E93CF9" w:rsidRPr="001428AA" w:rsidRDefault="00E93CF9" w:rsidP="00E93CF9">
            <w:pPr>
              <w:jc w:val="center"/>
              <w:rPr>
                <w:sz w:val="20"/>
                <w:szCs w:val="20"/>
              </w:rPr>
            </w:pPr>
            <w:r w:rsidRPr="001428AA">
              <w:rPr>
                <w:sz w:val="20"/>
              </w:rPr>
              <w:t>201-557-4</w:t>
            </w:r>
          </w:p>
        </w:tc>
      </w:tr>
      <w:tr w:rsidR="00E93CF9" w:rsidRPr="001428AA" w14:paraId="529DDB67" w14:textId="531027A5" w:rsidTr="00A95817">
        <w:tc>
          <w:tcPr>
            <w:tcW w:w="3449" w:type="dxa"/>
            <w:vAlign w:val="center"/>
          </w:tcPr>
          <w:p w14:paraId="25A3DAD7" w14:textId="6E54A57D" w:rsidR="00E93CF9" w:rsidRPr="001428AA" w:rsidRDefault="00E93CF9" w:rsidP="00E93CF9">
            <w:pPr>
              <w:rPr>
                <w:sz w:val="20"/>
                <w:szCs w:val="20"/>
              </w:rPr>
            </w:pPr>
            <w:r w:rsidRPr="001428AA">
              <w:rPr>
                <w:sz w:val="20"/>
              </w:rPr>
              <w:t xml:space="preserve">Cholecalciferol </w:t>
            </w:r>
          </w:p>
        </w:tc>
        <w:tc>
          <w:tcPr>
            <w:tcW w:w="2680" w:type="dxa"/>
            <w:vAlign w:val="center"/>
          </w:tcPr>
          <w:p w14:paraId="22976ACA" w14:textId="43AD9574" w:rsidR="00E93CF9" w:rsidRPr="001428AA" w:rsidRDefault="00E93CF9" w:rsidP="00E93CF9">
            <w:pPr>
              <w:jc w:val="center"/>
              <w:rPr>
                <w:sz w:val="20"/>
                <w:szCs w:val="20"/>
              </w:rPr>
            </w:pPr>
            <w:r w:rsidRPr="001428AA">
              <w:rPr>
                <w:sz w:val="20"/>
              </w:rPr>
              <w:t>67-97-0</w:t>
            </w:r>
          </w:p>
        </w:tc>
        <w:tc>
          <w:tcPr>
            <w:tcW w:w="2676" w:type="dxa"/>
            <w:vAlign w:val="center"/>
          </w:tcPr>
          <w:p w14:paraId="2DCDD509" w14:textId="754B59D4" w:rsidR="00E93CF9" w:rsidRPr="001428AA" w:rsidRDefault="00E93CF9" w:rsidP="00E93CF9">
            <w:pPr>
              <w:jc w:val="center"/>
              <w:rPr>
                <w:sz w:val="20"/>
                <w:szCs w:val="20"/>
              </w:rPr>
            </w:pPr>
            <w:r w:rsidRPr="001428AA">
              <w:rPr>
                <w:sz w:val="20"/>
              </w:rPr>
              <w:t>200-673-2</w:t>
            </w:r>
          </w:p>
        </w:tc>
      </w:tr>
      <w:tr w:rsidR="00E93CF9" w:rsidRPr="001428AA" w14:paraId="5B54DEFF" w14:textId="77777777" w:rsidTr="00A95817">
        <w:tc>
          <w:tcPr>
            <w:tcW w:w="3449" w:type="dxa"/>
            <w:vAlign w:val="center"/>
          </w:tcPr>
          <w:p w14:paraId="159E6E20" w14:textId="462AB5BD" w:rsidR="00E93CF9" w:rsidRPr="001428AA" w:rsidRDefault="00E93CF9" w:rsidP="00E93CF9">
            <w:pPr>
              <w:rPr>
                <w:sz w:val="20"/>
                <w:szCs w:val="20"/>
              </w:rPr>
            </w:pPr>
            <w:r w:rsidRPr="001428AA">
              <w:rPr>
                <w:sz w:val="20"/>
              </w:rPr>
              <w:t>Butyl 4-hydroxybenzoat</w:t>
            </w:r>
          </w:p>
        </w:tc>
        <w:tc>
          <w:tcPr>
            <w:tcW w:w="2680" w:type="dxa"/>
            <w:vAlign w:val="center"/>
          </w:tcPr>
          <w:p w14:paraId="79F3709A" w14:textId="66C22049" w:rsidR="00E93CF9" w:rsidRPr="001428AA" w:rsidRDefault="00E93CF9" w:rsidP="00E93CF9">
            <w:pPr>
              <w:jc w:val="center"/>
              <w:rPr>
                <w:sz w:val="20"/>
                <w:szCs w:val="20"/>
              </w:rPr>
            </w:pPr>
            <w:r w:rsidRPr="001428AA">
              <w:rPr>
                <w:sz w:val="20"/>
              </w:rPr>
              <w:t>94-26-8</w:t>
            </w:r>
          </w:p>
        </w:tc>
        <w:tc>
          <w:tcPr>
            <w:tcW w:w="2676" w:type="dxa"/>
            <w:vAlign w:val="center"/>
          </w:tcPr>
          <w:p w14:paraId="0B33BFE1" w14:textId="0243ABFA" w:rsidR="00E93CF9" w:rsidRPr="001428AA" w:rsidRDefault="00E93CF9" w:rsidP="00E93CF9">
            <w:pPr>
              <w:jc w:val="center"/>
              <w:rPr>
                <w:sz w:val="20"/>
                <w:szCs w:val="20"/>
              </w:rPr>
            </w:pPr>
            <w:r w:rsidRPr="001428AA">
              <w:rPr>
                <w:sz w:val="20"/>
              </w:rPr>
              <w:t>202-318-7</w:t>
            </w:r>
          </w:p>
        </w:tc>
      </w:tr>
      <w:tr w:rsidR="00E93CF9" w:rsidRPr="001428AA" w14:paraId="13C0F189" w14:textId="77777777" w:rsidTr="00A95817">
        <w:tc>
          <w:tcPr>
            <w:tcW w:w="3449" w:type="dxa"/>
            <w:vAlign w:val="center"/>
          </w:tcPr>
          <w:p w14:paraId="0C63F40B" w14:textId="3A5C7A89" w:rsidR="00E93CF9" w:rsidRPr="001428AA" w:rsidRDefault="00E93CF9" w:rsidP="00E93CF9">
            <w:pPr>
              <w:rPr>
                <w:sz w:val="20"/>
                <w:szCs w:val="20"/>
              </w:rPr>
            </w:pPr>
            <w:r w:rsidRPr="001428AA">
              <w:rPr>
                <w:sz w:val="20"/>
              </w:rPr>
              <w:t>4,4'-isopropylidendiphenol (bisphenol A)</w:t>
            </w:r>
          </w:p>
        </w:tc>
        <w:tc>
          <w:tcPr>
            <w:tcW w:w="2680" w:type="dxa"/>
            <w:vAlign w:val="center"/>
          </w:tcPr>
          <w:p w14:paraId="7195F839" w14:textId="405D7D8A" w:rsidR="00E93CF9" w:rsidRPr="001428AA" w:rsidRDefault="00E93CF9" w:rsidP="00E93CF9">
            <w:pPr>
              <w:jc w:val="center"/>
              <w:rPr>
                <w:sz w:val="20"/>
                <w:szCs w:val="20"/>
              </w:rPr>
            </w:pPr>
            <w:r w:rsidRPr="001428AA">
              <w:rPr>
                <w:sz w:val="20"/>
              </w:rPr>
              <w:t>80-05-7</w:t>
            </w:r>
          </w:p>
        </w:tc>
        <w:tc>
          <w:tcPr>
            <w:tcW w:w="2676" w:type="dxa"/>
            <w:vAlign w:val="center"/>
          </w:tcPr>
          <w:p w14:paraId="2160A5AF" w14:textId="5DA5FBFC" w:rsidR="00E93CF9" w:rsidRPr="001428AA" w:rsidRDefault="00E93CF9" w:rsidP="00E93CF9">
            <w:pPr>
              <w:jc w:val="center"/>
              <w:rPr>
                <w:sz w:val="20"/>
                <w:szCs w:val="20"/>
              </w:rPr>
            </w:pPr>
            <w:r w:rsidRPr="001428AA">
              <w:rPr>
                <w:sz w:val="20"/>
              </w:rPr>
              <w:t>201-245-8</w:t>
            </w:r>
          </w:p>
        </w:tc>
      </w:tr>
      <w:tr w:rsidR="00E93CF9" w:rsidRPr="001428AA" w14:paraId="270E6B64" w14:textId="77777777" w:rsidTr="00A95817">
        <w:tc>
          <w:tcPr>
            <w:tcW w:w="3449" w:type="dxa"/>
            <w:vAlign w:val="center"/>
          </w:tcPr>
          <w:p w14:paraId="4F5992E0" w14:textId="242606A2" w:rsidR="00E93CF9" w:rsidRPr="001428AA" w:rsidRDefault="00E93CF9" w:rsidP="00E93CF9">
            <w:pPr>
              <w:rPr>
                <w:sz w:val="20"/>
                <w:szCs w:val="20"/>
              </w:rPr>
            </w:pPr>
            <w:r w:rsidRPr="001428AA">
              <w:rPr>
                <w:sz w:val="20"/>
              </w:rPr>
              <w:t>Bis(2-ethylhexyl) phthalat (DEHP)</w:t>
            </w:r>
          </w:p>
        </w:tc>
        <w:tc>
          <w:tcPr>
            <w:tcW w:w="2680" w:type="dxa"/>
            <w:vAlign w:val="center"/>
          </w:tcPr>
          <w:p w14:paraId="3A6479C9" w14:textId="43C0DF1E" w:rsidR="00E93CF9" w:rsidRPr="001428AA" w:rsidRDefault="00E93CF9" w:rsidP="00E93CF9">
            <w:pPr>
              <w:jc w:val="center"/>
              <w:rPr>
                <w:sz w:val="20"/>
                <w:szCs w:val="20"/>
              </w:rPr>
            </w:pPr>
            <w:r w:rsidRPr="001428AA">
              <w:rPr>
                <w:sz w:val="20"/>
              </w:rPr>
              <w:t>117-81-7</w:t>
            </w:r>
          </w:p>
        </w:tc>
        <w:tc>
          <w:tcPr>
            <w:tcW w:w="2676" w:type="dxa"/>
            <w:vAlign w:val="center"/>
          </w:tcPr>
          <w:p w14:paraId="3BA0E8C4" w14:textId="0AE4C2CB" w:rsidR="00E93CF9" w:rsidRPr="001428AA" w:rsidRDefault="00E93CF9" w:rsidP="00E93CF9">
            <w:pPr>
              <w:jc w:val="center"/>
              <w:rPr>
                <w:sz w:val="20"/>
                <w:szCs w:val="20"/>
              </w:rPr>
            </w:pPr>
            <w:r w:rsidRPr="001428AA">
              <w:rPr>
                <w:sz w:val="20"/>
              </w:rPr>
              <w:t>204-211-0</w:t>
            </w:r>
          </w:p>
        </w:tc>
      </w:tr>
      <w:tr w:rsidR="00E93CF9" w:rsidRPr="001428AA" w14:paraId="6797E19F" w14:textId="77777777" w:rsidTr="00A95817">
        <w:tc>
          <w:tcPr>
            <w:tcW w:w="3449" w:type="dxa"/>
            <w:vAlign w:val="center"/>
          </w:tcPr>
          <w:p w14:paraId="29DBA1BA" w14:textId="60CD7756" w:rsidR="00E93CF9" w:rsidRPr="001428AA" w:rsidRDefault="00E93CF9" w:rsidP="00E93CF9">
            <w:pPr>
              <w:rPr>
                <w:sz w:val="20"/>
                <w:szCs w:val="20"/>
              </w:rPr>
            </w:pPr>
            <w:r w:rsidRPr="001428AA">
              <w:rPr>
                <w:sz w:val="20"/>
              </w:rPr>
              <w:t>Benzylbutylphthalat (BBP)</w:t>
            </w:r>
          </w:p>
        </w:tc>
        <w:tc>
          <w:tcPr>
            <w:tcW w:w="2680" w:type="dxa"/>
            <w:vAlign w:val="center"/>
          </w:tcPr>
          <w:p w14:paraId="69D82BEB" w14:textId="593C634E" w:rsidR="00E93CF9" w:rsidRPr="001428AA" w:rsidRDefault="00E93CF9" w:rsidP="00E93CF9">
            <w:pPr>
              <w:jc w:val="center"/>
              <w:rPr>
                <w:sz w:val="20"/>
                <w:szCs w:val="20"/>
              </w:rPr>
            </w:pPr>
            <w:r w:rsidRPr="001428AA">
              <w:rPr>
                <w:sz w:val="20"/>
              </w:rPr>
              <w:t>85-68-7</w:t>
            </w:r>
          </w:p>
        </w:tc>
        <w:tc>
          <w:tcPr>
            <w:tcW w:w="2676" w:type="dxa"/>
            <w:vAlign w:val="center"/>
          </w:tcPr>
          <w:p w14:paraId="2519BDED" w14:textId="7CBA8644" w:rsidR="00E93CF9" w:rsidRPr="001428AA" w:rsidRDefault="00E93CF9" w:rsidP="00E93CF9">
            <w:pPr>
              <w:jc w:val="center"/>
              <w:rPr>
                <w:sz w:val="20"/>
                <w:szCs w:val="20"/>
              </w:rPr>
            </w:pPr>
            <w:r w:rsidRPr="001428AA">
              <w:rPr>
                <w:sz w:val="20"/>
              </w:rPr>
              <w:t>201-622-7</w:t>
            </w:r>
          </w:p>
        </w:tc>
      </w:tr>
      <w:tr w:rsidR="00E93CF9" w:rsidRPr="001428AA" w14:paraId="20DA067C" w14:textId="77777777" w:rsidTr="00A95817">
        <w:tc>
          <w:tcPr>
            <w:tcW w:w="3449" w:type="dxa"/>
            <w:vAlign w:val="center"/>
          </w:tcPr>
          <w:p w14:paraId="5FD4C2D6" w14:textId="44B73653" w:rsidR="00E93CF9" w:rsidRPr="001428AA" w:rsidRDefault="00E93CF9" w:rsidP="00E93CF9">
            <w:pPr>
              <w:rPr>
                <w:sz w:val="20"/>
                <w:szCs w:val="20"/>
              </w:rPr>
            </w:pPr>
            <w:r w:rsidRPr="001428AA">
              <w:rPr>
                <w:sz w:val="20"/>
              </w:rPr>
              <w:t>4-tert-butylphenol</w:t>
            </w:r>
          </w:p>
        </w:tc>
        <w:tc>
          <w:tcPr>
            <w:tcW w:w="2680" w:type="dxa"/>
            <w:vAlign w:val="center"/>
          </w:tcPr>
          <w:p w14:paraId="00437B17" w14:textId="1ABDE43A" w:rsidR="00E93CF9" w:rsidRPr="001428AA" w:rsidRDefault="00E93CF9" w:rsidP="00E93CF9">
            <w:pPr>
              <w:jc w:val="center"/>
              <w:rPr>
                <w:sz w:val="20"/>
                <w:szCs w:val="20"/>
              </w:rPr>
            </w:pPr>
            <w:r w:rsidRPr="001428AA">
              <w:rPr>
                <w:sz w:val="20"/>
              </w:rPr>
              <w:t>98-54-4</w:t>
            </w:r>
          </w:p>
        </w:tc>
        <w:tc>
          <w:tcPr>
            <w:tcW w:w="2676" w:type="dxa"/>
            <w:vAlign w:val="center"/>
          </w:tcPr>
          <w:p w14:paraId="37D5D1AF" w14:textId="01E952ED" w:rsidR="00E93CF9" w:rsidRPr="001428AA" w:rsidRDefault="00E93CF9" w:rsidP="00E93CF9">
            <w:pPr>
              <w:jc w:val="center"/>
              <w:rPr>
                <w:sz w:val="20"/>
                <w:szCs w:val="20"/>
              </w:rPr>
            </w:pPr>
            <w:r w:rsidRPr="001428AA">
              <w:rPr>
                <w:sz w:val="20"/>
              </w:rPr>
              <w:t>202-679-0</w:t>
            </w:r>
          </w:p>
        </w:tc>
      </w:tr>
      <w:tr w:rsidR="00E93CF9" w:rsidRPr="001428AA" w14:paraId="5CD11AC7" w14:textId="77777777" w:rsidTr="00A95817">
        <w:tc>
          <w:tcPr>
            <w:tcW w:w="3449" w:type="dxa"/>
            <w:vAlign w:val="center"/>
          </w:tcPr>
          <w:p w14:paraId="595A2B78" w14:textId="338FB50F" w:rsidR="00E93CF9" w:rsidRPr="001428AA" w:rsidRDefault="00E93CF9" w:rsidP="00E93CF9">
            <w:pPr>
              <w:rPr>
                <w:sz w:val="20"/>
                <w:szCs w:val="20"/>
              </w:rPr>
            </w:pPr>
            <w:r w:rsidRPr="001428AA">
              <w:rPr>
                <w:sz w:val="20"/>
              </w:rPr>
              <w:t>4-Nonylphenolethoxylat, forgrenet og ligekædet, [stoffer, med ligekædet og/eller forgrenet alkylkæde, med 9 kovalent bundne carbonatomer i phenolposition 4, ethoxyleret, omfattende UVCB-stoffer og veldefinerede stoffer, polymerer og homologer, som omfatter alle individuelle isomerer og/eller kombinationer heraf]</w:t>
            </w:r>
          </w:p>
        </w:tc>
        <w:tc>
          <w:tcPr>
            <w:tcW w:w="2680" w:type="dxa"/>
            <w:vAlign w:val="center"/>
          </w:tcPr>
          <w:p w14:paraId="73427E3F" w14:textId="4AAC527B" w:rsidR="00E93CF9" w:rsidRPr="001428AA" w:rsidRDefault="00E93CF9" w:rsidP="00E93CF9">
            <w:pPr>
              <w:jc w:val="center"/>
              <w:rPr>
                <w:sz w:val="20"/>
                <w:szCs w:val="20"/>
              </w:rPr>
            </w:pPr>
            <w:r w:rsidRPr="001428AA">
              <w:rPr>
                <w:sz w:val="20"/>
              </w:rPr>
              <w:t>-</w:t>
            </w:r>
          </w:p>
        </w:tc>
        <w:tc>
          <w:tcPr>
            <w:tcW w:w="2676" w:type="dxa"/>
            <w:vAlign w:val="center"/>
          </w:tcPr>
          <w:p w14:paraId="58F2270E" w14:textId="4C2D10BD" w:rsidR="00E93CF9" w:rsidRPr="001428AA" w:rsidRDefault="00E93CF9" w:rsidP="00E93CF9">
            <w:pPr>
              <w:jc w:val="center"/>
              <w:rPr>
                <w:sz w:val="20"/>
                <w:szCs w:val="20"/>
              </w:rPr>
            </w:pPr>
            <w:r w:rsidRPr="001428AA">
              <w:rPr>
                <w:sz w:val="20"/>
              </w:rPr>
              <w:t>-</w:t>
            </w:r>
          </w:p>
        </w:tc>
      </w:tr>
      <w:tr w:rsidR="00E93CF9" w:rsidRPr="001428AA" w14:paraId="0EE8A2D2" w14:textId="77777777" w:rsidTr="00A95817">
        <w:tc>
          <w:tcPr>
            <w:tcW w:w="3449" w:type="dxa"/>
            <w:vAlign w:val="center"/>
          </w:tcPr>
          <w:p w14:paraId="6ADB878B" w14:textId="3E37E507" w:rsidR="00E93CF9" w:rsidRPr="001428AA" w:rsidRDefault="00E93CF9" w:rsidP="00E93CF9">
            <w:pPr>
              <w:rPr>
                <w:sz w:val="20"/>
                <w:szCs w:val="20"/>
              </w:rPr>
            </w:pPr>
            <w:r w:rsidRPr="001428AA">
              <w:rPr>
                <w:sz w:val="20"/>
              </w:rPr>
              <w:t>4-Nonylphenol, forgrenet og ligekædet [stoffer, med ligekædet og/eller forgrenet alkylkæde, med 9 kovalent bundne carbonatomer i phenolposition 4, ethoxylerede, der dækker UVCB-stoffer og veldefinerede stoffer, polymerer og homologer, som omfatter alle individuelle isomerer og/eller kombinationer heraf]</w:t>
            </w:r>
          </w:p>
        </w:tc>
        <w:tc>
          <w:tcPr>
            <w:tcW w:w="2680" w:type="dxa"/>
            <w:vAlign w:val="center"/>
          </w:tcPr>
          <w:p w14:paraId="02EBD6A3" w14:textId="5BDF1D2B" w:rsidR="00E93CF9" w:rsidRPr="001428AA" w:rsidRDefault="00E93CF9" w:rsidP="00E93CF9">
            <w:pPr>
              <w:jc w:val="center"/>
              <w:rPr>
                <w:sz w:val="20"/>
                <w:szCs w:val="20"/>
              </w:rPr>
            </w:pPr>
            <w:r w:rsidRPr="001428AA">
              <w:rPr>
                <w:sz w:val="20"/>
              </w:rPr>
              <w:t>-</w:t>
            </w:r>
          </w:p>
        </w:tc>
        <w:tc>
          <w:tcPr>
            <w:tcW w:w="2676" w:type="dxa"/>
            <w:vAlign w:val="center"/>
          </w:tcPr>
          <w:p w14:paraId="2C95EE6D" w14:textId="77E800D8" w:rsidR="00E93CF9" w:rsidRPr="001428AA" w:rsidRDefault="00E93CF9" w:rsidP="00E93CF9">
            <w:pPr>
              <w:jc w:val="center"/>
              <w:rPr>
                <w:sz w:val="20"/>
                <w:szCs w:val="20"/>
              </w:rPr>
            </w:pPr>
            <w:r w:rsidRPr="001428AA">
              <w:rPr>
                <w:sz w:val="20"/>
              </w:rPr>
              <w:t>-</w:t>
            </w:r>
          </w:p>
        </w:tc>
      </w:tr>
      <w:tr w:rsidR="00E93CF9" w:rsidRPr="001428AA" w14:paraId="34ADB2EA" w14:textId="77777777" w:rsidTr="00A95817">
        <w:tc>
          <w:tcPr>
            <w:tcW w:w="3449" w:type="dxa"/>
            <w:vAlign w:val="center"/>
          </w:tcPr>
          <w:p w14:paraId="186E43BD" w14:textId="72C542A3" w:rsidR="00E93CF9" w:rsidRPr="001428AA" w:rsidRDefault="00E93CF9" w:rsidP="00E93CF9">
            <w:pPr>
              <w:rPr>
                <w:sz w:val="20"/>
                <w:szCs w:val="20"/>
              </w:rPr>
            </w:pPr>
            <w:r w:rsidRPr="001428AA">
              <w:rPr>
                <w:sz w:val="20"/>
              </w:rPr>
              <w:t>4-heptylphenol, forgrenet og ligekædet (4-HPBL)</w:t>
            </w:r>
          </w:p>
        </w:tc>
        <w:tc>
          <w:tcPr>
            <w:tcW w:w="2680" w:type="dxa"/>
            <w:vAlign w:val="center"/>
          </w:tcPr>
          <w:p w14:paraId="592958A4" w14:textId="65A8302B" w:rsidR="00E93CF9" w:rsidRPr="001428AA" w:rsidRDefault="00E93CF9" w:rsidP="00E93CF9">
            <w:pPr>
              <w:jc w:val="center"/>
              <w:rPr>
                <w:sz w:val="20"/>
                <w:szCs w:val="20"/>
              </w:rPr>
            </w:pPr>
            <w:r w:rsidRPr="001428AA">
              <w:rPr>
                <w:sz w:val="20"/>
              </w:rPr>
              <w:t>-</w:t>
            </w:r>
          </w:p>
        </w:tc>
        <w:tc>
          <w:tcPr>
            <w:tcW w:w="2676" w:type="dxa"/>
            <w:vAlign w:val="center"/>
          </w:tcPr>
          <w:p w14:paraId="223A6126" w14:textId="1A7544AC" w:rsidR="00E93CF9" w:rsidRPr="001428AA" w:rsidRDefault="00E93CF9" w:rsidP="00E93CF9">
            <w:pPr>
              <w:jc w:val="center"/>
              <w:rPr>
                <w:sz w:val="20"/>
                <w:szCs w:val="20"/>
              </w:rPr>
            </w:pPr>
            <w:r w:rsidRPr="001428AA">
              <w:rPr>
                <w:sz w:val="20"/>
              </w:rPr>
              <w:t>-</w:t>
            </w:r>
          </w:p>
        </w:tc>
      </w:tr>
      <w:tr w:rsidR="00E93CF9" w:rsidRPr="001428AA" w14:paraId="59E6D907" w14:textId="4C7289EB" w:rsidTr="00A95817">
        <w:tc>
          <w:tcPr>
            <w:tcW w:w="3449" w:type="dxa"/>
            <w:vAlign w:val="center"/>
          </w:tcPr>
          <w:p w14:paraId="13239AED" w14:textId="393D7566" w:rsidR="00E93CF9" w:rsidRPr="001428AA" w:rsidRDefault="00E93CF9" w:rsidP="00E93CF9">
            <w:pPr>
              <w:rPr>
                <w:sz w:val="20"/>
                <w:szCs w:val="20"/>
                <w:highlight w:val="yellow"/>
              </w:rPr>
            </w:pPr>
            <w:r w:rsidRPr="001428AA">
              <w:rPr>
                <w:sz w:val="20"/>
              </w:rPr>
              <w:t xml:space="preserve">4-(1,1,3,3-tetramethylbutyl)phenol, ethoxyleret – omfattende veldefinerede </w:t>
            </w:r>
            <w:r w:rsidRPr="001428AA">
              <w:rPr>
                <w:sz w:val="20"/>
              </w:rPr>
              <w:lastRenderedPageBreak/>
              <w:t>stoffer og UVCB, polymerer og homologe stoffer</w:t>
            </w:r>
          </w:p>
        </w:tc>
        <w:tc>
          <w:tcPr>
            <w:tcW w:w="2680" w:type="dxa"/>
            <w:vAlign w:val="center"/>
          </w:tcPr>
          <w:p w14:paraId="57FB2C7F" w14:textId="07B40523" w:rsidR="00E93CF9" w:rsidRPr="001428AA" w:rsidRDefault="00E93CF9" w:rsidP="00E93CF9">
            <w:pPr>
              <w:jc w:val="center"/>
              <w:rPr>
                <w:sz w:val="20"/>
                <w:szCs w:val="20"/>
              </w:rPr>
            </w:pPr>
            <w:r w:rsidRPr="001428AA">
              <w:rPr>
                <w:sz w:val="20"/>
              </w:rPr>
              <w:lastRenderedPageBreak/>
              <w:t>-</w:t>
            </w:r>
          </w:p>
        </w:tc>
        <w:tc>
          <w:tcPr>
            <w:tcW w:w="2676" w:type="dxa"/>
            <w:vAlign w:val="center"/>
          </w:tcPr>
          <w:p w14:paraId="6121D96E" w14:textId="1FD84B09" w:rsidR="00E93CF9" w:rsidRPr="001428AA" w:rsidRDefault="00E93CF9" w:rsidP="00E93CF9">
            <w:pPr>
              <w:jc w:val="center"/>
              <w:rPr>
                <w:sz w:val="20"/>
                <w:szCs w:val="20"/>
              </w:rPr>
            </w:pPr>
            <w:r w:rsidRPr="001428AA">
              <w:rPr>
                <w:sz w:val="20"/>
              </w:rPr>
              <w:t>-</w:t>
            </w:r>
          </w:p>
        </w:tc>
      </w:tr>
      <w:tr w:rsidR="00E93CF9" w:rsidRPr="001428AA" w14:paraId="56B0AACE" w14:textId="77777777" w:rsidTr="00A95817">
        <w:tc>
          <w:tcPr>
            <w:tcW w:w="3449" w:type="dxa"/>
            <w:vAlign w:val="center"/>
          </w:tcPr>
          <w:p w14:paraId="290681DC" w14:textId="74C36D90" w:rsidR="00E93CF9" w:rsidRPr="001428AA" w:rsidRDefault="00E93CF9" w:rsidP="00E93CF9">
            <w:pPr>
              <w:rPr>
                <w:sz w:val="20"/>
                <w:szCs w:val="20"/>
                <w:highlight w:val="yellow"/>
              </w:rPr>
            </w:pPr>
            <w:r w:rsidRPr="001428AA">
              <w:rPr>
                <w:sz w:val="20"/>
              </w:rPr>
              <w:t>4-(1,1,3,3-tetramethylbutyl)phenol</w:t>
            </w:r>
          </w:p>
        </w:tc>
        <w:tc>
          <w:tcPr>
            <w:tcW w:w="2680" w:type="dxa"/>
            <w:vAlign w:val="center"/>
          </w:tcPr>
          <w:p w14:paraId="79B08B3E" w14:textId="6F1EF702" w:rsidR="00E93CF9" w:rsidRPr="001428AA" w:rsidRDefault="00E93CF9" w:rsidP="00E93CF9">
            <w:pPr>
              <w:jc w:val="center"/>
              <w:rPr>
                <w:sz w:val="20"/>
                <w:szCs w:val="20"/>
              </w:rPr>
            </w:pPr>
            <w:r w:rsidRPr="001428AA">
              <w:rPr>
                <w:sz w:val="20"/>
              </w:rPr>
              <w:t>140-66-9</w:t>
            </w:r>
          </w:p>
        </w:tc>
        <w:tc>
          <w:tcPr>
            <w:tcW w:w="2676" w:type="dxa"/>
            <w:vAlign w:val="center"/>
          </w:tcPr>
          <w:p w14:paraId="04DABDD1" w14:textId="11F6E851" w:rsidR="00E93CF9" w:rsidRPr="001428AA" w:rsidRDefault="00E93CF9" w:rsidP="00E93CF9">
            <w:pPr>
              <w:jc w:val="center"/>
              <w:rPr>
                <w:sz w:val="20"/>
                <w:szCs w:val="20"/>
              </w:rPr>
            </w:pPr>
            <w:r w:rsidRPr="001428AA">
              <w:rPr>
                <w:sz w:val="20"/>
              </w:rPr>
              <w:t>205-426-2</w:t>
            </w:r>
          </w:p>
        </w:tc>
      </w:tr>
      <w:tr w:rsidR="00E93CF9" w:rsidRPr="001428AA" w14:paraId="51B46484" w14:textId="77777777" w:rsidTr="00A95817">
        <w:tc>
          <w:tcPr>
            <w:tcW w:w="3449" w:type="dxa"/>
          </w:tcPr>
          <w:p w14:paraId="7C0A8C8B" w14:textId="4716FABC" w:rsidR="00E93CF9" w:rsidRPr="001428AA" w:rsidRDefault="00E93CF9" w:rsidP="00E93CF9">
            <w:pPr>
              <w:rPr>
                <w:sz w:val="20"/>
                <w:szCs w:val="20"/>
              </w:rPr>
            </w:pPr>
            <w:r w:rsidRPr="001428AA">
              <w:rPr>
                <w:sz w:val="20"/>
              </w:rPr>
              <w:t>1,7,7-trimethyl-3-(phenylmethylen)bicyclo[2.2.1]heptan-2-on (3-benzylidencampher)</w:t>
            </w:r>
          </w:p>
        </w:tc>
        <w:tc>
          <w:tcPr>
            <w:tcW w:w="2680" w:type="dxa"/>
            <w:vAlign w:val="center"/>
          </w:tcPr>
          <w:p w14:paraId="3BBEB1D3" w14:textId="483B14B6" w:rsidR="00E93CF9" w:rsidRPr="001428AA" w:rsidRDefault="00E93CF9" w:rsidP="00E93CF9">
            <w:pPr>
              <w:jc w:val="center"/>
              <w:rPr>
                <w:sz w:val="20"/>
                <w:szCs w:val="20"/>
              </w:rPr>
            </w:pPr>
            <w:r w:rsidRPr="001428AA">
              <w:rPr>
                <w:sz w:val="20"/>
              </w:rPr>
              <w:t>15087-24-8</w:t>
            </w:r>
          </w:p>
        </w:tc>
        <w:tc>
          <w:tcPr>
            <w:tcW w:w="2676" w:type="dxa"/>
            <w:vAlign w:val="center"/>
          </w:tcPr>
          <w:p w14:paraId="1DB8B2E9" w14:textId="1D96672E" w:rsidR="00E93CF9" w:rsidRPr="001428AA" w:rsidRDefault="00E93CF9" w:rsidP="00E93CF9">
            <w:pPr>
              <w:jc w:val="center"/>
              <w:rPr>
                <w:sz w:val="20"/>
                <w:szCs w:val="20"/>
              </w:rPr>
            </w:pPr>
            <w:r w:rsidRPr="001428AA">
              <w:rPr>
                <w:sz w:val="20"/>
              </w:rPr>
              <w:t>239-139-9</w:t>
            </w:r>
          </w:p>
        </w:tc>
      </w:tr>
    </w:tbl>
    <w:p w14:paraId="3F2D113E" w14:textId="77777777" w:rsidR="00F92FDA" w:rsidRPr="001428AA" w:rsidRDefault="00F92FDA" w:rsidP="009934B3">
      <w:pPr>
        <w:ind w:left="539"/>
      </w:pPr>
    </w:p>
    <w:p w14:paraId="39CDB39E" w14:textId="77777777" w:rsidR="00F92FDA" w:rsidRPr="001428AA" w:rsidRDefault="00F92FDA" w:rsidP="009934B3">
      <w:pPr>
        <w:ind w:left="539"/>
      </w:pPr>
    </w:p>
    <w:p w14:paraId="638D44C7" w14:textId="4FA76721" w:rsidR="0091346D" w:rsidRPr="001428AA" w:rsidRDefault="0091346D" w:rsidP="00F92FDA">
      <w:pPr>
        <w:ind w:left="539"/>
        <w:jc w:val="both"/>
        <w:rPr>
          <w:kern w:val="3"/>
        </w:rPr>
      </w:pPr>
      <w:r w:rsidRPr="001428AA">
        <w:t>TABEL B: Liste over stoffer med mistænkte hormonforstyrrende egenskaber, jf. artikel L. 5232-5 II i lov om offentlig sundhed</w:t>
      </w:r>
    </w:p>
    <w:p w14:paraId="642C4104" w14:textId="594CDADD" w:rsidR="0091346D" w:rsidRPr="001428AA" w:rsidRDefault="0091346D" w:rsidP="00F92FDA">
      <w:pPr>
        <w:ind w:left="539"/>
        <w:jc w:val="both"/>
        <w:rPr>
          <w:kern w:val="3"/>
        </w:rPr>
      </w:pPr>
    </w:p>
    <w:tbl>
      <w:tblPr>
        <w:tblStyle w:val="TableGrid"/>
        <w:tblW w:w="0" w:type="auto"/>
        <w:tblInd w:w="539" w:type="dxa"/>
        <w:tblLook w:val="04A0" w:firstRow="1" w:lastRow="0" w:firstColumn="1" w:lastColumn="0" w:noHBand="0" w:noVBand="1"/>
      </w:tblPr>
      <w:tblGrid>
        <w:gridCol w:w="3449"/>
        <w:gridCol w:w="2680"/>
        <w:gridCol w:w="2676"/>
      </w:tblGrid>
      <w:tr w:rsidR="00840BD7" w:rsidRPr="001428AA" w14:paraId="7B8CE649" w14:textId="77777777" w:rsidTr="00540F9C">
        <w:tc>
          <w:tcPr>
            <w:tcW w:w="3449" w:type="dxa"/>
          </w:tcPr>
          <w:p w14:paraId="54F334A4" w14:textId="77777777" w:rsidR="00840BD7" w:rsidRPr="001428AA" w:rsidRDefault="00840BD7" w:rsidP="00540F9C">
            <w:pPr>
              <w:jc w:val="center"/>
              <w:rPr>
                <w:b/>
                <w:sz w:val="20"/>
                <w:szCs w:val="20"/>
              </w:rPr>
            </w:pPr>
            <w:r w:rsidRPr="001428AA">
              <w:rPr>
                <w:b/>
                <w:sz w:val="20"/>
              </w:rPr>
              <w:t>Stoffets navn</w:t>
            </w:r>
          </w:p>
        </w:tc>
        <w:tc>
          <w:tcPr>
            <w:tcW w:w="2680" w:type="dxa"/>
          </w:tcPr>
          <w:p w14:paraId="11374AFA" w14:textId="77777777" w:rsidR="00840BD7" w:rsidRPr="001428AA" w:rsidRDefault="00840BD7" w:rsidP="00540F9C">
            <w:pPr>
              <w:jc w:val="center"/>
              <w:rPr>
                <w:b/>
                <w:sz w:val="20"/>
                <w:szCs w:val="20"/>
              </w:rPr>
            </w:pPr>
            <w:r w:rsidRPr="001428AA">
              <w:rPr>
                <w:b/>
                <w:sz w:val="20"/>
              </w:rPr>
              <w:t>CAS-nummer</w:t>
            </w:r>
          </w:p>
        </w:tc>
        <w:tc>
          <w:tcPr>
            <w:tcW w:w="2676" w:type="dxa"/>
          </w:tcPr>
          <w:p w14:paraId="114412AB" w14:textId="77777777" w:rsidR="00840BD7" w:rsidRPr="001428AA" w:rsidRDefault="00840BD7" w:rsidP="00540F9C">
            <w:pPr>
              <w:jc w:val="center"/>
              <w:rPr>
                <w:b/>
                <w:sz w:val="20"/>
                <w:szCs w:val="20"/>
              </w:rPr>
            </w:pPr>
            <w:r w:rsidRPr="001428AA">
              <w:rPr>
                <w:b/>
                <w:sz w:val="20"/>
              </w:rPr>
              <w:t>CE-nummer</w:t>
            </w:r>
          </w:p>
        </w:tc>
      </w:tr>
      <w:tr w:rsidR="00840BD7" w:rsidRPr="001428AA" w14:paraId="564772EC" w14:textId="77777777" w:rsidTr="00540F9C">
        <w:tc>
          <w:tcPr>
            <w:tcW w:w="3449" w:type="dxa"/>
          </w:tcPr>
          <w:p w14:paraId="608C3231" w14:textId="0E10BA61" w:rsidR="00840BD7" w:rsidRPr="001428AA" w:rsidRDefault="00840BD7" w:rsidP="00540F9C">
            <w:pPr>
              <w:jc w:val="center"/>
              <w:rPr>
                <w:b/>
                <w:sz w:val="20"/>
                <w:szCs w:val="20"/>
              </w:rPr>
            </w:pPr>
            <w:r w:rsidRPr="001428AA">
              <w:rPr>
                <w:b/>
                <w:sz w:val="20"/>
              </w:rPr>
              <w:t>-</w:t>
            </w:r>
          </w:p>
        </w:tc>
        <w:tc>
          <w:tcPr>
            <w:tcW w:w="2680" w:type="dxa"/>
          </w:tcPr>
          <w:p w14:paraId="7D6E6933" w14:textId="32CACB45" w:rsidR="00840BD7" w:rsidRPr="001428AA" w:rsidRDefault="00840BD7" w:rsidP="00540F9C">
            <w:pPr>
              <w:jc w:val="center"/>
              <w:rPr>
                <w:b/>
                <w:sz w:val="20"/>
                <w:szCs w:val="20"/>
              </w:rPr>
            </w:pPr>
            <w:r w:rsidRPr="001428AA">
              <w:rPr>
                <w:b/>
                <w:sz w:val="20"/>
              </w:rPr>
              <w:t>-</w:t>
            </w:r>
          </w:p>
        </w:tc>
        <w:tc>
          <w:tcPr>
            <w:tcW w:w="2676" w:type="dxa"/>
          </w:tcPr>
          <w:p w14:paraId="0FC6BCD8" w14:textId="28E4DA1A" w:rsidR="00840BD7" w:rsidRPr="001428AA" w:rsidRDefault="00840BD7" w:rsidP="00540F9C">
            <w:pPr>
              <w:jc w:val="center"/>
              <w:rPr>
                <w:b/>
                <w:sz w:val="20"/>
                <w:szCs w:val="20"/>
              </w:rPr>
            </w:pPr>
            <w:r w:rsidRPr="001428AA">
              <w:rPr>
                <w:b/>
                <w:sz w:val="20"/>
              </w:rPr>
              <w:t>-</w:t>
            </w:r>
          </w:p>
        </w:tc>
      </w:tr>
    </w:tbl>
    <w:p w14:paraId="74753E47" w14:textId="50E31C82" w:rsidR="00840BD7" w:rsidRPr="001428AA" w:rsidRDefault="00840BD7" w:rsidP="00F92FDA">
      <w:pPr>
        <w:ind w:left="539"/>
        <w:jc w:val="both"/>
        <w:rPr>
          <w:kern w:val="3"/>
        </w:rPr>
      </w:pPr>
    </w:p>
    <w:p w14:paraId="32D03191" w14:textId="780A5C7E" w:rsidR="0091346D" w:rsidRPr="001428AA" w:rsidRDefault="0091346D" w:rsidP="00F92FDA">
      <w:pPr>
        <w:ind w:left="539"/>
        <w:jc w:val="both"/>
        <w:rPr>
          <w:kern w:val="3"/>
        </w:rPr>
      </w:pPr>
    </w:p>
    <w:p w14:paraId="3907DAEA" w14:textId="004EC57B" w:rsidR="0091346D" w:rsidRPr="001428AA" w:rsidRDefault="0091346D" w:rsidP="00F92FDA">
      <w:pPr>
        <w:ind w:left="539"/>
        <w:jc w:val="both"/>
        <w:rPr>
          <w:kern w:val="3"/>
        </w:rPr>
      </w:pPr>
      <w:r w:rsidRPr="001428AA">
        <w:t>Bilag II: Liste over produktkategorier, der udgør en særlig risiko for eksponering, jf. artikel L. 5232-5 II i lov om offentlig sundhed</w:t>
      </w:r>
    </w:p>
    <w:p w14:paraId="68FABC73" w14:textId="761C6D87" w:rsidR="0091346D" w:rsidRPr="001428AA" w:rsidRDefault="0091346D" w:rsidP="0091346D">
      <w:pPr>
        <w:ind w:left="539"/>
        <w:rPr>
          <w:kern w:val="3"/>
        </w:rPr>
      </w:pPr>
    </w:p>
    <w:p w14:paraId="20C6B0C6" w14:textId="170FAE88" w:rsidR="0091346D" w:rsidRPr="001428AA" w:rsidRDefault="0091346D" w:rsidP="0091346D">
      <w:pPr>
        <w:ind w:left="539"/>
        <w:rPr>
          <w:kern w:val="3"/>
        </w:rPr>
      </w:pPr>
      <w:r w:rsidRPr="001428AA">
        <w:t>Ikke relevant</w:t>
      </w:r>
    </w:p>
    <w:p w14:paraId="408B3F4A" w14:textId="77777777" w:rsidR="0091346D" w:rsidRPr="001428AA" w:rsidRDefault="0091346D" w:rsidP="0091346D">
      <w:pPr>
        <w:ind w:left="539"/>
      </w:pPr>
    </w:p>
    <w:p w14:paraId="6956F2FB" w14:textId="77777777" w:rsidR="008347CD" w:rsidRDefault="008347CD" w:rsidP="0001023B"/>
    <w:sectPr w:rsidR="008347CD">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1D52" w14:textId="77777777" w:rsidR="000975C5" w:rsidRDefault="000975C5" w:rsidP="00C40AB0">
      <w:r>
        <w:separator/>
      </w:r>
    </w:p>
  </w:endnote>
  <w:endnote w:type="continuationSeparator" w:id="0">
    <w:p w14:paraId="4D6ECFB7" w14:textId="77777777" w:rsidR="000975C5" w:rsidRDefault="000975C5"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9D72"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C441"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A9E"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15B1" w14:textId="77777777" w:rsidR="000975C5" w:rsidRDefault="000975C5" w:rsidP="00C40AB0">
      <w:r>
        <w:separator/>
      </w:r>
    </w:p>
  </w:footnote>
  <w:footnote w:type="continuationSeparator" w:id="0">
    <w:p w14:paraId="0C316D79" w14:textId="77777777" w:rsidR="000975C5" w:rsidRDefault="000975C5"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C0E0" w14:textId="5785586D" w:rsidR="006D6666" w:rsidRDefault="001428AA">
    <w:pPr>
      <w:pStyle w:val="Header"/>
    </w:pPr>
    <w:r>
      <w:pict w14:anchorId="19C9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4C23" w14:textId="49B06B63" w:rsidR="006D6666" w:rsidRDefault="001428AA">
    <w:pPr>
      <w:pStyle w:val="Header"/>
    </w:pPr>
    <w:r>
      <w:pict w14:anchorId="666B9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6F30" w14:textId="56FBCD41" w:rsidR="006D6666" w:rsidRDefault="001428AA">
    <w:pPr>
      <w:pStyle w:val="Header"/>
    </w:pPr>
    <w:r>
      <w:pict w14:anchorId="1D8D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5179D"/>
    <w:rsid w:val="000975C5"/>
    <w:rsid w:val="000C4EE6"/>
    <w:rsid w:val="000C5D4F"/>
    <w:rsid w:val="000E5822"/>
    <w:rsid w:val="000F3707"/>
    <w:rsid w:val="001200AE"/>
    <w:rsid w:val="001428AA"/>
    <w:rsid w:val="00164440"/>
    <w:rsid w:val="00220182"/>
    <w:rsid w:val="00254416"/>
    <w:rsid w:val="00305F8C"/>
    <w:rsid w:val="003A1DE7"/>
    <w:rsid w:val="003A3003"/>
    <w:rsid w:val="00414610"/>
    <w:rsid w:val="0043139D"/>
    <w:rsid w:val="0050742C"/>
    <w:rsid w:val="00537A63"/>
    <w:rsid w:val="00566851"/>
    <w:rsid w:val="00584953"/>
    <w:rsid w:val="005A35A3"/>
    <w:rsid w:val="005C023A"/>
    <w:rsid w:val="005C464F"/>
    <w:rsid w:val="005E4811"/>
    <w:rsid w:val="005E7BA6"/>
    <w:rsid w:val="00631F42"/>
    <w:rsid w:val="00633D5B"/>
    <w:rsid w:val="006545A0"/>
    <w:rsid w:val="006B2B52"/>
    <w:rsid w:val="006B6ECB"/>
    <w:rsid w:val="006D6666"/>
    <w:rsid w:val="00717AEE"/>
    <w:rsid w:val="007C13FE"/>
    <w:rsid w:val="007D3B6E"/>
    <w:rsid w:val="007F7405"/>
    <w:rsid w:val="008347CD"/>
    <w:rsid w:val="00840BD7"/>
    <w:rsid w:val="00844E8D"/>
    <w:rsid w:val="008970FC"/>
    <w:rsid w:val="0091346D"/>
    <w:rsid w:val="00972079"/>
    <w:rsid w:val="009934B3"/>
    <w:rsid w:val="009B476C"/>
    <w:rsid w:val="009B5D6C"/>
    <w:rsid w:val="009F0F5C"/>
    <w:rsid w:val="009F20C4"/>
    <w:rsid w:val="00A14477"/>
    <w:rsid w:val="00A42F37"/>
    <w:rsid w:val="00A755A3"/>
    <w:rsid w:val="00A857F7"/>
    <w:rsid w:val="00A95817"/>
    <w:rsid w:val="00B533B8"/>
    <w:rsid w:val="00B96689"/>
    <w:rsid w:val="00C40AB0"/>
    <w:rsid w:val="00C46B5B"/>
    <w:rsid w:val="00CC4ECF"/>
    <w:rsid w:val="00CE2B23"/>
    <w:rsid w:val="00DF04E0"/>
    <w:rsid w:val="00E35F75"/>
    <w:rsid w:val="00E93CF9"/>
    <w:rsid w:val="00ED6EB5"/>
    <w:rsid w:val="00F4110C"/>
    <w:rsid w:val="00F769AF"/>
    <w:rsid w:val="00F92FDA"/>
    <w:rsid w:val="00F949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7F6A"/>
  <w15:docId w15:val="{7924B570-3FE3-4D9E-A731-2EF2DC8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da-D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D7"/>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NumroLoi">
    <w:name w:val="SNNuméroLoi"/>
    <w:basedOn w:val="Policepardfaut1"/>
    <w:qFormat/>
  </w:style>
  <w:style w:type="character" w:customStyle="1" w:styleId="SNDateSignature">
    <w:name w:val="SNDateSignature"/>
    <w:basedOn w:val="Policepardfaut1"/>
    <w:qFormat/>
  </w:style>
  <w:style w:type="character" w:customStyle="1" w:styleId="SNenProjet">
    <w:name w:val="SNenProjet"/>
    <w:basedOn w:val="Policepardfaut1"/>
    <w:qFormat/>
  </w:style>
  <w:style w:type="character" w:customStyle="1" w:styleId="SNArticleCar">
    <w:name w:val="SNArticle Car"/>
    <w:qFormat/>
    <w:rPr>
      <w:b/>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le">
    <w:name w:val="Title"/>
    <w:basedOn w:val="Normal"/>
    <w:next w:val="BodyText"/>
    <w:qFormat/>
    <w:pPr>
      <w:keepNext/>
      <w:spacing w:before="240" w:after="120"/>
    </w:pPr>
    <w:rPr>
      <w:rFonts w:ascii="Liberation Sans;Arial" w:eastAsia="Microsoft YaHei" w:hAnsi="Liberation Sans;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
    <w:name w:val="Titre1"/>
    <w:basedOn w:val="Normal"/>
    <w:qFormat/>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pPr>
      <w:widowControl w:val="0"/>
      <w:jc w:val="center"/>
    </w:pPr>
    <w:rPr>
      <w:rFonts w:eastAsia="Lucida Sans Unicode"/>
      <w:b/>
      <w:bCs/>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LabelNOR">
    <w:name w:val="Label NOR"/>
    <w:basedOn w:val="Normal"/>
    <w:qFormat/>
    <w:pPr>
      <w:widowControl w:val="0"/>
      <w:suppressLineNumbers/>
      <w:jc w:val="right"/>
    </w:pPr>
    <w:rPr>
      <w:rFonts w:eastAsia="Lucida Sans Unicode"/>
    </w:rPr>
  </w:style>
  <w:style w:type="paragraph" w:customStyle="1" w:styleId="NOR">
    <w:name w:val="NOR"/>
    <w:basedOn w:val="Normal"/>
    <w:qFormat/>
    <w:pPr>
      <w:widowControl w:val="0"/>
      <w:suppressLineNumbers/>
      <w:snapToGrid w:val="0"/>
    </w:pPr>
    <w:rPr>
      <w:rFonts w:eastAsia="Lucida Sans Unicode"/>
    </w:rPr>
  </w:style>
  <w:style w:type="paragraph" w:customStyle="1" w:styleId="Nature">
    <w:name w:val="Nature"/>
    <w:basedOn w:val="Normal"/>
    <w:qFormat/>
    <w:pPr>
      <w:widowControl w:val="0"/>
      <w:suppressLineNumbers/>
      <w:spacing w:before="720" w:after="240"/>
      <w:jc w:val="center"/>
    </w:pPr>
    <w:rPr>
      <w:rFonts w:eastAsia="Lucida Sans Unicode"/>
      <w:b/>
      <w:bCs/>
    </w:rPr>
  </w:style>
  <w:style w:type="paragraph" w:customStyle="1" w:styleId="Objet">
    <w:name w:val="Objet"/>
    <w:basedOn w:val="Normal"/>
    <w:qFormat/>
    <w:pPr>
      <w:widowControl w:val="0"/>
      <w:suppressLineNumbers/>
      <w:spacing w:after="119"/>
      <w:jc w:val="center"/>
    </w:pPr>
    <w:rPr>
      <w:rFonts w:eastAsia="Lucida Sans Unicode"/>
    </w:rPr>
  </w:style>
  <w:style w:type="paragraph" w:customStyle="1" w:styleId="Autorit">
    <w:name w:val="Autorité"/>
    <w:basedOn w:val="Normal"/>
    <w:qFormat/>
    <w:pPr>
      <w:spacing w:before="720" w:after="240"/>
      <w:ind w:firstLine="720"/>
    </w:pPr>
    <w:rPr>
      <w:b/>
    </w:rPr>
  </w:style>
  <w:style w:type="paragraph" w:customStyle="1" w:styleId="Visa">
    <w:name w:val="Visa"/>
    <w:basedOn w:val="Normal"/>
    <w:qFormat/>
    <w:pPr>
      <w:spacing w:before="120" w:after="120"/>
      <w:ind w:firstLine="720"/>
    </w:pPr>
  </w:style>
  <w:style w:type="paragraph" w:customStyle="1" w:styleId="Acte">
    <w:name w:val="Acte"/>
    <w:basedOn w:val="Normal"/>
    <w:qFormat/>
    <w:pPr>
      <w:spacing w:before="480" w:after="240"/>
      <w:jc w:val="center"/>
    </w:pPr>
    <w:rPr>
      <w:b/>
    </w:rPr>
  </w:style>
  <w:style w:type="paragraph" w:customStyle="1" w:styleId="Article">
    <w:name w:val="Article"/>
    <w:basedOn w:val="Normal"/>
    <w:qFormat/>
    <w:pPr>
      <w:spacing w:before="240" w:after="240"/>
      <w:jc w:val="center"/>
    </w:pPr>
    <w:rPr>
      <w:b/>
    </w:rPr>
  </w:style>
  <w:style w:type="paragraph" w:customStyle="1" w:styleId="LieuDate">
    <w:name w:val="LieuDate"/>
    <w:basedOn w:val="Normal"/>
    <w:qFormat/>
    <w:pPr>
      <w:spacing w:before="480" w:after="120"/>
      <w:ind w:firstLine="720"/>
    </w:pPr>
  </w:style>
  <w:style w:type="paragraph" w:customStyle="1" w:styleId="SignatureGauche">
    <w:name w:val="SignatureGauche"/>
    <w:basedOn w:val="Normal"/>
    <w:qFormat/>
    <w:pPr>
      <w:spacing w:before="240" w:after="480"/>
      <w:ind w:firstLine="720"/>
    </w:pPr>
  </w:style>
  <w:style w:type="paragraph" w:customStyle="1" w:styleId="SignatureDroite">
    <w:name w:val="SignatureDroite"/>
    <w:basedOn w:val="Normal"/>
    <w:next w:val="SignatureGauche"/>
    <w:qFormat/>
    <w:pPr>
      <w:spacing w:before="240" w:after="480"/>
      <w:jc w:val="right"/>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Consultation">
    <w:name w:val="Consultation"/>
    <w:basedOn w:val="Normal"/>
    <w:qFormat/>
    <w:pPr>
      <w:widowControl w:val="0"/>
      <w:spacing w:before="120" w:after="120"/>
      <w:ind w:firstLine="709"/>
      <w:jc w:val="both"/>
    </w:pPr>
    <w:rPr>
      <w:rFonts w:eastAsia="Lucida Sans Unicode"/>
    </w:rPr>
  </w:style>
  <w:style w:type="paragraph" w:customStyle="1" w:styleId="Timbre">
    <w:name w:val="Timbre"/>
    <w:basedOn w:val="Normal"/>
    <w:qFormat/>
    <w:pPr>
      <w:widowControl w:val="0"/>
      <w:snapToGrid w:val="0"/>
      <w:spacing w:before="120"/>
      <w:jc w:val="center"/>
    </w:pPr>
    <w:rPr>
      <w:rFonts w:eastAsia="Lucida Sans Unicode"/>
    </w:rPr>
  </w:style>
  <w:style w:type="paragraph" w:customStyle="1" w:styleId="Rapport">
    <w:name w:val="Rapport"/>
    <w:basedOn w:val="Normal"/>
    <w:qFormat/>
    <w:pPr>
      <w:spacing w:before="240" w:after="120"/>
      <w:ind w:firstLine="720"/>
    </w:pPr>
  </w:style>
  <w:style w:type="paragraph" w:customStyle="1" w:styleId="SignatureSolon">
    <w:name w:val="SignatureSolon"/>
    <w:basedOn w:val="Normal"/>
    <w:next w:val="SignatureGauche"/>
    <w:qFormat/>
    <w:pPr>
      <w:spacing w:before="480" w:after="480"/>
      <w:ind w:firstLine="720"/>
    </w:pPr>
  </w:style>
  <w:style w:type="paragraph" w:customStyle="1" w:styleId="Considrant">
    <w:name w:val="Considérant"/>
    <w:basedOn w:val="Normal"/>
    <w:qFormat/>
    <w:pPr>
      <w:ind w:firstLine="720"/>
    </w:pPr>
  </w:style>
  <w:style w:type="paragraph" w:customStyle="1" w:styleId="SignaturePrincipale">
    <w:name w:val="SignaturePrincipale"/>
    <w:basedOn w:val="Normal"/>
    <w:next w:val="SignatureGauche"/>
    <w:qFormat/>
    <w:pPr>
      <w:spacing w:before="480" w:after="480"/>
      <w:ind w:firstLine="720"/>
    </w:pPr>
  </w:style>
  <w:style w:type="paragraph" w:customStyle="1" w:styleId="ConsultationCE">
    <w:name w:val="ConsultationCE"/>
    <w:basedOn w:val="Consultation"/>
    <w:qFormat/>
  </w:style>
  <w:style w:type="paragraph" w:customStyle="1" w:styleId="ConsultationCM">
    <w:name w:val="ConsultationCM"/>
    <w:basedOn w:val="Consultation"/>
    <w:qFormat/>
  </w:style>
  <w:style w:type="paragraph" w:customStyle="1" w:styleId="Direction">
    <w:name w:val="Direction"/>
    <w:basedOn w:val="Normal"/>
    <w:qFormat/>
    <w:pPr>
      <w:spacing w:before="720"/>
      <w:jc w:val="center"/>
    </w:pPr>
    <w:rPr>
      <w:b/>
    </w:rPr>
  </w:style>
  <w:style w:type="paragraph" w:customStyle="1" w:styleId="ListePrincipale">
    <w:name w:val="ListePrincipale"/>
    <w:basedOn w:val="Normal"/>
    <w:qFormat/>
  </w:style>
  <w:style w:type="paragraph" w:customStyle="1" w:styleId="Intitul">
    <w:name w:val="Intitulé"/>
    <w:basedOn w:val="Normal"/>
    <w:qFormat/>
    <w:pPr>
      <w:jc w:val="center"/>
    </w:p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Rpublique">
    <w:name w:val="SNRépublique"/>
    <w:basedOn w:val="Normal"/>
    <w:qFormat/>
    <w:pPr>
      <w:widowControl w:val="0"/>
      <w:jc w:val="center"/>
    </w:pPr>
    <w:rPr>
      <w:rFonts w:eastAsia="Lucida Sans Unicode"/>
      <w:b/>
      <w:bCs/>
    </w:rPr>
  </w:style>
  <w:style w:type="paragraph" w:customStyle="1" w:styleId="SNTimbre">
    <w:name w:val="SNTimbre"/>
    <w:basedOn w:val="Normal"/>
    <w:link w:val="SNTimbreCar"/>
    <w:uiPriority w:val="99"/>
    <w:qFormat/>
    <w:pPr>
      <w:widowControl w:val="0"/>
      <w:snapToGrid w:val="0"/>
      <w:ind w:right="-6804"/>
      <w:jc w:val="center"/>
    </w:pPr>
    <w:rPr>
      <w:rFonts w:eastAsia="Lucida Sans Unicode"/>
      <w:b/>
    </w:rPr>
  </w:style>
  <w:style w:type="paragraph" w:customStyle="1" w:styleId="SNLabelNOR">
    <w:name w:val="SNLabelNOR"/>
    <w:basedOn w:val="Normal"/>
    <w:qFormat/>
    <w:pPr>
      <w:widowControl w:val="0"/>
      <w:suppressLineNumbers/>
      <w:jc w:val="right"/>
    </w:pPr>
    <w:rPr>
      <w:rFonts w:eastAsia="Lucida Sans Unicode"/>
    </w:rPr>
  </w:style>
  <w:style w:type="paragraph" w:customStyle="1" w:styleId="SNNOR">
    <w:name w:val="SNNOR"/>
    <w:basedOn w:val="Normal"/>
    <w:qFormat/>
    <w:pPr>
      <w:widowControl w:val="0"/>
      <w:suppressLineNumbers/>
      <w:snapToGrid w:val="0"/>
    </w:pPr>
    <w:rPr>
      <w:rFonts w:eastAsia="Lucida Sans Unicode"/>
    </w:rPr>
  </w:style>
  <w:style w:type="paragraph" w:customStyle="1" w:styleId="SNObjet">
    <w:name w:val="SNObjet"/>
    <w:basedOn w:val="Normal"/>
    <w:qFormat/>
    <w:pPr>
      <w:widowControl w:val="0"/>
      <w:suppressLineNumbers/>
      <w:spacing w:after="119"/>
      <w:jc w:val="both"/>
    </w:pPr>
    <w:rPr>
      <w:rFonts w:eastAsia="Lucida Sans Unicode"/>
      <w:b/>
    </w:rPr>
  </w:style>
  <w:style w:type="paragraph" w:customStyle="1" w:styleId="SNAutorit">
    <w:name w:val="SNAutorité"/>
    <w:basedOn w:val="Normal"/>
    <w:qFormat/>
    <w:pPr>
      <w:spacing w:before="720" w:after="240"/>
      <w:jc w:val="center"/>
    </w:p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jc w:val="both"/>
    </w:p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tabs>
        <w:tab w:val="left" w:pos="5220"/>
      </w:tabs>
      <w:ind w:left="540"/>
    </w:pPr>
  </w:style>
  <w:style w:type="paragraph" w:customStyle="1" w:styleId="SNSignatureDroite">
    <w:name w:val="SNSignatureDroite"/>
    <w:basedOn w:val="Normal"/>
    <w:next w:val="SNSignatureGauche"/>
    <w:qFormat/>
    <w:pPr>
      <w:ind w:firstLine="567"/>
    </w:pPr>
  </w:style>
  <w:style w:type="paragraph" w:customStyle="1" w:styleId="SNActe">
    <w:name w:val="SNActe"/>
    <w:basedOn w:val="Normal"/>
    <w:qFormat/>
    <w:pPr>
      <w:spacing w:before="480" w:after="120"/>
      <w:jc w:val="center"/>
    </w:pPr>
    <w:rPr>
      <w:b/>
    </w:rPr>
  </w:style>
  <w:style w:type="paragraph" w:customStyle="1" w:styleId="SNArticle">
    <w:name w:val="SNArticle"/>
    <w:basedOn w:val="Normal"/>
    <w:qFormat/>
    <w:pPr>
      <w:spacing w:before="120" w:after="12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Promulgation">
    <w:name w:val="SNPromulga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customStyle="1" w:styleId="SNRfrence">
    <w:name w:val="SNRéférence"/>
    <w:basedOn w:val="Normal"/>
    <w:qFormat/>
  </w:style>
  <w:style w:type="paragraph" w:customStyle="1" w:styleId="SNTravauxPrparatoires">
    <w:name w:val="SNTravauxPréparatoires"/>
    <w:basedOn w:val="SNNature"/>
    <w:qFormat/>
    <w:pPr>
      <w:spacing w:before="0" w:after="0"/>
      <w:jc w:val="left"/>
    </w:pPr>
    <w:rPr>
      <w:b w:val="0"/>
    </w:rPr>
  </w:style>
  <w:style w:type="paragraph" w:styleId="BalloonText">
    <w:name w:val="Balloon Text"/>
    <w:basedOn w:val="Normal"/>
    <w:qFormat/>
    <w:rPr>
      <w:rFonts w:ascii="Tahoma" w:hAnsi="Tahoma" w:cs="Lucida Sans Unicode"/>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Header">
    <w:name w:val="header"/>
    <w:basedOn w:val="Normal"/>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4411-C50F-4D6A-87F2-801D7DF9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1255</Words>
  <Characters>7157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dc:description/>
  <cp:lastModifiedBy>Liana Brili</cp:lastModifiedBy>
  <cp:revision>7</cp:revision>
  <cp:lastPrinted>2021-09-08T16:41:00Z</cp:lastPrinted>
  <dcterms:created xsi:type="dcterms:W3CDTF">2021-09-08T16:42:00Z</dcterms:created>
  <dcterms:modified xsi:type="dcterms:W3CDTF">2021-11-04T08:45:00Z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