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4338" w:type="dxa"/>
        <w:tblInd w:w="57" w:type="dxa"/>
        <w:tblCellMar>
          <w:top w:w="57" w:type="dxa"/>
          <w:left w:w="57" w:type="dxa"/>
          <w:bottom w:w="57" w:type="dxa"/>
          <w:right w:w="57" w:type="dxa"/>
        </w:tblCellMar>
        <w:tblLook w:val="00A0" w:firstRow="1" w:lastRow="0" w:firstColumn="1" w:lastColumn="0" w:noHBand="0" w:noVBand="0"/>
      </w:tblPr>
      <w:tblGrid>
        <w:gridCol w:w="1526"/>
        <w:gridCol w:w="968"/>
        <w:gridCol w:w="1844"/>
      </w:tblGrid>
      <w:tr w:rsidR="00A857F7" w:rsidRPr="002C3852" w14:paraId="58F7213C" w14:textId="77777777" w:rsidTr="00A857F7">
        <w:trPr>
          <w:cantSplit/>
        </w:trPr>
        <w:tc>
          <w:tcPr>
            <w:tcW w:w="4338" w:type="dxa"/>
            <w:gridSpan w:val="3"/>
            <w:shd w:val="clear" w:color="auto" w:fill="FFFFFF"/>
            <w:hideMark/>
          </w:tcPr>
          <w:p w14:paraId="091A81ED" w14:textId="77777777" w:rsidR="00A857F7" w:rsidRPr="002C3852" w:rsidRDefault="00A857F7" w:rsidP="00A857F7">
            <w:pPr>
              <w:suppressAutoHyphens w:val="0"/>
              <w:spacing w:line="276" w:lineRule="auto"/>
              <w:jc w:val="center"/>
              <w:rPr>
                <w:b/>
                <w:bCs/>
                <w:color w:val="auto"/>
                <w:szCs w:val="20"/>
              </w:rPr>
            </w:pPr>
            <w:r w:rsidRPr="002C3852">
              <w:rPr>
                <w:b/>
                <w:color w:val="auto"/>
              </w:rPr>
              <w:t>PRANCŪZIJOS RESPUBLIKA</w:t>
            </w:r>
          </w:p>
        </w:tc>
      </w:tr>
      <w:tr w:rsidR="00A857F7" w:rsidRPr="002C3852" w14:paraId="2F616D12" w14:textId="77777777" w:rsidTr="00A857F7">
        <w:trPr>
          <w:cantSplit/>
          <w:trHeight w:hRule="exact" w:val="113"/>
        </w:trPr>
        <w:tc>
          <w:tcPr>
            <w:tcW w:w="1526" w:type="dxa"/>
            <w:shd w:val="clear" w:color="auto" w:fill="FFFFFF"/>
          </w:tcPr>
          <w:p w14:paraId="1BC2E738" w14:textId="77777777" w:rsidR="00A857F7" w:rsidRPr="002C3852" w:rsidRDefault="00A857F7" w:rsidP="00A857F7">
            <w:pPr>
              <w:suppressAutoHyphens w:val="0"/>
              <w:spacing w:after="160" w:line="256" w:lineRule="auto"/>
              <w:rPr>
                <w:rFonts w:ascii="Calibri" w:eastAsia="Calibri" w:hAnsi="Calibri"/>
                <w:color w:val="auto"/>
                <w:sz w:val="22"/>
                <w:szCs w:val="22"/>
                <w:lang w:eastAsia="en-US"/>
              </w:rPr>
            </w:pPr>
          </w:p>
        </w:tc>
        <w:tc>
          <w:tcPr>
            <w:tcW w:w="968" w:type="dxa"/>
            <w:tcBorders>
              <w:top w:val="nil"/>
              <w:left w:val="nil"/>
              <w:bottom w:val="single" w:sz="2" w:space="0" w:color="000001"/>
              <w:right w:val="nil"/>
            </w:tcBorders>
            <w:shd w:val="clear" w:color="auto" w:fill="FFFFFF"/>
          </w:tcPr>
          <w:p w14:paraId="1F2D22D1" w14:textId="77777777" w:rsidR="00A857F7" w:rsidRPr="002C3852"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219D6CBE" w14:textId="77777777" w:rsidR="00A857F7" w:rsidRPr="002C3852" w:rsidRDefault="00A857F7" w:rsidP="00A857F7">
            <w:pPr>
              <w:suppressAutoHyphens w:val="0"/>
              <w:spacing w:after="160" w:line="256" w:lineRule="auto"/>
              <w:rPr>
                <w:rFonts w:ascii="Calibri" w:eastAsia="Calibri" w:hAnsi="Calibri"/>
                <w:color w:val="auto"/>
                <w:sz w:val="22"/>
                <w:szCs w:val="22"/>
                <w:lang w:eastAsia="en-US"/>
              </w:rPr>
            </w:pPr>
          </w:p>
        </w:tc>
      </w:tr>
      <w:tr w:rsidR="00A857F7" w:rsidRPr="002C3852" w14:paraId="643970B4" w14:textId="77777777" w:rsidTr="00A857F7">
        <w:trPr>
          <w:cantSplit/>
        </w:trPr>
        <w:tc>
          <w:tcPr>
            <w:tcW w:w="4338" w:type="dxa"/>
            <w:gridSpan w:val="3"/>
            <w:shd w:val="clear" w:color="auto" w:fill="FFFFFF"/>
            <w:hideMark/>
          </w:tcPr>
          <w:p w14:paraId="47A22048" w14:textId="77777777" w:rsidR="00A857F7" w:rsidRPr="002C3852" w:rsidRDefault="00A857F7" w:rsidP="00A857F7">
            <w:pPr>
              <w:widowControl w:val="0"/>
              <w:snapToGrid w:val="0"/>
              <w:spacing w:before="120" w:line="276" w:lineRule="auto"/>
              <w:ind w:hanging="57"/>
              <w:jc w:val="center"/>
              <w:rPr>
                <w:rFonts w:eastAsia="Lucida Sans Unicode"/>
                <w:color w:val="auto"/>
              </w:rPr>
            </w:pPr>
            <w:r w:rsidRPr="002C3852">
              <w:rPr>
                <w:color w:val="auto"/>
              </w:rPr>
              <w:t>Ekologinės pertvarkos ministerija</w:t>
            </w:r>
          </w:p>
          <w:p w14:paraId="47676278" w14:textId="08532887" w:rsidR="00A857F7" w:rsidRPr="002C3852" w:rsidRDefault="00A857F7" w:rsidP="00972079">
            <w:pPr>
              <w:widowControl w:val="0"/>
              <w:snapToGrid w:val="0"/>
              <w:spacing w:before="120" w:line="276" w:lineRule="auto"/>
              <w:ind w:hanging="57"/>
              <w:jc w:val="center"/>
              <w:rPr>
                <w:rFonts w:eastAsia="Lucida Sans Unicode"/>
                <w:color w:val="auto"/>
              </w:rPr>
            </w:pPr>
            <w:r w:rsidRPr="002C3852">
              <w:rPr>
                <w:color w:val="auto"/>
              </w:rPr>
              <w:t>Socialinio solidarumo ir sveikatos apsaugos ministerija</w:t>
            </w:r>
          </w:p>
        </w:tc>
      </w:tr>
      <w:tr w:rsidR="00A857F7" w:rsidRPr="002C3852" w14:paraId="0D1C3E98" w14:textId="77777777" w:rsidTr="00A857F7">
        <w:trPr>
          <w:cantSplit/>
          <w:trHeight w:hRule="exact" w:val="227"/>
        </w:trPr>
        <w:tc>
          <w:tcPr>
            <w:tcW w:w="1526" w:type="dxa"/>
            <w:shd w:val="clear" w:color="auto" w:fill="FFFFFF"/>
          </w:tcPr>
          <w:p w14:paraId="0AA5A4CD" w14:textId="77777777" w:rsidR="00A857F7" w:rsidRPr="002C3852" w:rsidRDefault="00A857F7" w:rsidP="00A857F7">
            <w:pPr>
              <w:suppressAutoHyphens w:val="0"/>
              <w:spacing w:after="160" w:line="256" w:lineRule="auto"/>
              <w:rPr>
                <w:rFonts w:ascii="Calibri" w:eastAsia="Calibri" w:hAnsi="Calibri"/>
                <w:color w:val="auto"/>
                <w:sz w:val="22"/>
                <w:szCs w:val="22"/>
                <w:lang w:eastAsia="en-US"/>
              </w:rPr>
            </w:pPr>
          </w:p>
        </w:tc>
        <w:tc>
          <w:tcPr>
            <w:tcW w:w="968" w:type="dxa"/>
            <w:tcBorders>
              <w:top w:val="nil"/>
              <w:left w:val="nil"/>
              <w:bottom w:val="single" w:sz="2" w:space="0" w:color="000001"/>
              <w:right w:val="nil"/>
            </w:tcBorders>
            <w:shd w:val="clear" w:color="auto" w:fill="FFFFFF"/>
          </w:tcPr>
          <w:p w14:paraId="0FB0062C" w14:textId="77777777" w:rsidR="00A857F7" w:rsidRPr="002C3852"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6EE97436" w14:textId="77777777" w:rsidR="00A857F7" w:rsidRPr="002C3852" w:rsidRDefault="00A857F7" w:rsidP="00A857F7">
            <w:pPr>
              <w:suppressAutoHyphens w:val="0"/>
              <w:spacing w:after="160" w:line="256" w:lineRule="auto"/>
              <w:rPr>
                <w:rFonts w:ascii="Calibri" w:eastAsia="Calibri" w:hAnsi="Calibri"/>
                <w:color w:val="auto"/>
                <w:sz w:val="22"/>
                <w:szCs w:val="22"/>
                <w:lang w:eastAsia="en-US"/>
              </w:rPr>
            </w:pPr>
          </w:p>
        </w:tc>
      </w:tr>
      <w:tr w:rsidR="00A857F7" w:rsidRPr="002C3852" w14:paraId="38F1C3CC" w14:textId="77777777" w:rsidTr="00A857F7">
        <w:trPr>
          <w:cantSplit/>
          <w:trHeight w:hRule="exact" w:val="227"/>
        </w:trPr>
        <w:tc>
          <w:tcPr>
            <w:tcW w:w="1526" w:type="dxa"/>
            <w:shd w:val="clear" w:color="auto" w:fill="FFFFFF"/>
          </w:tcPr>
          <w:p w14:paraId="0F9A142E" w14:textId="77777777" w:rsidR="00A857F7" w:rsidRPr="002C3852" w:rsidRDefault="00A857F7" w:rsidP="00A857F7">
            <w:pPr>
              <w:suppressAutoHyphens w:val="0"/>
              <w:spacing w:after="160" w:line="256" w:lineRule="auto"/>
              <w:rPr>
                <w:rFonts w:ascii="Calibri" w:eastAsia="Calibri" w:hAnsi="Calibri"/>
                <w:color w:val="auto"/>
                <w:sz w:val="22"/>
                <w:szCs w:val="22"/>
                <w:lang w:eastAsia="en-US"/>
              </w:rPr>
            </w:pPr>
          </w:p>
        </w:tc>
        <w:tc>
          <w:tcPr>
            <w:tcW w:w="968" w:type="dxa"/>
            <w:shd w:val="clear" w:color="auto" w:fill="FFFFFF"/>
          </w:tcPr>
          <w:p w14:paraId="2504DCB7" w14:textId="77777777" w:rsidR="00A857F7" w:rsidRPr="002C3852"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46940E34" w14:textId="77777777" w:rsidR="00A857F7" w:rsidRPr="002C3852" w:rsidRDefault="00A857F7" w:rsidP="00A857F7">
            <w:pPr>
              <w:suppressAutoHyphens w:val="0"/>
              <w:spacing w:after="160" w:line="256" w:lineRule="auto"/>
              <w:rPr>
                <w:rFonts w:ascii="Calibri" w:eastAsia="Calibri" w:hAnsi="Calibri"/>
                <w:color w:val="auto"/>
                <w:sz w:val="22"/>
                <w:szCs w:val="22"/>
                <w:lang w:eastAsia="en-US"/>
              </w:rPr>
            </w:pPr>
          </w:p>
        </w:tc>
      </w:tr>
    </w:tbl>
    <w:p w14:paraId="17EA9DD1" w14:textId="289D73EA" w:rsidR="008347CD" w:rsidRPr="002C3852" w:rsidRDefault="006D6666">
      <w:pPr>
        <w:pStyle w:val="SNNature"/>
      </w:pPr>
      <w:r w:rsidRPr="002C3852">
        <w:rPr>
          <w:rStyle w:val="SNDateSignature"/>
        </w:rPr>
        <w:t>d.</w:t>
      </w:r>
      <w:r w:rsidRPr="002C3852">
        <w:t xml:space="preserve"> Nutarimo,</w:t>
      </w:r>
      <w:r w:rsidRPr="002C3852">
        <w:rPr>
          <w:rStyle w:val="SNDateSignature"/>
        </w:rPr>
        <w:t xml:space="preserve"> </w:t>
      </w:r>
    </w:p>
    <w:p w14:paraId="1EB51F43" w14:textId="190FE6AE" w:rsidR="008347CD" w:rsidRPr="002C3852" w:rsidRDefault="00A857F7">
      <w:pPr>
        <w:pStyle w:val="SNObjet"/>
        <w:jc w:val="center"/>
      </w:pPr>
      <w:r w:rsidRPr="002C3852">
        <w:t>kuriuo nustatomas Visuomenės sveikatos kodekso L. 5232-5 straipsnio I ir II dalyse nurodytų endokrininę sistemą ardančių savybių turinčių medžiagų sąrašas ir Visuomenės sveikatos kodekso L. 5232-5 straipsnyje nurodytų ypatingą poveikio riziką keliančių produktų kategorijų sąrašas, projektas</w:t>
      </w:r>
    </w:p>
    <w:p w14:paraId="478A9991" w14:textId="77777777" w:rsidR="00A857F7" w:rsidRPr="002C3852" w:rsidRDefault="00A857F7">
      <w:pPr>
        <w:pStyle w:val="SNObjet"/>
        <w:jc w:val="center"/>
        <w:rPr>
          <w:b w:val="0"/>
        </w:rPr>
      </w:pPr>
    </w:p>
    <w:p w14:paraId="4B5AF825" w14:textId="694CEF70" w:rsidR="008347CD" w:rsidRPr="002C3852" w:rsidRDefault="00C46B5B">
      <w:pPr>
        <w:pStyle w:val="SNObjet"/>
        <w:jc w:val="center"/>
      </w:pPr>
      <w:r w:rsidRPr="002C3852">
        <w:rPr>
          <w:b w:val="0"/>
        </w:rPr>
        <w:t xml:space="preserve">NOR: </w:t>
      </w:r>
    </w:p>
    <w:p w14:paraId="7BEE793B" w14:textId="1BACFF04" w:rsidR="008347CD" w:rsidRPr="002C3852" w:rsidRDefault="00C46B5B">
      <w:pPr>
        <w:spacing w:before="720" w:after="120"/>
        <w:jc w:val="both"/>
      </w:pPr>
      <w:r w:rsidRPr="002C3852">
        <w:rPr>
          <w:b/>
          <w:i/>
        </w:rPr>
        <w:t>Susiję asmenys:</w:t>
      </w:r>
      <w:r w:rsidRPr="002C3852">
        <w:rPr>
          <w:i/>
        </w:rPr>
        <w:t xml:space="preserve"> bet kuris asmuo, pateikiantis rinkai vartotojams skirtus produktus, kuriuose užbaigus jų gamybą, yra medžiagų, kurias Prancūzijos maisto, aplinkos ir darbuotojų sveikatos ir saugos agentūra (ANSES) laiko patvirtintomis, numanomomis ar įtariamomis, kad jos ardo endokrininę sistemą</w:t>
      </w:r>
    </w:p>
    <w:p w14:paraId="63145422" w14:textId="56CADA03" w:rsidR="00026E60" w:rsidRPr="002C3852" w:rsidRDefault="00C46B5B" w:rsidP="003A3003">
      <w:pPr>
        <w:spacing w:before="120" w:after="200"/>
        <w:jc w:val="both"/>
        <w:rPr>
          <w:bCs/>
          <w:i/>
          <w:iCs/>
        </w:rPr>
      </w:pPr>
      <w:r w:rsidRPr="002C3852">
        <w:rPr>
          <w:b/>
          <w:i/>
        </w:rPr>
        <w:t>Tikslas.</w:t>
      </w:r>
      <w:r w:rsidRPr="002C3852">
        <w:rPr>
          <w:i/>
        </w:rPr>
        <w:t xml:space="preserve"> Šiame nutarime nurodoma:</w:t>
      </w:r>
    </w:p>
    <w:p w14:paraId="72CB79D9" w14:textId="554B37C4" w:rsidR="00026E60" w:rsidRPr="002C3852" w:rsidRDefault="00026E60" w:rsidP="00026E60">
      <w:pPr>
        <w:pStyle w:val="ListParagraph"/>
        <w:numPr>
          <w:ilvl w:val="0"/>
          <w:numId w:val="4"/>
        </w:numPr>
        <w:spacing w:before="120" w:after="200"/>
        <w:jc w:val="both"/>
        <w:rPr>
          <w:i/>
        </w:rPr>
      </w:pPr>
      <w:r w:rsidRPr="002C3852">
        <w:rPr>
          <w:i/>
        </w:rPr>
        <w:t>endokrininę sistemą ardančias medžiagas, kurios laikomos patvirtintomis ir numanomomis ir kurios nurodytos Visuomenės sveikatos kodekso L. 5232-5 straipsnyje, įskaitant informaciją apie buvimą Visuomenės sveikatos kodekso R. 5232-19 straipsnyje nurodytuose produktuose, visuomenei turi nurodyti asmenys, kurie pateikia jas rinkai;</w:t>
      </w:r>
    </w:p>
    <w:p w14:paraId="1EEAFD30" w14:textId="650B2653" w:rsidR="00026E60" w:rsidRPr="002C3852" w:rsidRDefault="00026E60" w:rsidP="00026E60">
      <w:pPr>
        <w:pStyle w:val="ListParagraph"/>
        <w:numPr>
          <w:ilvl w:val="0"/>
          <w:numId w:val="4"/>
        </w:numPr>
        <w:jc w:val="both"/>
        <w:rPr>
          <w:bCs/>
          <w:i/>
          <w:iCs/>
        </w:rPr>
      </w:pPr>
      <w:r w:rsidRPr="002C3852">
        <w:rPr>
          <w:i/>
        </w:rPr>
        <w:t>endokrininę sistemą ardančių savybių turinčios medžiagos, klasifikuojamos kaip įtariamosios, nurodytos Visuomenės sveikatos kodekso L. 5232-5 straipsnio II dalyje;</w:t>
      </w:r>
    </w:p>
    <w:p w14:paraId="6E3CD793" w14:textId="6D0420B6" w:rsidR="00026E60" w:rsidRPr="002C3852" w:rsidRDefault="00026E60" w:rsidP="00026E60">
      <w:pPr>
        <w:pStyle w:val="ListParagraph"/>
        <w:numPr>
          <w:ilvl w:val="0"/>
          <w:numId w:val="4"/>
        </w:numPr>
        <w:jc w:val="both"/>
        <w:rPr>
          <w:bCs/>
          <w:i/>
          <w:iCs/>
        </w:rPr>
      </w:pPr>
      <w:r w:rsidRPr="002C3852">
        <w:rPr>
          <w:i/>
        </w:rPr>
        <w:t>produktų, kuriems būdinga ypatinga poveikio rizika, kategorijos, kurioms taikomas įpareigojimas teikti informaciją apie endokrininę sistemą ardančias medžiagas, kurios klasifikuojamos kaip įtariamosios.</w:t>
      </w:r>
      <w:bookmarkStart w:id="0" w:name="move773304541"/>
      <w:bookmarkEnd w:id="0"/>
    </w:p>
    <w:p w14:paraId="5470BC4F" w14:textId="72315F6A" w:rsidR="008347CD" w:rsidRPr="002C3852" w:rsidRDefault="00C46B5B">
      <w:pPr>
        <w:spacing w:before="120" w:after="120"/>
        <w:jc w:val="both"/>
      </w:pPr>
      <w:r w:rsidRPr="002C3852">
        <w:rPr>
          <w:b/>
          <w:i/>
        </w:rPr>
        <w:t>Įsigaliojimas.</w:t>
      </w:r>
      <w:r w:rsidRPr="002C3852">
        <w:rPr>
          <w:i/>
        </w:rPr>
        <w:t xml:space="preserve"> Tekstas įsigalioja 2022 m. sausio 1 d.</w:t>
      </w:r>
    </w:p>
    <w:p w14:paraId="733E13B9" w14:textId="7E2678C1" w:rsidR="005C023A" w:rsidRPr="002C3852" w:rsidRDefault="00C46B5B" w:rsidP="009934B3">
      <w:pPr>
        <w:spacing w:after="120"/>
        <w:jc w:val="both"/>
        <w:rPr>
          <w:i/>
          <w:iCs/>
        </w:rPr>
      </w:pPr>
      <w:r w:rsidRPr="002C3852">
        <w:rPr>
          <w:b/>
          <w:i/>
        </w:rPr>
        <w:t>Pranešimas.</w:t>
      </w:r>
      <w:r w:rsidRPr="002C3852">
        <w:rPr>
          <w:i/>
        </w:rPr>
        <w:t xml:space="preserve"> 2020 m. vasario 10 d. Įstatymo Nr. 2020-105 dėl kovos su atliekomis ir žiedinės ekonomikos (toliau – Kovos su atliekomis ir žiedinės ekonomikos įstatymas) 13-II straipsnyje nustatyta, kad bet kuris asmuo, pateikiantis rinkai vartotojams skirtus produktus, kurių sudėtyje yra medžiagų, kurių endokrininę sistemą ardančias savybes Prancūzijos maisto, aplinkos, darbuotojų sveikatos ir saugos agentūra (ANSES) klasifikuoja kaip patikrintas ar įtariamas, turi „pateikti visuomenei informaciją atviromis, lengvai pakartotinai naudojamomis elektroninėmis priemonėmis ir naudojant automatizuotos apdorojimo sistemos taikomą formatą, kad būtų galima nustatyti tokių medžiagų buvimą šiuose produktuose“. Šis įpareigojimas taip pat taikomas tam tikrų kategorijų produktams, kurių poveikis ypač pavojingas, medžiagų, ir toms medžiagoms, kurių atžvilgiu ANSES įtaria, kad jos yra endokrininę sistemą ardančios medžiagos.</w:t>
      </w:r>
    </w:p>
    <w:p w14:paraId="5B62B7D5" w14:textId="4A3BF621" w:rsidR="005C023A" w:rsidRPr="002C3852" w:rsidRDefault="005C023A" w:rsidP="005C023A">
      <w:pPr>
        <w:spacing w:after="120"/>
        <w:jc w:val="both"/>
        <w:rPr>
          <w:i/>
          <w:iCs/>
        </w:rPr>
      </w:pPr>
      <w:r w:rsidRPr="002C3852">
        <w:rPr>
          <w:i/>
        </w:rPr>
        <w:t xml:space="preserve">Šis įpareigojimas atitinka Antrosios nacionalinės endokrininę sistemą ardančių medžiagų strategijos (NSPE2) tikslus. Juo siekiama suteikti piliečiams skaidrią informaciją apie endokrininę sistemą ardančių medžiagų buvimą produktuose, t. y. medžiagose, mišiniuose, gaminiuose ir maisto produktuose. </w:t>
      </w:r>
    </w:p>
    <w:p w14:paraId="4B8A6D79" w14:textId="26B4F5AE" w:rsidR="003A3003" w:rsidRPr="002C3852" w:rsidRDefault="00844E8D" w:rsidP="009934B3">
      <w:pPr>
        <w:spacing w:after="120"/>
        <w:jc w:val="both"/>
        <w:rPr>
          <w:bCs/>
          <w:i/>
          <w:iCs/>
        </w:rPr>
      </w:pPr>
      <w:r w:rsidRPr="002C3852">
        <w:rPr>
          <w:i/>
        </w:rPr>
        <w:lastRenderedPageBreak/>
        <w:t>Išsamios šios teisės nuostatos taikymo taisyklės nustatytos Visuomenės sveikatos kodekso R. 5232-19–R. 5232-22 straipsniuose. R. 5232-19 straipsnyje numatyta, kad bendrame už sveikatą ir aplinką atsakingų ministrų įsakyme, remiantis ANSES pasiūlymu, būtų nustatomas:</w:t>
      </w:r>
    </w:p>
    <w:p w14:paraId="0EF9AEBF" w14:textId="6805D919" w:rsidR="00844E8D" w:rsidRPr="002C3852" w:rsidRDefault="005C023A" w:rsidP="003A3003">
      <w:pPr>
        <w:pStyle w:val="ListParagraph"/>
        <w:numPr>
          <w:ilvl w:val="0"/>
          <w:numId w:val="4"/>
        </w:numPr>
        <w:spacing w:after="120"/>
        <w:jc w:val="both"/>
        <w:rPr>
          <w:bCs/>
          <w:i/>
          <w:iCs/>
        </w:rPr>
      </w:pPr>
      <w:r w:rsidRPr="002C3852">
        <w:rPr>
          <w:i/>
        </w:rPr>
        <w:t>L. 5232-5 straipsnio I dalyje nurodytų endokrininę sistemą ardančių savybių turinčių medžiagų sąrašas, suskirstytas į dvi kategorijas, patikrintas ir numanomas pagal mokslinių įrodymų lygį;</w:t>
      </w:r>
    </w:p>
    <w:p w14:paraId="1DD34A14" w14:textId="0439FE39" w:rsidR="003A3003" w:rsidRPr="002C3852" w:rsidRDefault="00840BD7" w:rsidP="003A3003">
      <w:pPr>
        <w:pStyle w:val="ListParagraph"/>
        <w:numPr>
          <w:ilvl w:val="0"/>
          <w:numId w:val="4"/>
        </w:numPr>
        <w:autoSpaceDN w:val="0"/>
        <w:jc w:val="both"/>
        <w:textAlignment w:val="baseline"/>
        <w:rPr>
          <w:bCs/>
          <w:i/>
          <w:iCs/>
        </w:rPr>
      </w:pPr>
      <w:r w:rsidRPr="002C3852">
        <w:rPr>
          <w:i/>
        </w:rPr>
        <w:t xml:space="preserve">medžiagų, kurios, kaip įtariama, turi endokrininę sistemą ardančių savybių, sąrašas, nurodytas L. 5232-5 straipsnyje; </w:t>
      </w:r>
    </w:p>
    <w:p w14:paraId="62A7D081" w14:textId="4DFAECBB" w:rsidR="003A3003" w:rsidRPr="002C3852" w:rsidRDefault="00840BD7" w:rsidP="003A3003">
      <w:pPr>
        <w:pStyle w:val="ListParagraph"/>
        <w:numPr>
          <w:ilvl w:val="0"/>
          <w:numId w:val="4"/>
        </w:numPr>
        <w:autoSpaceDN w:val="0"/>
        <w:jc w:val="both"/>
        <w:textAlignment w:val="baseline"/>
        <w:rPr>
          <w:bCs/>
          <w:i/>
          <w:iCs/>
        </w:rPr>
      </w:pPr>
      <w:r w:rsidRPr="002C3852">
        <w:rPr>
          <w:i/>
        </w:rPr>
        <w:t>L. 5232-5 straipsnio II dalyje nurodytas gaminių, keliančių ypatingą poveikio riziką, kategorijas, susijusias su poveikį patiriančiais gyventojais, šių produktų naudojimo ir šalinimo sąlygomis ir kitais atitinkamais kriterijais.</w:t>
      </w:r>
    </w:p>
    <w:p w14:paraId="46CC9886" w14:textId="77777777" w:rsidR="00844E8D" w:rsidRPr="002C3852" w:rsidRDefault="00844E8D">
      <w:pPr>
        <w:spacing w:after="120"/>
        <w:jc w:val="both"/>
        <w:rPr>
          <w:i/>
          <w:iCs/>
        </w:rPr>
      </w:pPr>
    </w:p>
    <w:p w14:paraId="6983208D" w14:textId="6432FC6E" w:rsidR="008347CD" w:rsidRPr="002C3852" w:rsidRDefault="00C46B5B">
      <w:pPr>
        <w:spacing w:after="120"/>
        <w:jc w:val="both"/>
      </w:pPr>
      <w:r w:rsidRPr="002C3852">
        <w:rPr>
          <w:b/>
          <w:i/>
        </w:rPr>
        <w:t>Nuorodos:</w:t>
      </w:r>
      <w:r w:rsidRPr="002C3852">
        <w:rPr>
          <w:i/>
        </w:rPr>
        <w:t xml:space="preserve"> tekstą galima rasti Légifrance svetainėje (http://legifrance.gouv.fr).</w:t>
      </w:r>
    </w:p>
    <w:p w14:paraId="6684B3B6" w14:textId="77777777" w:rsidR="008347CD" w:rsidRPr="002C3852" w:rsidRDefault="008347CD">
      <w:pPr>
        <w:pStyle w:val="SNObjet"/>
        <w:rPr>
          <w:b w:val="0"/>
        </w:rPr>
      </w:pPr>
    </w:p>
    <w:p w14:paraId="0BEF3BF1" w14:textId="026CEB60" w:rsidR="008347CD" w:rsidRPr="002C3852" w:rsidRDefault="00C46B5B">
      <w:pPr>
        <w:pStyle w:val="SNObjet"/>
      </w:pPr>
      <w:r w:rsidRPr="002C3852">
        <w:t>Ekologinės pertvarkos ministras bei solidarumo ir sveikatos ministras,</w:t>
      </w:r>
    </w:p>
    <w:p w14:paraId="73DB3276" w14:textId="475B4219" w:rsidR="007F7405" w:rsidRPr="002C3852" w:rsidRDefault="00C46B5B" w:rsidP="00A42F37">
      <w:pPr>
        <w:pStyle w:val="SNVisa"/>
        <w:ind w:firstLine="708"/>
      </w:pPr>
      <w:r w:rsidRPr="002C3852">
        <w:t>atsižvelgdami į 2006 m. gruodžio 18 d. Europos Parlamento ir Tarybos reglamentą (EB) Nr. 1907/2006 dėl cheminių medžiagų registracijos, įvertinimo, autorizacijos ir apribojimų (REACH), įsteigiantį Europos cheminių medžiagų agentūrą, iš dalies keičiantį Direktyvą 1999/45/EB bei panaikinantį Tarybos reglamentą (EEB) Nr. 793/93, Komisijos reglamentą (EB) Nr. 1488/94, Tarybos direktyvą 76/769/EEB ir Komisijos direktyvas 91/155/EEB, 93/67/EEB, 93/105/EB bei 2000/21/EB,</w:t>
      </w:r>
    </w:p>
    <w:p w14:paraId="3B2BD5A0" w14:textId="130383A4" w:rsidR="00A14477" w:rsidRPr="002C3852" w:rsidRDefault="00A14477" w:rsidP="00A42F37">
      <w:pPr>
        <w:pStyle w:val="SNVisa"/>
        <w:ind w:firstLine="708"/>
      </w:pPr>
      <w:r w:rsidRPr="002C3852">
        <w:t>atsižvelgdami į 2009 m. spalio 21 d. Europos Parlamento ir Tarybos reglamentą (EB) Nr. 1107/2009 dėl augalų apsaugos produktų pateikimo į rinką ir panaikinantį Tarybos direktyvas 79/117/EEB ir 91/414/EEB</w:t>
      </w:r>
    </w:p>
    <w:p w14:paraId="1BAF1F3D" w14:textId="08DDD3CB" w:rsidR="008347CD" w:rsidRPr="002C3852" w:rsidRDefault="007F7405" w:rsidP="00A42F37">
      <w:pPr>
        <w:pStyle w:val="SNVisa"/>
        <w:ind w:firstLine="708"/>
      </w:pPr>
      <w:r w:rsidRPr="002C3852">
        <w:t>atsižvelgdami į 2012 m. gegužės 22 d. Europos Parlamento ir Tarybos reglamentą (ES) Nr. 528/2012 dėl biocidinių produktų tiekimo rinkai ir jų naudojimo,</w:t>
      </w:r>
    </w:p>
    <w:p w14:paraId="284E1EE9" w14:textId="12EEA247" w:rsidR="008347CD" w:rsidRPr="002C3852" w:rsidRDefault="00C46B5B" w:rsidP="00A42F37">
      <w:pPr>
        <w:pStyle w:val="SNVisa"/>
        <w:ind w:firstLine="708"/>
      </w:pPr>
      <w:r w:rsidRPr="002C3852">
        <w:t xml:space="preserve">atsižvelgdami į </w:t>
      </w:r>
      <w:bookmarkStart w:id="1" w:name="__DdeLink__11050_299813634"/>
      <w:r w:rsidRPr="002C3852">
        <w:t xml:space="preserve">Visuomenės sveikatos kodeksą, ypač į jo </w:t>
      </w:r>
      <w:bookmarkEnd w:id="1"/>
      <w:r w:rsidRPr="002C3852">
        <w:t xml:space="preserve"> L. 5232-5 straipsnį, suformuluotą pagal 2020 m. vasario 10 d. Įstatymo Nr. 2020-105 dėl kovos su atliekomis ir dėl žiedinės ekonomikos 13 straipsnį ir R. 5232-19 straipsnį,</w:t>
      </w:r>
    </w:p>
    <w:p w14:paraId="58048984" w14:textId="5480FE12" w:rsidR="008347CD" w:rsidRPr="002C3852" w:rsidRDefault="00414610" w:rsidP="00A42F37">
      <w:pPr>
        <w:pStyle w:val="SNVisa"/>
        <w:ind w:firstLine="708"/>
      </w:pPr>
      <w:r w:rsidRPr="002C3852">
        <w:t>atsižvelgdami į XXXX d. Prancūzijos maisto, aplinkos ir darbuotojų sveikatos ir saugos agentūros nuomonę,</w:t>
      </w:r>
    </w:p>
    <w:p w14:paraId="411C619F" w14:textId="77777777" w:rsidR="008347CD" w:rsidRPr="002C3852" w:rsidRDefault="00C46B5B">
      <w:pPr>
        <w:pStyle w:val="SNActe"/>
      </w:pPr>
      <w:r w:rsidRPr="002C3852">
        <w:t>nustato:</w:t>
      </w:r>
    </w:p>
    <w:p w14:paraId="78D9F457" w14:textId="77777777" w:rsidR="008347CD" w:rsidRPr="002C3852" w:rsidRDefault="008347CD">
      <w:pPr>
        <w:pStyle w:val="SNArticle"/>
      </w:pPr>
    </w:p>
    <w:p w14:paraId="5C7F96CE" w14:textId="77777777" w:rsidR="008347CD" w:rsidRPr="002C3852" w:rsidRDefault="00C46B5B">
      <w:pPr>
        <w:pStyle w:val="SNArticle"/>
      </w:pPr>
      <w:r w:rsidRPr="002C3852">
        <w:t>1 straipsnis</w:t>
      </w:r>
    </w:p>
    <w:p w14:paraId="25C93793" w14:textId="77777777" w:rsidR="00A42F37" w:rsidRPr="002C3852" w:rsidRDefault="00A42F37">
      <w:pPr>
        <w:jc w:val="both"/>
      </w:pPr>
    </w:p>
    <w:p w14:paraId="658E2A64" w14:textId="1473D7BA" w:rsidR="00A42F37" w:rsidRPr="002C3852" w:rsidRDefault="00A42F37" w:rsidP="00F92FDA">
      <w:pPr>
        <w:jc w:val="both"/>
      </w:pPr>
      <w:r w:rsidRPr="002C3852">
        <w:t>Medžiagos, turinčios patvirtintų ir numanomų endokrininę sistemą ardančių savybių, nurodytų Visuomenės sveikatos kodekso L. 5232-5 straipsnio I dalyje, išvardytos šio nutarimo I priedo A lentelėje.</w:t>
      </w:r>
    </w:p>
    <w:p w14:paraId="1B8D27AD" w14:textId="3F1A9B07" w:rsidR="008347CD" w:rsidRPr="002C3852" w:rsidRDefault="008347CD">
      <w:pPr>
        <w:jc w:val="both"/>
      </w:pPr>
    </w:p>
    <w:p w14:paraId="7ABA31A2" w14:textId="540F08BD" w:rsidR="003A3003" w:rsidRPr="002C3852" w:rsidRDefault="003A3003">
      <w:pPr>
        <w:jc w:val="both"/>
      </w:pPr>
    </w:p>
    <w:p w14:paraId="185CCC9B" w14:textId="77777777" w:rsidR="00840BD7" w:rsidRPr="002C3852" w:rsidRDefault="00840BD7">
      <w:pPr>
        <w:jc w:val="both"/>
      </w:pPr>
    </w:p>
    <w:p w14:paraId="1CB2A07C" w14:textId="61E452D4" w:rsidR="00220182" w:rsidRPr="002C3852" w:rsidRDefault="00220182" w:rsidP="00220182">
      <w:pPr>
        <w:pStyle w:val="SNArticle"/>
      </w:pPr>
      <w:r w:rsidRPr="002C3852">
        <w:t>2 straipsnis</w:t>
      </w:r>
    </w:p>
    <w:p w14:paraId="0BC38752" w14:textId="77777777" w:rsidR="00220182" w:rsidRPr="002C3852" w:rsidRDefault="00220182" w:rsidP="00220182">
      <w:pPr>
        <w:jc w:val="both"/>
      </w:pPr>
    </w:p>
    <w:p w14:paraId="29D79603" w14:textId="7710243A" w:rsidR="00220182" w:rsidRPr="002C3852" w:rsidRDefault="00220182" w:rsidP="00220182">
      <w:pPr>
        <w:jc w:val="both"/>
      </w:pPr>
      <w:r w:rsidRPr="002C3852">
        <w:t>Medžiagos, kurios, kaip įtariama, turi endokrininę sistemą ardančių savybių, nurodytų Visuomenės sveikatos kodekso L. 5232-5 II straipsnyje, išvardytos šio nutarimo I priedo B lentelėje.</w:t>
      </w:r>
    </w:p>
    <w:p w14:paraId="414AAF65" w14:textId="77777777" w:rsidR="00840BD7" w:rsidRPr="002C3852" w:rsidRDefault="00840BD7" w:rsidP="00220182">
      <w:pPr>
        <w:jc w:val="both"/>
      </w:pPr>
    </w:p>
    <w:p w14:paraId="414FCA1E" w14:textId="71ABDFE8" w:rsidR="00220182" w:rsidRPr="002C3852" w:rsidRDefault="00220182" w:rsidP="00220182">
      <w:pPr>
        <w:pStyle w:val="SNArticle"/>
      </w:pPr>
      <w:r w:rsidRPr="002C3852">
        <w:t>3 straipsnis</w:t>
      </w:r>
    </w:p>
    <w:p w14:paraId="2D09A589" w14:textId="77777777" w:rsidR="00220182" w:rsidRPr="002C3852" w:rsidRDefault="00220182" w:rsidP="00220182">
      <w:pPr>
        <w:jc w:val="both"/>
      </w:pPr>
    </w:p>
    <w:p w14:paraId="19C5E591" w14:textId="14F23B7A" w:rsidR="00220182" w:rsidRPr="002C3852" w:rsidRDefault="00220182" w:rsidP="00220182">
      <w:pPr>
        <w:jc w:val="both"/>
      </w:pPr>
      <w:r w:rsidRPr="002C3852">
        <w:t>Ypatingą poveikio riziką keliančių gaminių kategorijos, nurodytos Visuomenės sveikatos kodekso L. 5232-5 straipsnio II dalyje, išvardytos šio nutarimo II priede.</w:t>
      </w:r>
    </w:p>
    <w:p w14:paraId="1FF4DAAD" w14:textId="21F9B44B" w:rsidR="00220182" w:rsidRPr="002C3852" w:rsidRDefault="00220182" w:rsidP="00220182">
      <w:pPr>
        <w:jc w:val="both"/>
      </w:pPr>
    </w:p>
    <w:p w14:paraId="1137E4CD" w14:textId="3090F12E" w:rsidR="008347CD" w:rsidRPr="002C3852" w:rsidRDefault="00C46B5B">
      <w:pPr>
        <w:pStyle w:val="SNArticle"/>
      </w:pPr>
      <w:r w:rsidRPr="002C3852">
        <w:t>4 straipsnis</w:t>
      </w:r>
    </w:p>
    <w:p w14:paraId="285154DB" w14:textId="77777777" w:rsidR="008347CD" w:rsidRPr="002C3852" w:rsidRDefault="00C46B5B">
      <w:pPr>
        <w:pStyle w:val="SNArticle"/>
        <w:jc w:val="left"/>
        <w:rPr>
          <w:b w:val="0"/>
        </w:rPr>
      </w:pPr>
      <w:r w:rsidRPr="002C3852">
        <w:rPr>
          <w:b w:val="0"/>
        </w:rPr>
        <w:t xml:space="preserve">Šio nutarimo nuostatos įsigalioja 2022 m. sausio 1 d. </w:t>
      </w:r>
    </w:p>
    <w:p w14:paraId="716A6006" w14:textId="77777777" w:rsidR="009F20C4" w:rsidRPr="002C3852" w:rsidRDefault="009F20C4">
      <w:pPr>
        <w:pStyle w:val="SNArticle"/>
      </w:pPr>
    </w:p>
    <w:p w14:paraId="1DE0912A" w14:textId="43814AF3" w:rsidR="008347CD" w:rsidRPr="002C3852" w:rsidRDefault="00C46B5B">
      <w:pPr>
        <w:pStyle w:val="SNArticle"/>
      </w:pPr>
      <w:r w:rsidRPr="002C3852">
        <w:t>5 straipsnis</w:t>
      </w:r>
    </w:p>
    <w:p w14:paraId="4B2DBBEB" w14:textId="77777777" w:rsidR="008347CD" w:rsidRPr="002C3852" w:rsidRDefault="00C46B5B">
      <w:pPr>
        <w:pStyle w:val="BodyText"/>
        <w:jc w:val="both"/>
      </w:pPr>
      <w:r w:rsidRPr="002C3852">
        <w:t xml:space="preserve">Šis nutarimas skelbiamas Prancūzijos Respublikos </w:t>
      </w:r>
      <w:r w:rsidRPr="002C3852">
        <w:rPr>
          <w:i/>
          <w:iCs/>
        </w:rPr>
        <w:t>oficialiajame leidinyje</w:t>
      </w:r>
      <w:r w:rsidRPr="002C3852">
        <w:t>.</w:t>
      </w:r>
    </w:p>
    <w:p w14:paraId="348F0109" w14:textId="121A36A3" w:rsidR="008347CD" w:rsidRPr="002C3852" w:rsidRDefault="008347CD" w:rsidP="0005179D">
      <w:pPr>
        <w:tabs>
          <w:tab w:val="left" w:pos="5685"/>
        </w:tabs>
      </w:pPr>
    </w:p>
    <w:p w14:paraId="6D2787DD" w14:textId="77777777" w:rsidR="008347CD" w:rsidRPr="002C3852" w:rsidRDefault="008347CD"/>
    <w:p w14:paraId="20942212" w14:textId="77777777" w:rsidR="008347CD" w:rsidRPr="002C3852" w:rsidRDefault="00C46B5B">
      <w:pPr>
        <w:ind w:firstLine="540"/>
      </w:pPr>
      <w:r w:rsidRPr="002C3852">
        <w:t xml:space="preserve">Pateikta [data] </w:t>
      </w:r>
    </w:p>
    <w:p w14:paraId="6DEBDEE2" w14:textId="77777777" w:rsidR="008347CD" w:rsidRPr="002C3852" w:rsidRDefault="008347CD">
      <w:pPr>
        <w:ind w:left="539"/>
      </w:pPr>
    </w:p>
    <w:p w14:paraId="0CD275D9" w14:textId="77777777" w:rsidR="008347CD" w:rsidRPr="002C3852" w:rsidRDefault="008347CD">
      <w:pPr>
        <w:pStyle w:val="SNSignatureGauche"/>
        <w:ind w:left="539"/>
      </w:pPr>
    </w:p>
    <w:p w14:paraId="00FFAF1F" w14:textId="77777777" w:rsidR="008347CD" w:rsidRPr="002C3852" w:rsidRDefault="008347CD">
      <w:pPr>
        <w:pStyle w:val="SNSignatureGauche"/>
        <w:ind w:left="539"/>
      </w:pPr>
    </w:p>
    <w:p w14:paraId="6BEDEEF5" w14:textId="25330FB5" w:rsidR="008347CD" w:rsidRPr="002C3852" w:rsidRDefault="00C46B5B">
      <w:pPr>
        <w:pStyle w:val="SNSignatureGauche"/>
        <w:ind w:left="539"/>
      </w:pPr>
      <w:r w:rsidRPr="002C3852">
        <w:t>Ekologinės pertvarkos ministras</w:t>
      </w:r>
    </w:p>
    <w:p w14:paraId="21F51DC6" w14:textId="77777777" w:rsidR="008347CD" w:rsidRPr="002C3852" w:rsidRDefault="00C46B5B">
      <w:pPr>
        <w:pStyle w:val="SNSignatureDroite"/>
        <w:ind w:left="539" w:firstLine="0"/>
      </w:pPr>
      <w:r w:rsidRPr="002C3852">
        <w:t>Ministro vardu ir įgaliojimu:</w:t>
      </w:r>
    </w:p>
    <w:p w14:paraId="5384022E" w14:textId="77777777" w:rsidR="008347CD" w:rsidRPr="002C3852" w:rsidRDefault="00C46B5B">
      <w:pPr>
        <w:pStyle w:val="SNSignatureDroite"/>
        <w:ind w:left="539" w:firstLine="0"/>
      </w:pPr>
      <w:r w:rsidRPr="002C3852">
        <w:t>Rizikos prevencijos skyriaus generalinis direktorius</w:t>
      </w:r>
    </w:p>
    <w:p w14:paraId="0A5482F8" w14:textId="77777777" w:rsidR="008347CD" w:rsidRPr="002C3852" w:rsidRDefault="008347CD">
      <w:pPr>
        <w:pStyle w:val="SNSignatureGauche"/>
        <w:ind w:left="539"/>
      </w:pPr>
    </w:p>
    <w:p w14:paraId="673118EB" w14:textId="77777777" w:rsidR="008347CD" w:rsidRPr="002C3852" w:rsidRDefault="008347CD">
      <w:pPr>
        <w:pStyle w:val="SNSignatureDroite"/>
        <w:ind w:left="539" w:firstLine="0"/>
      </w:pPr>
    </w:p>
    <w:p w14:paraId="6195CB62" w14:textId="77777777" w:rsidR="008347CD" w:rsidRPr="002C3852" w:rsidRDefault="008347CD">
      <w:pPr>
        <w:pStyle w:val="SNSignatureGauche"/>
        <w:ind w:left="539"/>
      </w:pPr>
    </w:p>
    <w:p w14:paraId="4AA84A8A" w14:textId="77777777" w:rsidR="008347CD" w:rsidRPr="002C3852" w:rsidRDefault="00C46B5B">
      <w:pPr>
        <w:pStyle w:val="SNSignatureDroite"/>
        <w:ind w:left="539" w:firstLine="0"/>
      </w:pPr>
      <w:r w:rsidRPr="002C3852">
        <w:t>Cédric Bourillet</w:t>
      </w:r>
    </w:p>
    <w:p w14:paraId="3540651A" w14:textId="77777777" w:rsidR="008347CD" w:rsidRPr="002C3852" w:rsidRDefault="008347CD">
      <w:pPr>
        <w:ind w:left="539"/>
      </w:pPr>
    </w:p>
    <w:p w14:paraId="02736F8A" w14:textId="77777777" w:rsidR="008347CD" w:rsidRPr="002C3852" w:rsidRDefault="008347CD">
      <w:pPr>
        <w:ind w:left="539"/>
      </w:pPr>
    </w:p>
    <w:p w14:paraId="218AB37D" w14:textId="77777777" w:rsidR="008347CD" w:rsidRPr="002C3852" w:rsidRDefault="008347CD">
      <w:pPr>
        <w:ind w:left="539"/>
      </w:pPr>
    </w:p>
    <w:p w14:paraId="61147849" w14:textId="32EE603B" w:rsidR="008347CD" w:rsidRPr="002C3852" w:rsidRDefault="00305F8C" w:rsidP="009934B3">
      <w:pPr>
        <w:ind w:left="539"/>
      </w:pPr>
      <w:r w:rsidRPr="002C3852">
        <w:t>Socialinio solidarumo ir sveikatos apsaugos ministras</w:t>
      </w:r>
    </w:p>
    <w:p w14:paraId="69576A00" w14:textId="7DEE8A3A" w:rsidR="008347CD" w:rsidRPr="002C3852" w:rsidRDefault="00C46B5B" w:rsidP="009934B3">
      <w:pPr>
        <w:ind w:left="539"/>
      </w:pPr>
      <w:r w:rsidRPr="002C3852">
        <w:t>Ministro vardu ir įgaliojimu:</w:t>
      </w:r>
    </w:p>
    <w:p w14:paraId="598A67E7" w14:textId="77777777" w:rsidR="008347CD" w:rsidRPr="002C3852" w:rsidRDefault="00C46B5B" w:rsidP="009934B3">
      <w:pPr>
        <w:ind w:left="539"/>
      </w:pPr>
      <w:r w:rsidRPr="002C3852">
        <w:t>Sveikatos apsaugos skyriaus generalinis direktorius</w:t>
      </w:r>
    </w:p>
    <w:p w14:paraId="2DC0E3F5" w14:textId="77777777" w:rsidR="008347CD" w:rsidRPr="002C3852" w:rsidRDefault="008347CD" w:rsidP="009934B3">
      <w:pPr>
        <w:ind w:left="539"/>
      </w:pPr>
    </w:p>
    <w:p w14:paraId="5BF5FC14" w14:textId="77777777" w:rsidR="008347CD" w:rsidRPr="002C3852" w:rsidRDefault="008347CD" w:rsidP="009934B3">
      <w:pPr>
        <w:ind w:left="539"/>
      </w:pPr>
    </w:p>
    <w:p w14:paraId="06D46F73" w14:textId="77777777" w:rsidR="008347CD" w:rsidRPr="002C3852" w:rsidRDefault="008347CD" w:rsidP="009934B3">
      <w:pPr>
        <w:ind w:left="539"/>
      </w:pPr>
    </w:p>
    <w:p w14:paraId="1EC43CA3" w14:textId="26DC16E0" w:rsidR="008347CD" w:rsidRPr="002C3852" w:rsidRDefault="00C46B5B" w:rsidP="009934B3">
      <w:pPr>
        <w:ind w:left="539"/>
      </w:pPr>
      <w:r w:rsidRPr="002C3852">
        <w:t>Jérôme SALOMON</w:t>
      </w:r>
    </w:p>
    <w:p w14:paraId="646663AB" w14:textId="470A7E39" w:rsidR="0091346D" w:rsidRPr="002C3852" w:rsidRDefault="0091346D" w:rsidP="009934B3">
      <w:pPr>
        <w:ind w:left="539"/>
      </w:pPr>
    </w:p>
    <w:p w14:paraId="78992825" w14:textId="26A612AC" w:rsidR="0091346D" w:rsidRPr="002C3852" w:rsidRDefault="0091346D" w:rsidP="009934B3">
      <w:pPr>
        <w:ind w:left="539"/>
      </w:pPr>
    </w:p>
    <w:p w14:paraId="4C271472" w14:textId="12482997" w:rsidR="0091346D" w:rsidRPr="002C3852" w:rsidRDefault="0091346D" w:rsidP="009934B3">
      <w:pPr>
        <w:ind w:left="539"/>
      </w:pPr>
    </w:p>
    <w:p w14:paraId="757046F7" w14:textId="6F5F6C03" w:rsidR="0091346D" w:rsidRPr="002C3852" w:rsidRDefault="0091346D" w:rsidP="009934B3">
      <w:pPr>
        <w:ind w:left="539"/>
      </w:pPr>
    </w:p>
    <w:p w14:paraId="30CBFC27" w14:textId="77777777" w:rsidR="009F20C4" w:rsidRPr="002C3852" w:rsidRDefault="009F20C4" w:rsidP="009934B3">
      <w:pPr>
        <w:ind w:left="539"/>
      </w:pPr>
    </w:p>
    <w:p w14:paraId="203CF528" w14:textId="77777777" w:rsidR="009F20C4" w:rsidRPr="002C3852" w:rsidRDefault="009F20C4" w:rsidP="009934B3">
      <w:pPr>
        <w:ind w:left="539"/>
      </w:pPr>
    </w:p>
    <w:p w14:paraId="55CCE532" w14:textId="77777777" w:rsidR="009F20C4" w:rsidRPr="002C3852" w:rsidRDefault="009F20C4" w:rsidP="009934B3">
      <w:pPr>
        <w:ind w:left="539"/>
      </w:pPr>
    </w:p>
    <w:p w14:paraId="75D34D20" w14:textId="77777777" w:rsidR="009F20C4" w:rsidRPr="002C3852" w:rsidRDefault="009F20C4" w:rsidP="009934B3">
      <w:pPr>
        <w:ind w:left="539"/>
      </w:pPr>
    </w:p>
    <w:p w14:paraId="093B3990" w14:textId="77777777" w:rsidR="009F20C4" w:rsidRPr="002C3852" w:rsidRDefault="009F20C4" w:rsidP="009934B3">
      <w:pPr>
        <w:ind w:left="539"/>
      </w:pPr>
    </w:p>
    <w:p w14:paraId="0EB4AC6D" w14:textId="77777777" w:rsidR="009F20C4" w:rsidRPr="002C3852" w:rsidRDefault="009F20C4" w:rsidP="009934B3">
      <w:pPr>
        <w:ind w:left="539"/>
      </w:pPr>
    </w:p>
    <w:p w14:paraId="07DFCF09" w14:textId="77777777" w:rsidR="009F20C4" w:rsidRPr="002C3852" w:rsidRDefault="009F20C4" w:rsidP="009934B3">
      <w:pPr>
        <w:ind w:left="539"/>
      </w:pPr>
    </w:p>
    <w:p w14:paraId="1E7D03FB" w14:textId="77777777" w:rsidR="00F4110C" w:rsidRPr="002C3852" w:rsidRDefault="00F4110C">
      <w:pPr>
        <w:suppressAutoHyphens w:val="0"/>
      </w:pPr>
      <w:r w:rsidRPr="002C3852">
        <w:br w:type="page"/>
      </w:r>
    </w:p>
    <w:p w14:paraId="7290D6B3" w14:textId="0CC5E208" w:rsidR="0091346D" w:rsidRPr="002C3852" w:rsidRDefault="00F9491E" w:rsidP="009934B3">
      <w:pPr>
        <w:ind w:left="539"/>
      </w:pPr>
      <w:r w:rsidRPr="002C3852">
        <w:lastRenderedPageBreak/>
        <w:t xml:space="preserve">Priedai </w:t>
      </w:r>
    </w:p>
    <w:p w14:paraId="6EA669F8" w14:textId="77777777" w:rsidR="0091346D" w:rsidRPr="002C3852" w:rsidRDefault="0091346D" w:rsidP="009934B3">
      <w:pPr>
        <w:ind w:left="539"/>
      </w:pPr>
    </w:p>
    <w:p w14:paraId="7CD2C0F1" w14:textId="77777777" w:rsidR="0091346D" w:rsidRPr="002C3852" w:rsidRDefault="0091346D" w:rsidP="009934B3">
      <w:pPr>
        <w:ind w:left="539"/>
      </w:pPr>
    </w:p>
    <w:p w14:paraId="3ABF99B7" w14:textId="4BA3CD32" w:rsidR="0091346D" w:rsidRPr="002C3852" w:rsidRDefault="0091346D" w:rsidP="00F92FDA">
      <w:pPr>
        <w:ind w:left="539"/>
        <w:jc w:val="both"/>
      </w:pPr>
      <w:r w:rsidRPr="002C3852">
        <w:t>I priedas. Endokrininę sistemą ardančių medžiagų, nurodytų Visuomenės sveikatos kodekso L. 5232-5 straipsnio I ir II dalyse, sąrašas</w:t>
      </w:r>
    </w:p>
    <w:p w14:paraId="225B512E" w14:textId="24460C4F" w:rsidR="0091346D" w:rsidRPr="002C3852" w:rsidRDefault="0091346D" w:rsidP="00F92FDA">
      <w:pPr>
        <w:ind w:left="539"/>
        <w:jc w:val="both"/>
      </w:pPr>
    </w:p>
    <w:p w14:paraId="2E52E7D3" w14:textId="52D8F88D" w:rsidR="0091346D" w:rsidRPr="002C3852" w:rsidRDefault="0091346D" w:rsidP="00F92FDA">
      <w:pPr>
        <w:ind w:left="539"/>
        <w:jc w:val="both"/>
      </w:pPr>
      <w:r w:rsidRPr="002C3852">
        <w:t>A LENTELĖ. Visuomenės sveikatos kodekso L. 5232-5 straipsnyje nurodytų medžiagų, turinčių patvirtintų ir įtariamų endokrininę sistemą ardančių savybių, sąrašas</w:t>
      </w:r>
    </w:p>
    <w:p w14:paraId="07AAC79F" w14:textId="3DB8C2F4" w:rsidR="0091346D" w:rsidRPr="002C3852" w:rsidRDefault="0091346D" w:rsidP="009934B3">
      <w:pPr>
        <w:ind w:left="539"/>
      </w:pPr>
    </w:p>
    <w:tbl>
      <w:tblPr>
        <w:tblStyle w:val="TableGrid"/>
        <w:tblW w:w="0" w:type="auto"/>
        <w:tblInd w:w="539" w:type="dxa"/>
        <w:tblLook w:val="04A0" w:firstRow="1" w:lastRow="0" w:firstColumn="1" w:lastColumn="0" w:noHBand="0" w:noVBand="1"/>
      </w:tblPr>
      <w:tblGrid>
        <w:gridCol w:w="3449"/>
        <w:gridCol w:w="2680"/>
        <w:gridCol w:w="2676"/>
      </w:tblGrid>
      <w:tr w:rsidR="00F92FDA" w:rsidRPr="002C3852" w14:paraId="4DF6403F" w14:textId="602410DF" w:rsidTr="00A95817">
        <w:tc>
          <w:tcPr>
            <w:tcW w:w="3449" w:type="dxa"/>
          </w:tcPr>
          <w:p w14:paraId="36C34FAB" w14:textId="20DA6C2C" w:rsidR="00F92FDA" w:rsidRPr="002C3852" w:rsidRDefault="00F92FDA" w:rsidP="00840BD7">
            <w:pPr>
              <w:jc w:val="center"/>
              <w:rPr>
                <w:b/>
                <w:sz w:val="20"/>
                <w:szCs w:val="20"/>
              </w:rPr>
            </w:pPr>
            <w:r w:rsidRPr="002C3852">
              <w:rPr>
                <w:b/>
                <w:sz w:val="20"/>
              </w:rPr>
              <w:t>Medžiagos pavadinimas</w:t>
            </w:r>
          </w:p>
        </w:tc>
        <w:tc>
          <w:tcPr>
            <w:tcW w:w="2680" w:type="dxa"/>
          </w:tcPr>
          <w:p w14:paraId="133DF615" w14:textId="6C64F141" w:rsidR="00F92FDA" w:rsidRPr="002C3852" w:rsidRDefault="00F92FDA" w:rsidP="00840BD7">
            <w:pPr>
              <w:jc w:val="center"/>
              <w:rPr>
                <w:b/>
                <w:sz w:val="20"/>
                <w:szCs w:val="20"/>
              </w:rPr>
            </w:pPr>
            <w:r w:rsidRPr="002C3852">
              <w:rPr>
                <w:b/>
                <w:sz w:val="20"/>
              </w:rPr>
              <w:t>CAS numeris</w:t>
            </w:r>
          </w:p>
        </w:tc>
        <w:tc>
          <w:tcPr>
            <w:tcW w:w="2676" w:type="dxa"/>
          </w:tcPr>
          <w:p w14:paraId="62A8287B" w14:textId="4A5E46C1" w:rsidR="00F92FDA" w:rsidRPr="002C3852" w:rsidRDefault="00E93CF9" w:rsidP="00840BD7">
            <w:pPr>
              <w:jc w:val="center"/>
              <w:rPr>
                <w:b/>
                <w:sz w:val="20"/>
                <w:szCs w:val="20"/>
              </w:rPr>
            </w:pPr>
            <w:r w:rsidRPr="002C3852">
              <w:rPr>
                <w:b/>
                <w:sz w:val="20"/>
              </w:rPr>
              <w:t>CE numeris</w:t>
            </w:r>
          </w:p>
        </w:tc>
      </w:tr>
      <w:tr w:rsidR="00E93CF9" w:rsidRPr="002C3852" w14:paraId="56F53086" w14:textId="77777777" w:rsidTr="00A95817">
        <w:tc>
          <w:tcPr>
            <w:tcW w:w="3449" w:type="dxa"/>
          </w:tcPr>
          <w:p w14:paraId="2C5938A8" w14:textId="047E872C" w:rsidR="00E93CF9" w:rsidRPr="002C3852" w:rsidRDefault="00E93CF9" w:rsidP="00E93CF9">
            <w:pPr>
              <w:rPr>
                <w:sz w:val="20"/>
                <w:szCs w:val="20"/>
              </w:rPr>
            </w:pPr>
            <w:r w:rsidRPr="002C3852">
              <w:rPr>
                <w:sz w:val="20"/>
              </w:rPr>
              <w:t>4,4-(1-metilpropiliden)bisfenolis</w:t>
            </w:r>
          </w:p>
        </w:tc>
        <w:tc>
          <w:tcPr>
            <w:tcW w:w="2680" w:type="dxa"/>
          </w:tcPr>
          <w:p w14:paraId="75DF6097" w14:textId="4C4B61B0" w:rsidR="00E93CF9" w:rsidRPr="002C3852" w:rsidRDefault="00E93CF9" w:rsidP="00E93CF9">
            <w:pPr>
              <w:jc w:val="center"/>
              <w:rPr>
                <w:color w:val="auto"/>
                <w:sz w:val="20"/>
                <w:szCs w:val="20"/>
              </w:rPr>
            </w:pPr>
            <w:r w:rsidRPr="002C3852">
              <w:rPr>
                <w:color w:val="auto"/>
                <w:sz w:val="20"/>
              </w:rPr>
              <w:t>77-40-7</w:t>
            </w:r>
          </w:p>
        </w:tc>
        <w:tc>
          <w:tcPr>
            <w:tcW w:w="2676" w:type="dxa"/>
          </w:tcPr>
          <w:p w14:paraId="15897FB6" w14:textId="02EF7847" w:rsidR="00E93CF9" w:rsidRPr="002C3852" w:rsidRDefault="00E93CF9" w:rsidP="00E93CF9">
            <w:pPr>
              <w:jc w:val="center"/>
              <w:rPr>
                <w:color w:val="auto"/>
                <w:sz w:val="20"/>
                <w:szCs w:val="20"/>
              </w:rPr>
            </w:pPr>
            <w:r w:rsidRPr="002C3852">
              <w:rPr>
                <w:color w:val="auto"/>
                <w:sz w:val="20"/>
              </w:rPr>
              <w:t>201-025-1</w:t>
            </w:r>
          </w:p>
        </w:tc>
      </w:tr>
      <w:tr w:rsidR="00E93CF9" w:rsidRPr="002C3852" w14:paraId="7FE6D8F2" w14:textId="6825DEFB" w:rsidTr="00A95817">
        <w:tc>
          <w:tcPr>
            <w:tcW w:w="3449" w:type="dxa"/>
          </w:tcPr>
          <w:p w14:paraId="680D6D7E" w14:textId="77777777" w:rsidR="00E93CF9" w:rsidRPr="002C3852" w:rsidRDefault="00E93CF9" w:rsidP="00E93CF9">
            <w:pPr>
              <w:rPr>
                <w:sz w:val="20"/>
                <w:szCs w:val="20"/>
              </w:rPr>
            </w:pPr>
            <w:r w:rsidRPr="002C3852">
              <w:rPr>
                <w:sz w:val="20"/>
              </w:rPr>
              <w:t>Tris(4-nonilfenilas, šakotas ir linijinis) fosfitas (TNPP), turintis ne mažiau kaip 0,1 % 4-nonilfenolio masės, šakotas ir linijinis (4-NP)</w:t>
            </w:r>
          </w:p>
          <w:p w14:paraId="662E5CB4" w14:textId="77777777" w:rsidR="00E93CF9" w:rsidRPr="002C3852" w:rsidRDefault="00E93CF9" w:rsidP="00E93CF9">
            <w:pPr>
              <w:pStyle w:val="ListParagraph"/>
              <w:numPr>
                <w:ilvl w:val="0"/>
                <w:numId w:val="3"/>
              </w:numPr>
              <w:rPr>
                <w:sz w:val="20"/>
                <w:szCs w:val="20"/>
              </w:rPr>
            </w:pPr>
            <w:r w:rsidRPr="002C3852">
              <w:rPr>
                <w:sz w:val="20"/>
              </w:rPr>
              <w:t>Tris(4-nonilfenil, šakotas) fosfitas</w:t>
            </w:r>
          </w:p>
          <w:p w14:paraId="6F2A5ECF" w14:textId="77777777" w:rsidR="00E93CF9" w:rsidRPr="002C3852" w:rsidRDefault="00E93CF9" w:rsidP="00E93CF9">
            <w:pPr>
              <w:pStyle w:val="ListParagraph"/>
              <w:numPr>
                <w:ilvl w:val="0"/>
                <w:numId w:val="3"/>
              </w:numPr>
              <w:rPr>
                <w:sz w:val="20"/>
                <w:szCs w:val="20"/>
              </w:rPr>
            </w:pPr>
            <w:r w:rsidRPr="002C3852">
              <w:rPr>
                <w:sz w:val="20"/>
              </w:rPr>
              <w:t>Fenolis, 4-nonil-, fosfitas (3:1)</w:t>
            </w:r>
          </w:p>
          <w:p w14:paraId="7B0BA21A" w14:textId="3AAF38FF" w:rsidR="00E93CF9" w:rsidRPr="002C3852" w:rsidRDefault="00E93CF9" w:rsidP="00E93CF9">
            <w:pPr>
              <w:pStyle w:val="ListParagraph"/>
              <w:numPr>
                <w:ilvl w:val="0"/>
                <w:numId w:val="3"/>
              </w:numPr>
              <w:rPr>
                <w:sz w:val="20"/>
                <w:szCs w:val="20"/>
              </w:rPr>
            </w:pPr>
            <w:r w:rsidRPr="002C3852">
              <w:rPr>
                <w:sz w:val="20"/>
              </w:rPr>
              <w:t>Tris(nonilfenil) fosfitas</w:t>
            </w:r>
          </w:p>
        </w:tc>
        <w:tc>
          <w:tcPr>
            <w:tcW w:w="2680" w:type="dxa"/>
          </w:tcPr>
          <w:p w14:paraId="162D69BA" w14:textId="77777777" w:rsidR="00E93CF9" w:rsidRPr="002C3852" w:rsidRDefault="00E93CF9" w:rsidP="00E93CF9">
            <w:pPr>
              <w:jc w:val="center"/>
              <w:rPr>
                <w:sz w:val="20"/>
                <w:szCs w:val="20"/>
              </w:rPr>
            </w:pPr>
          </w:p>
          <w:p w14:paraId="673DD03F" w14:textId="77777777" w:rsidR="00E93CF9" w:rsidRPr="002C3852" w:rsidRDefault="00E93CF9" w:rsidP="00E93CF9">
            <w:pPr>
              <w:jc w:val="center"/>
              <w:rPr>
                <w:sz w:val="20"/>
                <w:szCs w:val="20"/>
              </w:rPr>
            </w:pPr>
          </w:p>
          <w:p w14:paraId="496AEC42" w14:textId="77777777" w:rsidR="00E93CF9" w:rsidRPr="002C3852" w:rsidRDefault="00E93CF9" w:rsidP="00E93CF9">
            <w:pPr>
              <w:jc w:val="center"/>
              <w:rPr>
                <w:sz w:val="20"/>
                <w:szCs w:val="20"/>
              </w:rPr>
            </w:pPr>
          </w:p>
          <w:p w14:paraId="1689416E" w14:textId="77777777" w:rsidR="00E93CF9" w:rsidRPr="002C3852" w:rsidRDefault="00E93CF9" w:rsidP="00E93CF9">
            <w:pPr>
              <w:jc w:val="center"/>
              <w:rPr>
                <w:sz w:val="20"/>
                <w:szCs w:val="20"/>
              </w:rPr>
            </w:pPr>
          </w:p>
          <w:p w14:paraId="504A4CA9" w14:textId="77777777" w:rsidR="00E93CF9" w:rsidRPr="002C3852" w:rsidRDefault="00E93CF9" w:rsidP="00E93CF9">
            <w:pPr>
              <w:jc w:val="center"/>
              <w:rPr>
                <w:sz w:val="20"/>
                <w:szCs w:val="20"/>
              </w:rPr>
            </w:pPr>
          </w:p>
          <w:p w14:paraId="25F684FB" w14:textId="2A9FD20F" w:rsidR="00E93CF9" w:rsidRPr="002C3852" w:rsidRDefault="00E93CF9" w:rsidP="00E93CF9">
            <w:pPr>
              <w:jc w:val="center"/>
              <w:rPr>
                <w:sz w:val="20"/>
                <w:szCs w:val="20"/>
              </w:rPr>
            </w:pPr>
            <w:r w:rsidRPr="002C3852">
              <w:rPr>
                <w:sz w:val="20"/>
              </w:rPr>
              <w:t>-</w:t>
            </w:r>
          </w:p>
          <w:p w14:paraId="6C8F3D54" w14:textId="77777777" w:rsidR="00E93CF9" w:rsidRPr="002C3852" w:rsidRDefault="00E93CF9" w:rsidP="00E93CF9">
            <w:pPr>
              <w:jc w:val="center"/>
              <w:rPr>
                <w:sz w:val="20"/>
                <w:szCs w:val="20"/>
              </w:rPr>
            </w:pPr>
          </w:p>
          <w:p w14:paraId="7D586553" w14:textId="4EBD0BB2" w:rsidR="00E93CF9" w:rsidRPr="002C3852" w:rsidRDefault="00E93CF9" w:rsidP="00E93CF9">
            <w:pPr>
              <w:jc w:val="center"/>
              <w:rPr>
                <w:sz w:val="20"/>
                <w:szCs w:val="20"/>
              </w:rPr>
            </w:pPr>
            <w:r w:rsidRPr="002C3852">
              <w:rPr>
                <w:sz w:val="20"/>
              </w:rPr>
              <w:t>3050-88-2</w:t>
            </w:r>
          </w:p>
          <w:p w14:paraId="7C685F9A" w14:textId="77777777" w:rsidR="00E93CF9" w:rsidRPr="002C3852" w:rsidRDefault="00E93CF9" w:rsidP="00E93CF9">
            <w:pPr>
              <w:jc w:val="center"/>
              <w:rPr>
                <w:sz w:val="20"/>
                <w:szCs w:val="20"/>
              </w:rPr>
            </w:pPr>
          </w:p>
          <w:p w14:paraId="2E8935C4" w14:textId="433420AE" w:rsidR="00E93CF9" w:rsidRPr="002C3852" w:rsidRDefault="00E93CF9" w:rsidP="00E93CF9">
            <w:pPr>
              <w:jc w:val="center"/>
              <w:rPr>
                <w:sz w:val="20"/>
                <w:szCs w:val="20"/>
              </w:rPr>
            </w:pPr>
            <w:r w:rsidRPr="002C3852">
              <w:rPr>
                <w:sz w:val="20"/>
              </w:rPr>
              <w:t>26523-78-4</w:t>
            </w:r>
          </w:p>
        </w:tc>
        <w:tc>
          <w:tcPr>
            <w:tcW w:w="2676" w:type="dxa"/>
          </w:tcPr>
          <w:p w14:paraId="5FD3F30C" w14:textId="77777777" w:rsidR="00E93CF9" w:rsidRPr="002C3852" w:rsidRDefault="00E93CF9" w:rsidP="00E93CF9">
            <w:pPr>
              <w:jc w:val="center"/>
              <w:rPr>
                <w:color w:val="384A53"/>
                <w:sz w:val="20"/>
                <w:szCs w:val="20"/>
              </w:rPr>
            </w:pPr>
          </w:p>
          <w:p w14:paraId="611FFC55" w14:textId="77777777" w:rsidR="00E93CF9" w:rsidRPr="002C3852" w:rsidRDefault="00E93CF9" w:rsidP="00E93CF9">
            <w:pPr>
              <w:jc w:val="center"/>
              <w:rPr>
                <w:color w:val="384A53"/>
                <w:sz w:val="20"/>
                <w:szCs w:val="20"/>
              </w:rPr>
            </w:pPr>
          </w:p>
          <w:p w14:paraId="23203514" w14:textId="77777777" w:rsidR="00E93CF9" w:rsidRPr="002C3852" w:rsidRDefault="00E93CF9" w:rsidP="00E93CF9">
            <w:pPr>
              <w:jc w:val="center"/>
              <w:rPr>
                <w:color w:val="384A53"/>
                <w:sz w:val="20"/>
                <w:szCs w:val="20"/>
              </w:rPr>
            </w:pPr>
          </w:p>
          <w:p w14:paraId="3DB3B8FA" w14:textId="77777777" w:rsidR="00E93CF9" w:rsidRPr="002C3852" w:rsidRDefault="00E93CF9" w:rsidP="00E93CF9">
            <w:pPr>
              <w:jc w:val="center"/>
              <w:rPr>
                <w:sz w:val="20"/>
                <w:szCs w:val="20"/>
              </w:rPr>
            </w:pPr>
          </w:p>
          <w:p w14:paraId="5A526ED2" w14:textId="77777777" w:rsidR="00E93CF9" w:rsidRPr="002C3852" w:rsidRDefault="00E93CF9" w:rsidP="00E93CF9">
            <w:pPr>
              <w:jc w:val="center"/>
              <w:rPr>
                <w:sz w:val="20"/>
                <w:szCs w:val="20"/>
              </w:rPr>
            </w:pPr>
          </w:p>
          <w:p w14:paraId="25A0FED5" w14:textId="5271686F" w:rsidR="00E93CF9" w:rsidRPr="002C3852" w:rsidRDefault="00E93CF9" w:rsidP="00E93CF9">
            <w:pPr>
              <w:jc w:val="center"/>
              <w:rPr>
                <w:sz w:val="20"/>
                <w:szCs w:val="20"/>
              </w:rPr>
            </w:pPr>
            <w:r w:rsidRPr="002C3852">
              <w:rPr>
                <w:sz w:val="20"/>
              </w:rPr>
              <w:t>701-028-2</w:t>
            </w:r>
          </w:p>
          <w:p w14:paraId="63C05D56" w14:textId="77777777" w:rsidR="00E93CF9" w:rsidRPr="002C3852" w:rsidRDefault="00E93CF9" w:rsidP="00E93CF9">
            <w:pPr>
              <w:jc w:val="center"/>
              <w:rPr>
                <w:sz w:val="20"/>
                <w:szCs w:val="20"/>
              </w:rPr>
            </w:pPr>
          </w:p>
          <w:p w14:paraId="2C5CFE8E" w14:textId="65C9A579" w:rsidR="00E93CF9" w:rsidRPr="002C3852" w:rsidRDefault="00E93CF9" w:rsidP="00E93CF9">
            <w:pPr>
              <w:jc w:val="center"/>
              <w:rPr>
                <w:sz w:val="20"/>
                <w:szCs w:val="20"/>
              </w:rPr>
            </w:pPr>
            <w:r w:rsidRPr="002C3852">
              <w:rPr>
                <w:sz w:val="20"/>
              </w:rPr>
              <w:t>608-492-4</w:t>
            </w:r>
          </w:p>
          <w:p w14:paraId="03DE0F1E" w14:textId="77777777" w:rsidR="00E93CF9" w:rsidRPr="002C3852" w:rsidRDefault="00E93CF9" w:rsidP="00E93CF9">
            <w:pPr>
              <w:jc w:val="center"/>
              <w:rPr>
                <w:sz w:val="20"/>
                <w:szCs w:val="20"/>
              </w:rPr>
            </w:pPr>
          </w:p>
          <w:p w14:paraId="0FE83D65" w14:textId="069E6AE0" w:rsidR="00E93CF9" w:rsidRPr="002C3852" w:rsidRDefault="00E93CF9" w:rsidP="00E93CF9">
            <w:pPr>
              <w:jc w:val="center"/>
              <w:rPr>
                <w:sz w:val="20"/>
                <w:szCs w:val="20"/>
              </w:rPr>
            </w:pPr>
            <w:r w:rsidRPr="002C3852">
              <w:rPr>
                <w:sz w:val="20"/>
              </w:rPr>
              <w:t>247-759-6</w:t>
            </w:r>
          </w:p>
        </w:tc>
      </w:tr>
      <w:tr w:rsidR="00E93CF9" w:rsidRPr="002C3852" w14:paraId="0897E629" w14:textId="5B8808FB" w:rsidTr="00EB2FDE">
        <w:tc>
          <w:tcPr>
            <w:tcW w:w="3449" w:type="dxa"/>
          </w:tcPr>
          <w:p w14:paraId="2952BEDB" w14:textId="77777777" w:rsidR="00E93CF9" w:rsidRPr="002C3852" w:rsidRDefault="00E93CF9" w:rsidP="00E93CF9">
            <w:pPr>
              <w:rPr>
                <w:sz w:val="20"/>
                <w:szCs w:val="20"/>
              </w:rPr>
            </w:pPr>
            <w:r w:rsidRPr="002C3852">
              <w:rPr>
                <w:sz w:val="20"/>
              </w:rPr>
              <w:t xml:space="preserve">1,3,4-tiadiazolidino-2,5-ditiono, formaldehido ir 4-heptilfenolio reakcijos produktai, paplitę ir linijiniai (RP-HP) </w:t>
            </w:r>
          </w:p>
          <w:p w14:paraId="561DC03D" w14:textId="66709812" w:rsidR="00E93CF9" w:rsidRPr="002C3852" w:rsidRDefault="00E93CF9" w:rsidP="00E93CF9">
            <w:pPr>
              <w:rPr>
                <w:sz w:val="20"/>
                <w:szCs w:val="20"/>
              </w:rPr>
            </w:pPr>
            <w:r w:rsidRPr="002C3852">
              <w:rPr>
                <w:sz w:val="20"/>
              </w:rPr>
              <w:t>[kuris ≥ 0,1 % m/m 4-heptilfenolio, šakotas ir linijinis]</w:t>
            </w:r>
          </w:p>
        </w:tc>
        <w:tc>
          <w:tcPr>
            <w:tcW w:w="2680" w:type="dxa"/>
            <w:vAlign w:val="center"/>
          </w:tcPr>
          <w:p w14:paraId="1D2CFB63" w14:textId="3B133BDB" w:rsidR="00E93CF9" w:rsidRPr="002C3852" w:rsidRDefault="00E93CF9" w:rsidP="00E93CF9">
            <w:pPr>
              <w:pStyle w:val="ListParagraph"/>
              <w:ind w:hanging="845"/>
              <w:jc w:val="center"/>
              <w:rPr>
                <w:sz w:val="20"/>
                <w:szCs w:val="20"/>
              </w:rPr>
            </w:pPr>
            <w:r w:rsidRPr="002C3852">
              <w:rPr>
                <w:sz w:val="20"/>
              </w:rPr>
              <w:t>-</w:t>
            </w:r>
          </w:p>
        </w:tc>
        <w:tc>
          <w:tcPr>
            <w:tcW w:w="2676" w:type="dxa"/>
            <w:vAlign w:val="center"/>
          </w:tcPr>
          <w:p w14:paraId="0CCD755B" w14:textId="5C672518" w:rsidR="00E93CF9" w:rsidRPr="002C3852" w:rsidRDefault="00E93CF9" w:rsidP="00E93CF9">
            <w:pPr>
              <w:pStyle w:val="ListParagraph"/>
              <w:ind w:hanging="720"/>
              <w:jc w:val="center"/>
              <w:rPr>
                <w:sz w:val="20"/>
                <w:szCs w:val="20"/>
              </w:rPr>
            </w:pPr>
            <w:r w:rsidRPr="002C3852">
              <w:rPr>
                <w:sz w:val="20"/>
              </w:rPr>
              <w:t>-</w:t>
            </w:r>
          </w:p>
        </w:tc>
      </w:tr>
      <w:tr w:rsidR="00E93CF9" w:rsidRPr="002C3852" w14:paraId="02A73360" w14:textId="411BD450" w:rsidTr="00A95817">
        <w:tc>
          <w:tcPr>
            <w:tcW w:w="3449" w:type="dxa"/>
          </w:tcPr>
          <w:p w14:paraId="4665671F" w14:textId="15FFA47B" w:rsidR="00E93CF9" w:rsidRPr="002C3852" w:rsidRDefault="00E93CF9" w:rsidP="00E93CF9">
            <w:pPr>
              <w:rPr>
                <w:sz w:val="20"/>
                <w:szCs w:val="20"/>
              </w:rPr>
            </w:pPr>
            <w:r w:rsidRPr="002C3852">
              <w:rPr>
                <w:sz w:val="20"/>
              </w:rPr>
              <w:t>4-tret-pentilfenas l(PTAP)</w:t>
            </w:r>
          </w:p>
        </w:tc>
        <w:tc>
          <w:tcPr>
            <w:tcW w:w="2680" w:type="dxa"/>
            <w:vAlign w:val="center"/>
          </w:tcPr>
          <w:p w14:paraId="71224A09" w14:textId="7C06FC95" w:rsidR="00E93CF9" w:rsidRPr="002C3852" w:rsidRDefault="00E93CF9" w:rsidP="00E93CF9">
            <w:pPr>
              <w:jc w:val="center"/>
              <w:rPr>
                <w:sz w:val="20"/>
                <w:szCs w:val="20"/>
              </w:rPr>
            </w:pPr>
            <w:r w:rsidRPr="002C3852">
              <w:rPr>
                <w:sz w:val="20"/>
              </w:rPr>
              <w:t>80-46-6</w:t>
            </w:r>
          </w:p>
        </w:tc>
        <w:tc>
          <w:tcPr>
            <w:tcW w:w="2676" w:type="dxa"/>
            <w:vAlign w:val="center"/>
          </w:tcPr>
          <w:p w14:paraId="63ACDA00" w14:textId="3314CB6D" w:rsidR="00E93CF9" w:rsidRPr="002C3852" w:rsidRDefault="00E93CF9" w:rsidP="00E93CF9">
            <w:pPr>
              <w:jc w:val="center"/>
              <w:rPr>
                <w:sz w:val="20"/>
                <w:szCs w:val="20"/>
              </w:rPr>
            </w:pPr>
            <w:r w:rsidRPr="002C3852">
              <w:rPr>
                <w:sz w:val="20"/>
              </w:rPr>
              <w:t>201-280-9</w:t>
            </w:r>
          </w:p>
        </w:tc>
      </w:tr>
      <w:tr w:rsidR="00E93CF9" w:rsidRPr="002C3852" w14:paraId="07FA3306" w14:textId="79342323" w:rsidTr="00A95817">
        <w:tc>
          <w:tcPr>
            <w:tcW w:w="3449" w:type="dxa"/>
            <w:vAlign w:val="center"/>
          </w:tcPr>
          <w:p w14:paraId="636A957B" w14:textId="0F92096D" w:rsidR="00E93CF9" w:rsidRPr="002C3852" w:rsidRDefault="00E93CF9" w:rsidP="00E93CF9">
            <w:pPr>
              <w:rPr>
                <w:sz w:val="20"/>
                <w:szCs w:val="20"/>
              </w:rPr>
            </w:pPr>
            <w:r w:rsidRPr="002C3852">
              <w:rPr>
                <w:sz w:val="20"/>
              </w:rPr>
              <w:t>Diizobutilftalatas (DIBP)</w:t>
            </w:r>
          </w:p>
        </w:tc>
        <w:tc>
          <w:tcPr>
            <w:tcW w:w="2680" w:type="dxa"/>
            <w:vAlign w:val="center"/>
          </w:tcPr>
          <w:p w14:paraId="668D3727" w14:textId="3FCCF2A2" w:rsidR="00E93CF9" w:rsidRPr="002C3852" w:rsidRDefault="00E93CF9" w:rsidP="00E93CF9">
            <w:pPr>
              <w:jc w:val="center"/>
              <w:rPr>
                <w:sz w:val="20"/>
                <w:szCs w:val="20"/>
              </w:rPr>
            </w:pPr>
            <w:r w:rsidRPr="002C3852">
              <w:rPr>
                <w:sz w:val="20"/>
              </w:rPr>
              <w:t>84-69-5</w:t>
            </w:r>
          </w:p>
        </w:tc>
        <w:tc>
          <w:tcPr>
            <w:tcW w:w="2676" w:type="dxa"/>
            <w:vAlign w:val="center"/>
          </w:tcPr>
          <w:p w14:paraId="6035008E" w14:textId="5AA54357" w:rsidR="00E93CF9" w:rsidRPr="002C3852" w:rsidRDefault="00E93CF9" w:rsidP="00E93CF9">
            <w:pPr>
              <w:jc w:val="center"/>
              <w:rPr>
                <w:sz w:val="20"/>
                <w:szCs w:val="20"/>
              </w:rPr>
            </w:pPr>
            <w:r w:rsidRPr="002C3852">
              <w:rPr>
                <w:sz w:val="20"/>
              </w:rPr>
              <w:t>201-553-2</w:t>
            </w:r>
          </w:p>
        </w:tc>
      </w:tr>
      <w:tr w:rsidR="00E93CF9" w:rsidRPr="002C3852" w14:paraId="425C7666" w14:textId="6C6337C0" w:rsidTr="00A95817">
        <w:tc>
          <w:tcPr>
            <w:tcW w:w="3449" w:type="dxa"/>
            <w:vAlign w:val="center"/>
          </w:tcPr>
          <w:p w14:paraId="2484315E" w14:textId="39C8F1D1" w:rsidR="00E93CF9" w:rsidRPr="002C3852" w:rsidRDefault="00E93CF9" w:rsidP="00E93CF9">
            <w:pPr>
              <w:rPr>
                <w:sz w:val="20"/>
                <w:szCs w:val="20"/>
              </w:rPr>
            </w:pPr>
            <w:r w:rsidRPr="002C3852">
              <w:rPr>
                <w:sz w:val="20"/>
              </w:rPr>
              <w:t>Dicikloheksilftalatas (DCHP)</w:t>
            </w:r>
          </w:p>
        </w:tc>
        <w:tc>
          <w:tcPr>
            <w:tcW w:w="2680" w:type="dxa"/>
            <w:vAlign w:val="center"/>
          </w:tcPr>
          <w:p w14:paraId="0BACDEA1" w14:textId="3485091E" w:rsidR="00E93CF9" w:rsidRPr="002C3852" w:rsidRDefault="00E93CF9" w:rsidP="00E93CF9">
            <w:pPr>
              <w:jc w:val="center"/>
              <w:rPr>
                <w:sz w:val="20"/>
                <w:szCs w:val="20"/>
              </w:rPr>
            </w:pPr>
            <w:r w:rsidRPr="002C3852">
              <w:rPr>
                <w:sz w:val="20"/>
              </w:rPr>
              <w:t>84-61-7</w:t>
            </w:r>
          </w:p>
        </w:tc>
        <w:tc>
          <w:tcPr>
            <w:tcW w:w="2676" w:type="dxa"/>
            <w:vAlign w:val="center"/>
          </w:tcPr>
          <w:p w14:paraId="355EBDBB" w14:textId="6EBB9CB0" w:rsidR="00E93CF9" w:rsidRPr="002C3852" w:rsidRDefault="00E93CF9" w:rsidP="00E93CF9">
            <w:pPr>
              <w:jc w:val="center"/>
              <w:rPr>
                <w:sz w:val="20"/>
                <w:szCs w:val="20"/>
              </w:rPr>
            </w:pPr>
            <w:r w:rsidRPr="002C3852">
              <w:rPr>
                <w:sz w:val="20"/>
              </w:rPr>
              <w:t>201-545-9</w:t>
            </w:r>
          </w:p>
        </w:tc>
      </w:tr>
      <w:tr w:rsidR="00E93CF9" w:rsidRPr="002C3852" w14:paraId="1EEDD8D3" w14:textId="0EA187E0" w:rsidTr="00A95817">
        <w:tc>
          <w:tcPr>
            <w:tcW w:w="3449" w:type="dxa"/>
            <w:vAlign w:val="center"/>
          </w:tcPr>
          <w:p w14:paraId="7036FC18" w14:textId="436DC02A" w:rsidR="00E93CF9" w:rsidRPr="002C3852" w:rsidRDefault="00E93CF9" w:rsidP="00E93CF9">
            <w:pPr>
              <w:rPr>
                <w:sz w:val="20"/>
                <w:szCs w:val="20"/>
              </w:rPr>
            </w:pPr>
            <w:r w:rsidRPr="002C3852">
              <w:rPr>
                <w:sz w:val="20"/>
              </w:rPr>
              <w:t>Dibutilftalatas (DBP)</w:t>
            </w:r>
          </w:p>
        </w:tc>
        <w:tc>
          <w:tcPr>
            <w:tcW w:w="2680" w:type="dxa"/>
            <w:vAlign w:val="center"/>
          </w:tcPr>
          <w:p w14:paraId="5A8AB5A7" w14:textId="2E76EF25" w:rsidR="00E93CF9" w:rsidRPr="002C3852" w:rsidRDefault="00E93CF9" w:rsidP="00E93CF9">
            <w:pPr>
              <w:jc w:val="center"/>
              <w:rPr>
                <w:sz w:val="20"/>
                <w:szCs w:val="20"/>
              </w:rPr>
            </w:pPr>
            <w:r w:rsidRPr="002C3852">
              <w:rPr>
                <w:sz w:val="20"/>
              </w:rPr>
              <w:t>84-74-2</w:t>
            </w:r>
          </w:p>
        </w:tc>
        <w:tc>
          <w:tcPr>
            <w:tcW w:w="2676" w:type="dxa"/>
            <w:vAlign w:val="center"/>
          </w:tcPr>
          <w:p w14:paraId="65E66727" w14:textId="23C124CD" w:rsidR="00E93CF9" w:rsidRPr="002C3852" w:rsidRDefault="00E93CF9" w:rsidP="00E93CF9">
            <w:pPr>
              <w:jc w:val="center"/>
              <w:rPr>
                <w:sz w:val="20"/>
                <w:szCs w:val="20"/>
              </w:rPr>
            </w:pPr>
            <w:r w:rsidRPr="002C3852">
              <w:rPr>
                <w:sz w:val="20"/>
              </w:rPr>
              <w:t>201-557-4</w:t>
            </w:r>
          </w:p>
        </w:tc>
      </w:tr>
      <w:tr w:rsidR="00E93CF9" w:rsidRPr="002C3852" w14:paraId="529DDB67" w14:textId="531027A5" w:rsidTr="00A95817">
        <w:tc>
          <w:tcPr>
            <w:tcW w:w="3449" w:type="dxa"/>
            <w:vAlign w:val="center"/>
          </w:tcPr>
          <w:p w14:paraId="25A3DAD7" w14:textId="6E54A57D" w:rsidR="00E93CF9" w:rsidRPr="002C3852" w:rsidRDefault="00E93CF9" w:rsidP="00E93CF9">
            <w:pPr>
              <w:rPr>
                <w:sz w:val="20"/>
                <w:szCs w:val="20"/>
              </w:rPr>
            </w:pPr>
            <w:r w:rsidRPr="002C3852">
              <w:rPr>
                <w:sz w:val="20"/>
              </w:rPr>
              <w:t xml:space="preserve">Cholekalciferolis </w:t>
            </w:r>
          </w:p>
        </w:tc>
        <w:tc>
          <w:tcPr>
            <w:tcW w:w="2680" w:type="dxa"/>
            <w:vAlign w:val="center"/>
          </w:tcPr>
          <w:p w14:paraId="22976ACA" w14:textId="43AD9574" w:rsidR="00E93CF9" w:rsidRPr="002C3852" w:rsidRDefault="00E93CF9" w:rsidP="00E93CF9">
            <w:pPr>
              <w:jc w:val="center"/>
              <w:rPr>
                <w:sz w:val="20"/>
                <w:szCs w:val="20"/>
              </w:rPr>
            </w:pPr>
            <w:r w:rsidRPr="002C3852">
              <w:rPr>
                <w:sz w:val="20"/>
              </w:rPr>
              <w:t>67-97-0</w:t>
            </w:r>
          </w:p>
        </w:tc>
        <w:tc>
          <w:tcPr>
            <w:tcW w:w="2676" w:type="dxa"/>
            <w:vAlign w:val="center"/>
          </w:tcPr>
          <w:p w14:paraId="2DCDD509" w14:textId="754B59D4" w:rsidR="00E93CF9" w:rsidRPr="002C3852" w:rsidRDefault="00E93CF9" w:rsidP="00E93CF9">
            <w:pPr>
              <w:jc w:val="center"/>
              <w:rPr>
                <w:sz w:val="20"/>
                <w:szCs w:val="20"/>
              </w:rPr>
            </w:pPr>
            <w:r w:rsidRPr="002C3852">
              <w:rPr>
                <w:sz w:val="20"/>
              </w:rPr>
              <w:t>200-673-2</w:t>
            </w:r>
          </w:p>
        </w:tc>
      </w:tr>
      <w:tr w:rsidR="00E93CF9" w:rsidRPr="002C3852" w14:paraId="5B54DEFF" w14:textId="77777777" w:rsidTr="00A95817">
        <w:tc>
          <w:tcPr>
            <w:tcW w:w="3449" w:type="dxa"/>
            <w:vAlign w:val="center"/>
          </w:tcPr>
          <w:p w14:paraId="159E6E20" w14:textId="462AB5BD" w:rsidR="00E93CF9" w:rsidRPr="002C3852" w:rsidRDefault="00E93CF9" w:rsidP="00E93CF9">
            <w:pPr>
              <w:rPr>
                <w:sz w:val="20"/>
                <w:szCs w:val="20"/>
              </w:rPr>
            </w:pPr>
            <w:r w:rsidRPr="002C3852">
              <w:rPr>
                <w:sz w:val="20"/>
              </w:rPr>
              <w:t>Butilo 4-hidroksibenzoatas</w:t>
            </w:r>
          </w:p>
        </w:tc>
        <w:tc>
          <w:tcPr>
            <w:tcW w:w="2680" w:type="dxa"/>
            <w:vAlign w:val="center"/>
          </w:tcPr>
          <w:p w14:paraId="79F3709A" w14:textId="66C22049" w:rsidR="00E93CF9" w:rsidRPr="002C3852" w:rsidRDefault="00E93CF9" w:rsidP="00E93CF9">
            <w:pPr>
              <w:jc w:val="center"/>
              <w:rPr>
                <w:sz w:val="20"/>
                <w:szCs w:val="20"/>
              </w:rPr>
            </w:pPr>
            <w:r w:rsidRPr="002C3852">
              <w:rPr>
                <w:sz w:val="20"/>
              </w:rPr>
              <w:t>94-26-8</w:t>
            </w:r>
          </w:p>
        </w:tc>
        <w:tc>
          <w:tcPr>
            <w:tcW w:w="2676" w:type="dxa"/>
            <w:vAlign w:val="center"/>
          </w:tcPr>
          <w:p w14:paraId="0B33BFE1" w14:textId="0243ABFA" w:rsidR="00E93CF9" w:rsidRPr="002C3852" w:rsidRDefault="00E93CF9" w:rsidP="00E93CF9">
            <w:pPr>
              <w:jc w:val="center"/>
              <w:rPr>
                <w:sz w:val="20"/>
                <w:szCs w:val="20"/>
              </w:rPr>
            </w:pPr>
            <w:r w:rsidRPr="002C3852">
              <w:rPr>
                <w:sz w:val="20"/>
              </w:rPr>
              <w:t>202-318-7</w:t>
            </w:r>
          </w:p>
        </w:tc>
      </w:tr>
      <w:tr w:rsidR="00E93CF9" w:rsidRPr="002C3852" w14:paraId="13C0F189" w14:textId="77777777" w:rsidTr="00A95817">
        <w:tc>
          <w:tcPr>
            <w:tcW w:w="3449" w:type="dxa"/>
            <w:vAlign w:val="center"/>
          </w:tcPr>
          <w:p w14:paraId="0C63F40B" w14:textId="3A5C7A89" w:rsidR="00E93CF9" w:rsidRPr="002C3852" w:rsidRDefault="00E93CF9" w:rsidP="00E93CF9">
            <w:pPr>
              <w:rPr>
                <w:sz w:val="20"/>
                <w:szCs w:val="20"/>
              </w:rPr>
            </w:pPr>
            <w:r w:rsidRPr="002C3852">
              <w:rPr>
                <w:sz w:val="20"/>
              </w:rPr>
              <w:t>4,4’-izopropilidendifenolis (bisfenolis A)</w:t>
            </w:r>
          </w:p>
        </w:tc>
        <w:tc>
          <w:tcPr>
            <w:tcW w:w="2680" w:type="dxa"/>
            <w:vAlign w:val="center"/>
          </w:tcPr>
          <w:p w14:paraId="7195F839" w14:textId="405D7D8A" w:rsidR="00E93CF9" w:rsidRPr="002C3852" w:rsidRDefault="00E93CF9" w:rsidP="00E93CF9">
            <w:pPr>
              <w:jc w:val="center"/>
              <w:rPr>
                <w:sz w:val="20"/>
                <w:szCs w:val="20"/>
              </w:rPr>
            </w:pPr>
            <w:r w:rsidRPr="002C3852">
              <w:rPr>
                <w:sz w:val="20"/>
              </w:rPr>
              <w:t>80-05-7</w:t>
            </w:r>
          </w:p>
        </w:tc>
        <w:tc>
          <w:tcPr>
            <w:tcW w:w="2676" w:type="dxa"/>
            <w:vAlign w:val="center"/>
          </w:tcPr>
          <w:p w14:paraId="2160A5AF" w14:textId="5DA5FBFC" w:rsidR="00E93CF9" w:rsidRPr="002C3852" w:rsidRDefault="00E93CF9" w:rsidP="00E93CF9">
            <w:pPr>
              <w:jc w:val="center"/>
              <w:rPr>
                <w:sz w:val="20"/>
                <w:szCs w:val="20"/>
              </w:rPr>
            </w:pPr>
            <w:r w:rsidRPr="002C3852">
              <w:rPr>
                <w:sz w:val="20"/>
              </w:rPr>
              <w:t>201-245-8</w:t>
            </w:r>
          </w:p>
        </w:tc>
      </w:tr>
      <w:tr w:rsidR="00E93CF9" w:rsidRPr="002C3852" w14:paraId="270E6B64" w14:textId="77777777" w:rsidTr="00A95817">
        <w:tc>
          <w:tcPr>
            <w:tcW w:w="3449" w:type="dxa"/>
            <w:vAlign w:val="center"/>
          </w:tcPr>
          <w:p w14:paraId="4F5992E0" w14:textId="242606A2" w:rsidR="00E93CF9" w:rsidRPr="002C3852" w:rsidRDefault="00E93CF9" w:rsidP="00E93CF9">
            <w:pPr>
              <w:rPr>
                <w:sz w:val="20"/>
                <w:szCs w:val="20"/>
              </w:rPr>
            </w:pPr>
            <w:r w:rsidRPr="002C3852">
              <w:rPr>
                <w:sz w:val="20"/>
              </w:rPr>
              <w:t>Bis(2-etilheksil)ftalatas (DEHP)</w:t>
            </w:r>
          </w:p>
        </w:tc>
        <w:tc>
          <w:tcPr>
            <w:tcW w:w="2680" w:type="dxa"/>
            <w:vAlign w:val="center"/>
          </w:tcPr>
          <w:p w14:paraId="3A6479C9" w14:textId="43C0DF1E" w:rsidR="00E93CF9" w:rsidRPr="002C3852" w:rsidRDefault="00E93CF9" w:rsidP="00E93CF9">
            <w:pPr>
              <w:jc w:val="center"/>
              <w:rPr>
                <w:sz w:val="20"/>
                <w:szCs w:val="20"/>
              </w:rPr>
            </w:pPr>
            <w:r w:rsidRPr="002C3852">
              <w:rPr>
                <w:sz w:val="20"/>
              </w:rPr>
              <w:t>117-81-7</w:t>
            </w:r>
          </w:p>
        </w:tc>
        <w:tc>
          <w:tcPr>
            <w:tcW w:w="2676" w:type="dxa"/>
            <w:vAlign w:val="center"/>
          </w:tcPr>
          <w:p w14:paraId="3BA0E8C4" w14:textId="0AE4C2CB" w:rsidR="00E93CF9" w:rsidRPr="002C3852" w:rsidRDefault="00E93CF9" w:rsidP="00E93CF9">
            <w:pPr>
              <w:jc w:val="center"/>
              <w:rPr>
                <w:sz w:val="20"/>
                <w:szCs w:val="20"/>
              </w:rPr>
            </w:pPr>
            <w:r w:rsidRPr="002C3852">
              <w:rPr>
                <w:sz w:val="20"/>
              </w:rPr>
              <w:t>204-211-0</w:t>
            </w:r>
          </w:p>
        </w:tc>
      </w:tr>
      <w:tr w:rsidR="00E93CF9" w:rsidRPr="002C3852" w14:paraId="6797E19F" w14:textId="77777777" w:rsidTr="00A95817">
        <w:tc>
          <w:tcPr>
            <w:tcW w:w="3449" w:type="dxa"/>
            <w:vAlign w:val="center"/>
          </w:tcPr>
          <w:p w14:paraId="29DBA1BA" w14:textId="60CD7756" w:rsidR="00E93CF9" w:rsidRPr="002C3852" w:rsidRDefault="00E93CF9" w:rsidP="00E93CF9">
            <w:pPr>
              <w:rPr>
                <w:sz w:val="20"/>
                <w:szCs w:val="20"/>
              </w:rPr>
            </w:pPr>
            <w:r w:rsidRPr="002C3852">
              <w:rPr>
                <w:sz w:val="20"/>
              </w:rPr>
              <w:t>Benzilbutilftalatas (BBP)</w:t>
            </w:r>
          </w:p>
        </w:tc>
        <w:tc>
          <w:tcPr>
            <w:tcW w:w="2680" w:type="dxa"/>
            <w:vAlign w:val="center"/>
          </w:tcPr>
          <w:p w14:paraId="69D82BEB" w14:textId="593C634E" w:rsidR="00E93CF9" w:rsidRPr="002C3852" w:rsidRDefault="00E93CF9" w:rsidP="00E93CF9">
            <w:pPr>
              <w:jc w:val="center"/>
              <w:rPr>
                <w:sz w:val="20"/>
                <w:szCs w:val="20"/>
              </w:rPr>
            </w:pPr>
            <w:r w:rsidRPr="002C3852">
              <w:rPr>
                <w:sz w:val="20"/>
              </w:rPr>
              <w:t>85-68-7</w:t>
            </w:r>
          </w:p>
        </w:tc>
        <w:tc>
          <w:tcPr>
            <w:tcW w:w="2676" w:type="dxa"/>
            <w:vAlign w:val="center"/>
          </w:tcPr>
          <w:p w14:paraId="2519BDED" w14:textId="7CBA8644" w:rsidR="00E93CF9" w:rsidRPr="002C3852" w:rsidRDefault="00E93CF9" w:rsidP="00E93CF9">
            <w:pPr>
              <w:jc w:val="center"/>
              <w:rPr>
                <w:sz w:val="20"/>
                <w:szCs w:val="20"/>
              </w:rPr>
            </w:pPr>
            <w:r w:rsidRPr="002C3852">
              <w:rPr>
                <w:sz w:val="20"/>
              </w:rPr>
              <w:t>201-622-7</w:t>
            </w:r>
          </w:p>
        </w:tc>
      </w:tr>
      <w:tr w:rsidR="00E93CF9" w:rsidRPr="002C3852" w14:paraId="20DA067C" w14:textId="77777777" w:rsidTr="00A95817">
        <w:tc>
          <w:tcPr>
            <w:tcW w:w="3449" w:type="dxa"/>
            <w:vAlign w:val="center"/>
          </w:tcPr>
          <w:p w14:paraId="5FD4C2D6" w14:textId="44B73653" w:rsidR="00E93CF9" w:rsidRPr="002C3852" w:rsidRDefault="00E93CF9" w:rsidP="00E93CF9">
            <w:pPr>
              <w:rPr>
                <w:sz w:val="20"/>
                <w:szCs w:val="20"/>
              </w:rPr>
            </w:pPr>
            <w:r w:rsidRPr="002C3852">
              <w:rPr>
                <w:sz w:val="20"/>
              </w:rPr>
              <w:t>4-tret-butilfenolis</w:t>
            </w:r>
          </w:p>
        </w:tc>
        <w:tc>
          <w:tcPr>
            <w:tcW w:w="2680" w:type="dxa"/>
            <w:vAlign w:val="center"/>
          </w:tcPr>
          <w:p w14:paraId="00437B17" w14:textId="1ABDE43A" w:rsidR="00E93CF9" w:rsidRPr="002C3852" w:rsidRDefault="00E93CF9" w:rsidP="00E93CF9">
            <w:pPr>
              <w:jc w:val="center"/>
              <w:rPr>
                <w:sz w:val="20"/>
                <w:szCs w:val="20"/>
              </w:rPr>
            </w:pPr>
            <w:r w:rsidRPr="002C3852">
              <w:rPr>
                <w:sz w:val="20"/>
              </w:rPr>
              <w:t>98-54-4</w:t>
            </w:r>
          </w:p>
        </w:tc>
        <w:tc>
          <w:tcPr>
            <w:tcW w:w="2676" w:type="dxa"/>
            <w:vAlign w:val="center"/>
          </w:tcPr>
          <w:p w14:paraId="37D5D1AF" w14:textId="01E952ED" w:rsidR="00E93CF9" w:rsidRPr="002C3852" w:rsidRDefault="00E93CF9" w:rsidP="00E93CF9">
            <w:pPr>
              <w:jc w:val="center"/>
              <w:rPr>
                <w:sz w:val="20"/>
                <w:szCs w:val="20"/>
              </w:rPr>
            </w:pPr>
            <w:r w:rsidRPr="002C3852">
              <w:rPr>
                <w:sz w:val="20"/>
              </w:rPr>
              <w:t>202-679-0</w:t>
            </w:r>
          </w:p>
        </w:tc>
      </w:tr>
      <w:tr w:rsidR="00E93CF9" w:rsidRPr="002C3852" w14:paraId="5CD11AC7" w14:textId="77777777" w:rsidTr="00A95817">
        <w:tc>
          <w:tcPr>
            <w:tcW w:w="3449" w:type="dxa"/>
            <w:vAlign w:val="center"/>
          </w:tcPr>
          <w:p w14:paraId="595A2B78" w14:textId="338FB50F" w:rsidR="00E93CF9" w:rsidRPr="002C3852" w:rsidRDefault="00E93CF9" w:rsidP="00E93CF9">
            <w:pPr>
              <w:rPr>
                <w:sz w:val="20"/>
                <w:szCs w:val="20"/>
              </w:rPr>
            </w:pPr>
            <w:r w:rsidRPr="002C3852">
              <w:rPr>
                <w:sz w:val="20"/>
              </w:rPr>
              <w:t>4-nonilfenoletoksilatas, šakotas ir linijinis [medžiagos, turinčios tiesinę ir (arba) šakotą alkilinę grandinę, sudarytą iš 9 kovalentiškai sujungtų anglies atomų, esančių fenolio padėtyje 4, etoksilintas, apimantis UVCB medžiagas ir tiksliai apibrėžtas medžiagas, polimerus ir homologus, įskaitant visus atskirus izomerus ir (arba) jų derinius]</w:t>
            </w:r>
          </w:p>
        </w:tc>
        <w:tc>
          <w:tcPr>
            <w:tcW w:w="2680" w:type="dxa"/>
            <w:vAlign w:val="center"/>
          </w:tcPr>
          <w:p w14:paraId="73427E3F" w14:textId="4AAC527B" w:rsidR="00E93CF9" w:rsidRPr="002C3852" w:rsidRDefault="00E93CF9" w:rsidP="00E93CF9">
            <w:pPr>
              <w:jc w:val="center"/>
              <w:rPr>
                <w:sz w:val="20"/>
                <w:szCs w:val="20"/>
              </w:rPr>
            </w:pPr>
            <w:r w:rsidRPr="002C3852">
              <w:rPr>
                <w:sz w:val="20"/>
              </w:rPr>
              <w:t>-</w:t>
            </w:r>
          </w:p>
        </w:tc>
        <w:tc>
          <w:tcPr>
            <w:tcW w:w="2676" w:type="dxa"/>
            <w:vAlign w:val="center"/>
          </w:tcPr>
          <w:p w14:paraId="58F2270E" w14:textId="4C2D10BD" w:rsidR="00E93CF9" w:rsidRPr="002C3852" w:rsidRDefault="00E93CF9" w:rsidP="00E93CF9">
            <w:pPr>
              <w:jc w:val="center"/>
              <w:rPr>
                <w:sz w:val="20"/>
                <w:szCs w:val="20"/>
              </w:rPr>
            </w:pPr>
            <w:r w:rsidRPr="002C3852">
              <w:rPr>
                <w:sz w:val="20"/>
              </w:rPr>
              <w:t>-</w:t>
            </w:r>
          </w:p>
        </w:tc>
      </w:tr>
      <w:tr w:rsidR="00E93CF9" w:rsidRPr="002C3852" w14:paraId="0EE8A2D2" w14:textId="77777777" w:rsidTr="00A95817">
        <w:tc>
          <w:tcPr>
            <w:tcW w:w="3449" w:type="dxa"/>
            <w:vAlign w:val="center"/>
          </w:tcPr>
          <w:p w14:paraId="6ADB878B" w14:textId="3E37E507" w:rsidR="00E93CF9" w:rsidRPr="002C3852" w:rsidRDefault="00E93CF9" w:rsidP="00E93CF9">
            <w:pPr>
              <w:rPr>
                <w:sz w:val="20"/>
                <w:szCs w:val="20"/>
              </w:rPr>
            </w:pPr>
            <w:r w:rsidRPr="002C3852">
              <w:rPr>
                <w:sz w:val="20"/>
              </w:rPr>
              <w:t>4-nonilfenolis, šakotas ir linijinis [medžiagos, turinčios tiesinę ir (arba) šakotą alkilo grandinę, sudarytą iš 9 kovalentiškai sujungtų anglies atomų, esančių fenolio padėtyje 4, etoksilintas, apimantis UVCB medžiagas ir tiksliai apibrėžtas medžiagas, polimerus ir homologus, įskaitant visus atskirus izomerus ir (arba) jų derinius]</w:t>
            </w:r>
          </w:p>
        </w:tc>
        <w:tc>
          <w:tcPr>
            <w:tcW w:w="2680" w:type="dxa"/>
            <w:vAlign w:val="center"/>
          </w:tcPr>
          <w:p w14:paraId="02EBD6A3" w14:textId="5BDF1D2B" w:rsidR="00E93CF9" w:rsidRPr="002C3852" w:rsidRDefault="00E93CF9" w:rsidP="00E93CF9">
            <w:pPr>
              <w:jc w:val="center"/>
              <w:rPr>
                <w:sz w:val="20"/>
                <w:szCs w:val="20"/>
              </w:rPr>
            </w:pPr>
            <w:r w:rsidRPr="002C3852">
              <w:rPr>
                <w:sz w:val="20"/>
              </w:rPr>
              <w:t>-</w:t>
            </w:r>
          </w:p>
        </w:tc>
        <w:tc>
          <w:tcPr>
            <w:tcW w:w="2676" w:type="dxa"/>
            <w:vAlign w:val="center"/>
          </w:tcPr>
          <w:p w14:paraId="2C95EE6D" w14:textId="77E800D8" w:rsidR="00E93CF9" w:rsidRPr="002C3852" w:rsidRDefault="00E93CF9" w:rsidP="00E93CF9">
            <w:pPr>
              <w:jc w:val="center"/>
              <w:rPr>
                <w:sz w:val="20"/>
                <w:szCs w:val="20"/>
              </w:rPr>
            </w:pPr>
            <w:r w:rsidRPr="002C3852">
              <w:rPr>
                <w:sz w:val="20"/>
              </w:rPr>
              <w:t>-</w:t>
            </w:r>
          </w:p>
        </w:tc>
      </w:tr>
      <w:tr w:rsidR="00E93CF9" w:rsidRPr="002C3852" w14:paraId="34ADB2EA" w14:textId="77777777" w:rsidTr="00A95817">
        <w:tc>
          <w:tcPr>
            <w:tcW w:w="3449" w:type="dxa"/>
            <w:vAlign w:val="center"/>
          </w:tcPr>
          <w:p w14:paraId="186E43BD" w14:textId="72C542A3" w:rsidR="00E93CF9" w:rsidRPr="002C3852" w:rsidRDefault="00E93CF9" w:rsidP="00E93CF9">
            <w:pPr>
              <w:rPr>
                <w:sz w:val="20"/>
                <w:szCs w:val="20"/>
              </w:rPr>
            </w:pPr>
            <w:r w:rsidRPr="002C3852">
              <w:rPr>
                <w:sz w:val="20"/>
              </w:rPr>
              <w:t>4-heptilfenolis, šakotas ir linijinis (4-HPBL)</w:t>
            </w:r>
          </w:p>
        </w:tc>
        <w:tc>
          <w:tcPr>
            <w:tcW w:w="2680" w:type="dxa"/>
            <w:vAlign w:val="center"/>
          </w:tcPr>
          <w:p w14:paraId="592958A4" w14:textId="65A8302B" w:rsidR="00E93CF9" w:rsidRPr="002C3852" w:rsidRDefault="00E93CF9" w:rsidP="00E93CF9">
            <w:pPr>
              <w:jc w:val="center"/>
              <w:rPr>
                <w:sz w:val="20"/>
                <w:szCs w:val="20"/>
              </w:rPr>
            </w:pPr>
            <w:r w:rsidRPr="002C3852">
              <w:rPr>
                <w:sz w:val="20"/>
              </w:rPr>
              <w:t>-</w:t>
            </w:r>
          </w:p>
        </w:tc>
        <w:tc>
          <w:tcPr>
            <w:tcW w:w="2676" w:type="dxa"/>
            <w:vAlign w:val="center"/>
          </w:tcPr>
          <w:p w14:paraId="223A6126" w14:textId="1A7544AC" w:rsidR="00E93CF9" w:rsidRPr="002C3852" w:rsidRDefault="00E93CF9" w:rsidP="00E93CF9">
            <w:pPr>
              <w:jc w:val="center"/>
              <w:rPr>
                <w:sz w:val="20"/>
                <w:szCs w:val="20"/>
              </w:rPr>
            </w:pPr>
            <w:r w:rsidRPr="002C3852">
              <w:rPr>
                <w:sz w:val="20"/>
              </w:rPr>
              <w:t>-</w:t>
            </w:r>
          </w:p>
        </w:tc>
      </w:tr>
      <w:tr w:rsidR="00E93CF9" w:rsidRPr="002C3852" w14:paraId="59E6D907" w14:textId="4C7289EB" w:rsidTr="00A95817">
        <w:tc>
          <w:tcPr>
            <w:tcW w:w="3449" w:type="dxa"/>
            <w:vAlign w:val="center"/>
          </w:tcPr>
          <w:p w14:paraId="13239AED" w14:textId="393D7566" w:rsidR="00E93CF9" w:rsidRPr="002C3852" w:rsidRDefault="00E93CF9" w:rsidP="00E93CF9">
            <w:pPr>
              <w:rPr>
                <w:sz w:val="20"/>
                <w:szCs w:val="20"/>
                <w:highlight w:val="yellow"/>
              </w:rPr>
            </w:pPr>
            <w:r w:rsidRPr="002C3852">
              <w:rPr>
                <w:sz w:val="20"/>
              </w:rPr>
              <w:t xml:space="preserve">4-(1,1,3,3-tetrametilbutil)fenolis, etoksilintas, apimantis gerai apibrėžtas </w:t>
            </w:r>
            <w:r w:rsidRPr="002C3852">
              <w:rPr>
                <w:sz w:val="20"/>
              </w:rPr>
              <w:lastRenderedPageBreak/>
              <w:t>medžiagas ir UVCB, polimerus ir homologines medžiagas</w:t>
            </w:r>
          </w:p>
        </w:tc>
        <w:tc>
          <w:tcPr>
            <w:tcW w:w="2680" w:type="dxa"/>
            <w:vAlign w:val="center"/>
          </w:tcPr>
          <w:p w14:paraId="57FB2C7F" w14:textId="07B40523" w:rsidR="00E93CF9" w:rsidRPr="002C3852" w:rsidRDefault="00E93CF9" w:rsidP="00E93CF9">
            <w:pPr>
              <w:jc w:val="center"/>
              <w:rPr>
                <w:sz w:val="20"/>
                <w:szCs w:val="20"/>
              </w:rPr>
            </w:pPr>
            <w:r w:rsidRPr="002C3852">
              <w:rPr>
                <w:sz w:val="20"/>
              </w:rPr>
              <w:lastRenderedPageBreak/>
              <w:t>-</w:t>
            </w:r>
          </w:p>
        </w:tc>
        <w:tc>
          <w:tcPr>
            <w:tcW w:w="2676" w:type="dxa"/>
            <w:vAlign w:val="center"/>
          </w:tcPr>
          <w:p w14:paraId="6121D96E" w14:textId="1FD84B09" w:rsidR="00E93CF9" w:rsidRPr="002C3852" w:rsidRDefault="00E93CF9" w:rsidP="00E93CF9">
            <w:pPr>
              <w:jc w:val="center"/>
              <w:rPr>
                <w:sz w:val="20"/>
                <w:szCs w:val="20"/>
              </w:rPr>
            </w:pPr>
            <w:r w:rsidRPr="002C3852">
              <w:rPr>
                <w:sz w:val="20"/>
              </w:rPr>
              <w:t>-</w:t>
            </w:r>
          </w:p>
        </w:tc>
      </w:tr>
      <w:tr w:rsidR="00E93CF9" w:rsidRPr="002C3852" w14:paraId="56B0AACE" w14:textId="77777777" w:rsidTr="00A95817">
        <w:tc>
          <w:tcPr>
            <w:tcW w:w="3449" w:type="dxa"/>
            <w:vAlign w:val="center"/>
          </w:tcPr>
          <w:p w14:paraId="290681DC" w14:textId="74C36D90" w:rsidR="00E93CF9" w:rsidRPr="002C3852" w:rsidRDefault="00E93CF9" w:rsidP="00E93CF9">
            <w:pPr>
              <w:rPr>
                <w:sz w:val="20"/>
                <w:szCs w:val="20"/>
                <w:highlight w:val="yellow"/>
              </w:rPr>
            </w:pPr>
            <w:r w:rsidRPr="002C3852">
              <w:rPr>
                <w:sz w:val="20"/>
              </w:rPr>
              <w:t>4-(1,1,3,3-tetrametilbutil)fenolis</w:t>
            </w:r>
          </w:p>
        </w:tc>
        <w:tc>
          <w:tcPr>
            <w:tcW w:w="2680" w:type="dxa"/>
            <w:vAlign w:val="center"/>
          </w:tcPr>
          <w:p w14:paraId="79B08B3E" w14:textId="6F1EF702" w:rsidR="00E93CF9" w:rsidRPr="002C3852" w:rsidRDefault="00E93CF9" w:rsidP="00E93CF9">
            <w:pPr>
              <w:jc w:val="center"/>
              <w:rPr>
                <w:sz w:val="20"/>
                <w:szCs w:val="20"/>
              </w:rPr>
            </w:pPr>
            <w:r w:rsidRPr="002C3852">
              <w:rPr>
                <w:sz w:val="20"/>
              </w:rPr>
              <w:t>140-66-9</w:t>
            </w:r>
          </w:p>
        </w:tc>
        <w:tc>
          <w:tcPr>
            <w:tcW w:w="2676" w:type="dxa"/>
            <w:vAlign w:val="center"/>
          </w:tcPr>
          <w:p w14:paraId="04DABDD1" w14:textId="11F6E851" w:rsidR="00E93CF9" w:rsidRPr="002C3852" w:rsidRDefault="00E93CF9" w:rsidP="00E93CF9">
            <w:pPr>
              <w:jc w:val="center"/>
              <w:rPr>
                <w:sz w:val="20"/>
                <w:szCs w:val="20"/>
              </w:rPr>
            </w:pPr>
            <w:r w:rsidRPr="002C3852">
              <w:rPr>
                <w:sz w:val="20"/>
              </w:rPr>
              <w:t>205-426-2</w:t>
            </w:r>
          </w:p>
        </w:tc>
      </w:tr>
      <w:tr w:rsidR="00E93CF9" w:rsidRPr="002C3852" w14:paraId="51B46484" w14:textId="77777777" w:rsidTr="00A95817">
        <w:tc>
          <w:tcPr>
            <w:tcW w:w="3449" w:type="dxa"/>
          </w:tcPr>
          <w:p w14:paraId="7C0A8C8B" w14:textId="4716FABC" w:rsidR="00E93CF9" w:rsidRPr="002C3852" w:rsidRDefault="00E93CF9" w:rsidP="00E93CF9">
            <w:pPr>
              <w:rPr>
                <w:sz w:val="20"/>
                <w:szCs w:val="20"/>
              </w:rPr>
            </w:pPr>
            <w:r w:rsidRPr="002C3852">
              <w:rPr>
                <w:sz w:val="20"/>
              </w:rPr>
              <w:t>1,7,7-trimetil-3-(fenilmetilen)biciklo[2.2.1]heptan-2-onas (3-benzilideno kamparas)</w:t>
            </w:r>
          </w:p>
        </w:tc>
        <w:tc>
          <w:tcPr>
            <w:tcW w:w="2680" w:type="dxa"/>
            <w:vAlign w:val="center"/>
          </w:tcPr>
          <w:p w14:paraId="3BBEB1D3" w14:textId="483B14B6" w:rsidR="00E93CF9" w:rsidRPr="002C3852" w:rsidRDefault="00E93CF9" w:rsidP="00E93CF9">
            <w:pPr>
              <w:jc w:val="center"/>
              <w:rPr>
                <w:sz w:val="20"/>
                <w:szCs w:val="20"/>
              </w:rPr>
            </w:pPr>
            <w:r w:rsidRPr="002C3852">
              <w:rPr>
                <w:sz w:val="20"/>
              </w:rPr>
              <w:t>15087-24-8</w:t>
            </w:r>
          </w:p>
        </w:tc>
        <w:tc>
          <w:tcPr>
            <w:tcW w:w="2676" w:type="dxa"/>
            <w:vAlign w:val="center"/>
          </w:tcPr>
          <w:p w14:paraId="1DB8B2E9" w14:textId="1D96672E" w:rsidR="00E93CF9" w:rsidRPr="002C3852" w:rsidRDefault="00E93CF9" w:rsidP="00E93CF9">
            <w:pPr>
              <w:jc w:val="center"/>
              <w:rPr>
                <w:sz w:val="20"/>
                <w:szCs w:val="20"/>
              </w:rPr>
            </w:pPr>
            <w:r w:rsidRPr="002C3852">
              <w:rPr>
                <w:sz w:val="20"/>
              </w:rPr>
              <w:t>239-139-9</w:t>
            </w:r>
          </w:p>
        </w:tc>
      </w:tr>
    </w:tbl>
    <w:p w14:paraId="3F2D113E" w14:textId="77777777" w:rsidR="00F92FDA" w:rsidRPr="002C3852" w:rsidRDefault="00F92FDA" w:rsidP="009934B3">
      <w:pPr>
        <w:ind w:left="539"/>
      </w:pPr>
    </w:p>
    <w:p w14:paraId="39CDB39E" w14:textId="77777777" w:rsidR="00F92FDA" w:rsidRPr="002C3852" w:rsidRDefault="00F92FDA" w:rsidP="009934B3">
      <w:pPr>
        <w:ind w:left="539"/>
      </w:pPr>
    </w:p>
    <w:p w14:paraId="638D44C7" w14:textId="4FA76721" w:rsidR="0091346D" w:rsidRPr="002C3852" w:rsidRDefault="0091346D" w:rsidP="00F92FDA">
      <w:pPr>
        <w:ind w:left="539"/>
        <w:jc w:val="both"/>
        <w:rPr>
          <w:kern w:val="3"/>
        </w:rPr>
      </w:pPr>
      <w:r w:rsidRPr="002C3852">
        <w:t>B LENTELĖ. Visuomenės sveikatos kodekso L. 5232-5 straipsnio II dalyje nurodytų medžiagų, kurios, kaip įtariama, turi endokrininę sistemą ardančių savybių, sąrašas</w:t>
      </w:r>
    </w:p>
    <w:p w14:paraId="642C4104" w14:textId="594CDADD" w:rsidR="0091346D" w:rsidRPr="002C3852" w:rsidRDefault="0091346D" w:rsidP="00F92FDA">
      <w:pPr>
        <w:ind w:left="539"/>
        <w:jc w:val="both"/>
        <w:rPr>
          <w:kern w:val="3"/>
        </w:rPr>
      </w:pPr>
    </w:p>
    <w:tbl>
      <w:tblPr>
        <w:tblStyle w:val="TableGrid"/>
        <w:tblW w:w="0" w:type="auto"/>
        <w:tblInd w:w="539" w:type="dxa"/>
        <w:tblLook w:val="04A0" w:firstRow="1" w:lastRow="0" w:firstColumn="1" w:lastColumn="0" w:noHBand="0" w:noVBand="1"/>
      </w:tblPr>
      <w:tblGrid>
        <w:gridCol w:w="3449"/>
        <w:gridCol w:w="2680"/>
        <w:gridCol w:w="2676"/>
      </w:tblGrid>
      <w:tr w:rsidR="00840BD7" w:rsidRPr="002C3852" w14:paraId="7B8CE649" w14:textId="77777777" w:rsidTr="00540F9C">
        <w:tc>
          <w:tcPr>
            <w:tcW w:w="3449" w:type="dxa"/>
          </w:tcPr>
          <w:p w14:paraId="54F334A4" w14:textId="77777777" w:rsidR="00840BD7" w:rsidRPr="002C3852" w:rsidRDefault="00840BD7" w:rsidP="00540F9C">
            <w:pPr>
              <w:jc w:val="center"/>
              <w:rPr>
                <w:b/>
                <w:sz w:val="20"/>
                <w:szCs w:val="20"/>
              </w:rPr>
            </w:pPr>
            <w:r w:rsidRPr="002C3852">
              <w:rPr>
                <w:b/>
                <w:sz w:val="20"/>
              </w:rPr>
              <w:t>Medžiagos pavadinimas</w:t>
            </w:r>
          </w:p>
        </w:tc>
        <w:tc>
          <w:tcPr>
            <w:tcW w:w="2680" w:type="dxa"/>
          </w:tcPr>
          <w:p w14:paraId="11374AFA" w14:textId="77777777" w:rsidR="00840BD7" w:rsidRPr="002C3852" w:rsidRDefault="00840BD7" w:rsidP="00540F9C">
            <w:pPr>
              <w:jc w:val="center"/>
              <w:rPr>
                <w:b/>
                <w:sz w:val="20"/>
                <w:szCs w:val="20"/>
              </w:rPr>
            </w:pPr>
            <w:r w:rsidRPr="002C3852">
              <w:rPr>
                <w:b/>
                <w:sz w:val="20"/>
              </w:rPr>
              <w:t>CAS numeris</w:t>
            </w:r>
          </w:p>
        </w:tc>
        <w:tc>
          <w:tcPr>
            <w:tcW w:w="2676" w:type="dxa"/>
          </w:tcPr>
          <w:p w14:paraId="114412AB" w14:textId="77777777" w:rsidR="00840BD7" w:rsidRPr="002C3852" w:rsidRDefault="00840BD7" w:rsidP="00540F9C">
            <w:pPr>
              <w:jc w:val="center"/>
              <w:rPr>
                <w:b/>
                <w:sz w:val="20"/>
                <w:szCs w:val="20"/>
              </w:rPr>
            </w:pPr>
            <w:r w:rsidRPr="002C3852">
              <w:rPr>
                <w:b/>
                <w:sz w:val="20"/>
              </w:rPr>
              <w:t>CE numeris</w:t>
            </w:r>
          </w:p>
        </w:tc>
      </w:tr>
      <w:tr w:rsidR="00840BD7" w:rsidRPr="002C3852" w14:paraId="564772EC" w14:textId="77777777" w:rsidTr="00540F9C">
        <w:tc>
          <w:tcPr>
            <w:tcW w:w="3449" w:type="dxa"/>
          </w:tcPr>
          <w:p w14:paraId="608C3231" w14:textId="0E10BA61" w:rsidR="00840BD7" w:rsidRPr="002C3852" w:rsidRDefault="00840BD7" w:rsidP="00540F9C">
            <w:pPr>
              <w:jc w:val="center"/>
              <w:rPr>
                <w:b/>
                <w:sz w:val="20"/>
                <w:szCs w:val="20"/>
              </w:rPr>
            </w:pPr>
            <w:r w:rsidRPr="002C3852">
              <w:rPr>
                <w:b/>
                <w:sz w:val="20"/>
              </w:rPr>
              <w:t>-</w:t>
            </w:r>
          </w:p>
        </w:tc>
        <w:tc>
          <w:tcPr>
            <w:tcW w:w="2680" w:type="dxa"/>
          </w:tcPr>
          <w:p w14:paraId="7D6E6933" w14:textId="32CACB45" w:rsidR="00840BD7" w:rsidRPr="002C3852" w:rsidRDefault="00840BD7" w:rsidP="00540F9C">
            <w:pPr>
              <w:jc w:val="center"/>
              <w:rPr>
                <w:b/>
                <w:sz w:val="20"/>
                <w:szCs w:val="20"/>
              </w:rPr>
            </w:pPr>
            <w:r w:rsidRPr="002C3852">
              <w:rPr>
                <w:b/>
                <w:sz w:val="20"/>
              </w:rPr>
              <w:t>-</w:t>
            </w:r>
          </w:p>
        </w:tc>
        <w:tc>
          <w:tcPr>
            <w:tcW w:w="2676" w:type="dxa"/>
          </w:tcPr>
          <w:p w14:paraId="0FC6BCD8" w14:textId="28E4DA1A" w:rsidR="00840BD7" w:rsidRPr="002C3852" w:rsidRDefault="00840BD7" w:rsidP="00540F9C">
            <w:pPr>
              <w:jc w:val="center"/>
              <w:rPr>
                <w:b/>
                <w:sz w:val="20"/>
                <w:szCs w:val="20"/>
              </w:rPr>
            </w:pPr>
            <w:r w:rsidRPr="002C3852">
              <w:rPr>
                <w:b/>
                <w:sz w:val="20"/>
              </w:rPr>
              <w:t>-</w:t>
            </w:r>
          </w:p>
        </w:tc>
      </w:tr>
    </w:tbl>
    <w:p w14:paraId="74753E47" w14:textId="50E31C82" w:rsidR="00840BD7" w:rsidRPr="002C3852" w:rsidRDefault="00840BD7" w:rsidP="00F92FDA">
      <w:pPr>
        <w:ind w:left="539"/>
        <w:jc w:val="both"/>
        <w:rPr>
          <w:kern w:val="3"/>
        </w:rPr>
      </w:pPr>
    </w:p>
    <w:p w14:paraId="32D03191" w14:textId="780A5C7E" w:rsidR="0091346D" w:rsidRPr="002C3852" w:rsidRDefault="0091346D" w:rsidP="00F92FDA">
      <w:pPr>
        <w:ind w:left="539"/>
        <w:jc w:val="both"/>
        <w:rPr>
          <w:kern w:val="3"/>
        </w:rPr>
      </w:pPr>
    </w:p>
    <w:p w14:paraId="3907DAEA" w14:textId="004EC57B" w:rsidR="0091346D" w:rsidRPr="002C3852" w:rsidRDefault="0091346D" w:rsidP="00F92FDA">
      <w:pPr>
        <w:ind w:left="539"/>
        <w:jc w:val="both"/>
        <w:rPr>
          <w:kern w:val="3"/>
        </w:rPr>
      </w:pPr>
      <w:r w:rsidRPr="002C3852">
        <w:t>II priedas. Ypatingą poveikio riziką keliančių produktų kategorijų sąrašas, nurodytas Visuomenės sveikatos kodekso L. 5232-5 straipsnio II dalyje</w:t>
      </w:r>
    </w:p>
    <w:p w14:paraId="68FABC73" w14:textId="761C6D87" w:rsidR="0091346D" w:rsidRPr="002C3852" w:rsidRDefault="0091346D" w:rsidP="0091346D">
      <w:pPr>
        <w:ind w:left="539"/>
        <w:rPr>
          <w:kern w:val="3"/>
        </w:rPr>
      </w:pPr>
    </w:p>
    <w:p w14:paraId="20C6B0C6" w14:textId="170FAE88" w:rsidR="0091346D" w:rsidRPr="002C3852" w:rsidRDefault="0091346D" w:rsidP="0091346D">
      <w:pPr>
        <w:ind w:left="539"/>
        <w:rPr>
          <w:kern w:val="3"/>
        </w:rPr>
      </w:pPr>
      <w:r w:rsidRPr="002C3852">
        <w:t>Netaikoma</w:t>
      </w:r>
    </w:p>
    <w:p w14:paraId="408B3F4A" w14:textId="77777777" w:rsidR="0091346D" w:rsidRPr="002C3852" w:rsidRDefault="0091346D" w:rsidP="0091346D">
      <w:pPr>
        <w:ind w:left="539"/>
      </w:pPr>
    </w:p>
    <w:p w14:paraId="6956F2FB" w14:textId="77777777" w:rsidR="008347CD" w:rsidRPr="002C3852" w:rsidRDefault="008347CD" w:rsidP="0001023B"/>
    <w:sectPr w:rsidR="008347CD" w:rsidRPr="002C3852">
      <w:headerReference w:type="even" r:id="rId8"/>
      <w:headerReference w:type="default" r:id="rId9"/>
      <w:footerReference w:type="even" r:id="rId10"/>
      <w:footerReference w:type="default" r:id="rId11"/>
      <w:headerReference w:type="first" r:id="rId12"/>
      <w:footerReference w:type="first" r:id="rId13"/>
      <w:pgSz w:w="11906" w:h="16838"/>
      <w:pgMar w:top="1134" w:right="1418" w:bottom="719" w:left="1134"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1D52" w14:textId="77777777" w:rsidR="000975C5" w:rsidRDefault="000975C5" w:rsidP="00C40AB0">
      <w:r>
        <w:separator/>
      </w:r>
    </w:p>
  </w:endnote>
  <w:endnote w:type="continuationSeparator" w:id="0">
    <w:p w14:paraId="4D6ECFB7" w14:textId="77777777" w:rsidR="000975C5" w:rsidRDefault="000975C5" w:rsidP="00C4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19D72" w14:textId="77777777" w:rsidR="006D6666" w:rsidRDefault="006D6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9C441" w14:textId="77777777" w:rsidR="006D6666" w:rsidRDefault="006D66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A9A9E" w14:textId="77777777" w:rsidR="006D6666" w:rsidRDefault="006D6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515B1" w14:textId="77777777" w:rsidR="000975C5" w:rsidRDefault="000975C5" w:rsidP="00C40AB0">
      <w:r>
        <w:separator/>
      </w:r>
    </w:p>
  </w:footnote>
  <w:footnote w:type="continuationSeparator" w:id="0">
    <w:p w14:paraId="0C316D79" w14:textId="77777777" w:rsidR="000975C5" w:rsidRDefault="000975C5" w:rsidP="00C40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FC0E0" w14:textId="5785586D" w:rsidR="006D6666" w:rsidRDefault="002C3852">
    <w:pPr>
      <w:pStyle w:val="Header"/>
    </w:pPr>
    <w:r>
      <w:pict w14:anchorId="19C938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1" o:spid="_x0000_s1026" type="#_x0000_t136" style="position:absolute;margin-left:0;margin-top:0;width:494.55pt;height:164.85pt;rotation:315;z-index:-251655168;mso-position-horizontal:center;mso-position-horizontal-relative:margin;mso-position-vertical:center;mso-position-vertical-relative:margin" o:allowincell="f" fillcolor="silver" stroked="f">
          <v:fill opacity=".5"/>
          <v:textpath style="font-family:&quot;Times New Roman&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24C23" w14:textId="49B06B63" w:rsidR="006D6666" w:rsidRDefault="002C3852">
    <w:pPr>
      <w:pStyle w:val="Header"/>
    </w:pPr>
    <w:r>
      <w:pict w14:anchorId="666B9E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2" o:spid="_x0000_s1027" type="#_x0000_t136" style="position:absolute;margin-left:0;margin-top:0;width:494.55pt;height:164.85pt;rotation:315;z-index:-251653120;mso-position-horizontal:center;mso-position-horizontal-relative:margin;mso-position-vertical:center;mso-position-vertical-relative:margin" o:allowincell="f" fillcolor="silver" stroked="f">
          <v:fill opacity=".5"/>
          <v:textpath style="font-family:&quot;Times New Roman&quot;;font-size:1pt" string="PROJEKTA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C6F30" w14:textId="56FBCD41" w:rsidR="006D6666" w:rsidRDefault="002C3852">
    <w:pPr>
      <w:pStyle w:val="Header"/>
    </w:pPr>
    <w:r>
      <w:pict w14:anchorId="1D8D7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0" o:spid="_x0000_s1025" type="#_x0000_t136" style="position:absolute;margin-left:0;margin-top:0;width:494.55pt;height:164.85pt;rotation:315;z-index:-251657216;mso-position-horizontal:center;mso-position-horizontal-relative:margin;mso-position-vertical:center;mso-position-vertical-relative:margin" o:allowincell="f" fillcolor="silver" stroked="f">
          <v:fill opacity=".5"/>
          <v:textpath style="font-family:&quot;Times New Roman&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32B42"/>
    <w:multiLevelType w:val="multilevel"/>
    <w:tmpl w:val="64766178"/>
    <w:lvl w:ilvl="0">
      <w:start w:val="1"/>
      <w:numFmt w:val="none"/>
      <w:pStyle w:val="Heading1"/>
      <w:suff w:val="nothing"/>
      <w:lvlText w:val=""/>
      <w:lvlJc w:val="left"/>
      <w:pPr>
        <w:ind w:left="432" w:hanging="432"/>
      </w:pPr>
    </w:lvl>
    <w:lvl w:ilvl="1">
      <w:start w:val="1"/>
      <w:numFmt w:val="none"/>
      <w:pStyle w:val="Heading2"/>
      <w:suff w:val="nothing"/>
      <w:lvlText w:val=""/>
      <w:lvlJc w:val="left"/>
      <w:pPr>
        <w:ind w:left="576" w:hanging="576"/>
      </w:pPr>
    </w:lvl>
    <w:lvl w:ilvl="2">
      <w:start w:val="1"/>
      <w:numFmt w:val="none"/>
      <w:pStyle w:val="Heading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20C7D20"/>
    <w:multiLevelType w:val="hybridMultilevel"/>
    <w:tmpl w:val="0394827E"/>
    <w:lvl w:ilvl="0" w:tplc="AB4E5812">
      <w:numFmt w:val="bullet"/>
      <w:lvlText w:val="-"/>
      <w:lvlJc w:val="left"/>
      <w:pPr>
        <w:ind w:left="720" w:hanging="360"/>
      </w:pPr>
      <w:rPr>
        <w:rFonts w:ascii="Times New Roman" w:eastAsia="Times New Roman" w:hAnsi="Times New Roman" w:cs="Times New Roman" w:hint="default"/>
        <w:color w:val="00000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EB1B4C"/>
    <w:multiLevelType w:val="hybridMultilevel"/>
    <w:tmpl w:val="F254FF98"/>
    <w:lvl w:ilvl="0" w:tplc="445E319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E374A52"/>
    <w:multiLevelType w:val="hybridMultilevel"/>
    <w:tmpl w:val="F6826CDE"/>
    <w:lvl w:ilvl="0" w:tplc="16D8B0C4">
      <w:start w:val="23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7CD"/>
    <w:rsid w:val="0001023B"/>
    <w:rsid w:val="00026E60"/>
    <w:rsid w:val="0005179D"/>
    <w:rsid w:val="000975C5"/>
    <w:rsid w:val="000C4EE6"/>
    <w:rsid w:val="000C5D4F"/>
    <w:rsid w:val="000E5822"/>
    <w:rsid w:val="000F3707"/>
    <w:rsid w:val="001200AE"/>
    <w:rsid w:val="00164440"/>
    <w:rsid w:val="00220182"/>
    <w:rsid w:val="00254416"/>
    <w:rsid w:val="002C3852"/>
    <w:rsid w:val="00305F8C"/>
    <w:rsid w:val="003A1DE7"/>
    <w:rsid w:val="003A3003"/>
    <w:rsid w:val="00414610"/>
    <w:rsid w:val="0043139D"/>
    <w:rsid w:val="0050742C"/>
    <w:rsid w:val="00537A63"/>
    <w:rsid w:val="00566851"/>
    <w:rsid w:val="00584953"/>
    <w:rsid w:val="005A35A3"/>
    <w:rsid w:val="005C023A"/>
    <w:rsid w:val="005C464F"/>
    <w:rsid w:val="005E4811"/>
    <w:rsid w:val="005E7BA6"/>
    <w:rsid w:val="00631F42"/>
    <w:rsid w:val="00633D5B"/>
    <w:rsid w:val="006545A0"/>
    <w:rsid w:val="006B2B52"/>
    <w:rsid w:val="006B6ECB"/>
    <w:rsid w:val="006D6666"/>
    <w:rsid w:val="00717AEE"/>
    <w:rsid w:val="007C13FE"/>
    <w:rsid w:val="007D3B6E"/>
    <w:rsid w:val="007F7405"/>
    <w:rsid w:val="008347CD"/>
    <w:rsid w:val="00840BD7"/>
    <w:rsid w:val="00844E8D"/>
    <w:rsid w:val="008970FC"/>
    <w:rsid w:val="0091346D"/>
    <w:rsid w:val="00972079"/>
    <w:rsid w:val="009934B3"/>
    <w:rsid w:val="009B476C"/>
    <w:rsid w:val="009B5D6C"/>
    <w:rsid w:val="009F0F5C"/>
    <w:rsid w:val="009F20C4"/>
    <w:rsid w:val="00A14477"/>
    <w:rsid w:val="00A42F37"/>
    <w:rsid w:val="00A755A3"/>
    <w:rsid w:val="00A857F7"/>
    <w:rsid w:val="00A95817"/>
    <w:rsid w:val="00B533B8"/>
    <w:rsid w:val="00B96689"/>
    <w:rsid w:val="00C40AB0"/>
    <w:rsid w:val="00C46B5B"/>
    <w:rsid w:val="00CC4ECF"/>
    <w:rsid w:val="00CE2B23"/>
    <w:rsid w:val="00DF04E0"/>
    <w:rsid w:val="00E35F75"/>
    <w:rsid w:val="00E93CF9"/>
    <w:rsid w:val="00ED6EB5"/>
    <w:rsid w:val="00F4110C"/>
    <w:rsid w:val="00F769AF"/>
    <w:rsid w:val="00F92FDA"/>
    <w:rsid w:val="00F9491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37F6A"/>
  <w15:docId w15:val="{7924B570-3FE3-4D9E-A731-2EF2DC8F9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BD7"/>
    <w:pPr>
      <w:suppressAutoHyphens/>
    </w:pPr>
    <w:rPr>
      <w:rFonts w:ascii="Times New Roman" w:eastAsia="Times New Roman" w:hAnsi="Times New Roman" w:cs="Times New Roman"/>
      <w:color w:val="00000A"/>
      <w:sz w:val="24"/>
      <w:lang w:bidi="ar-SA"/>
    </w:rPr>
  </w:style>
  <w:style w:type="paragraph" w:styleId="Heading1">
    <w:name w:val="heading 1"/>
    <w:basedOn w:val="Normal"/>
    <w:next w:val="Normal"/>
    <w:qFormat/>
    <w:pPr>
      <w:keepNext/>
      <w:numPr>
        <w:numId w:val="1"/>
      </w:numPr>
      <w:spacing w:before="480" w:after="120"/>
      <w:jc w:val="center"/>
      <w:outlineLvl w:val="0"/>
    </w:pPr>
    <w:rPr>
      <w:rFonts w:cs="Arial"/>
      <w:b/>
      <w:bCs/>
      <w:sz w:val="32"/>
      <w:szCs w:val="32"/>
    </w:rPr>
  </w:style>
  <w:style w:type="paragraph" w:styleId="Heading2">
    <w:name w:val="heading 2"/>
    <w:basedOn w:val="Normal"/>
    <w:next w:val="Normal"/>
    <w:qFormat/>
    <w:pPr>
      <w:keepNext/>
      <w:numPr>
        <w:ilvl w:val="1"/>
        <w:numId w:val="1"/>
      </w:numPr>
      <w:spacing w:before="240" w:after="60"/>
      <w:jc w:val="center"/>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spacing w:before="240" w:after="60"/>
      <w:jc w:val="center"/>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Policepardfaut1">
    <w:name w:val="Police par défaut1"/>
    <w:qFormat/>
  </w:style>
  <w:style w:type="character" w:customStyle="1" w:styleId="SNNumroLoi">
    <w:name w:val="SNNuméroLoi"/>
    <w:basedOn w:val="Policepardfaut1"/>
    <w:qFormat/>
  </w:style>
  <w:style w:type="character" w:customStyle="1" w:styleId="SNDateSignature">
    <w:name w:val="SNDateSignature"/>
    <w:basedOn w:val="Policepardfaut1"/>
    <w:qFormat/>
  </w:style>
  <w:style w:type="character" w:customStyle="1" w:styleId="SNenProjet">
    <w:name w:val="SNenProjet"/>
    <w:basedOn w:val="Policepardfaut1"/>
    <w:qFormat/>
  </w:style>
  <w:style w:type="character" w:customStyle="1" w:styleId="SNArticleCar">
    <w:name w:val="SNArticle Car"/>
    <w:qFormat/>
    <w:rPr>
      <w:b/>
      <w:sz w:val="24"/>
      <w:szCs w:val="24"/>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color w:val="00000A"/>
      <w:szCs w:val="20"/>
      <w:lang w:bidi="ar-SA"/>
    </w:rPr>
  </w:style>
  <w:style w:type="character" w:styleId="CommentReference">
    <w:name w:val="annotation reference"/>
    <w:basedOn w:val="DefaultParagraphFont"/>
    <w:uiPriority w:val="99"/>
    <w:semiHidden/>
    <w:unhideWhenUsed/>
    <w:qFormat/>
    <w:rPr>
      <w:sz w:val="16"/>
      <w:szCs w:val="16"/>
    </w:rPr>
  </w:style>
  <w:style w:type="character" w:customStyle="1" w:styleId="CommentSubjectChar">
    <w:name w:val="Comment Subject Char"/>
    <w:basedOn w:val="CommentTextChar"/>
    <w:link w:val="CommentSubject"/>
    <w:uiPriority w:val="99"/>
    <w:semiHidden/>
    <w:qFormat/>
    <w:rsid w:val="002C77DF"/>
    <w:rPr>
      <w:rFonts w:ascii="Times New Roman" w:eastAsia="Times New Roman" w:hAnsi="Times New Roman" w:cs="Times New Roman"/>
      <w:b/>
      <w:bCs/>
      <w:color w:val="00000A"/>
      <w:szCs w:val="20"/>
      <w:lang w:bidi="ar-SA"/>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styleId="Title">
    <w:name w:val="Title"/>
    <w:basedOn w:val="Normal"/>
    <w:next w:val="BodyText"/>
    <w:qFormat/>
    <w:pPr>
      <w:keepNext/>
      <w:spacing w:before="240" w:after="120"/>
    </w:pPr>
    <w:rPr>
      <w:rFonts w:ascii="Liberation Sans;Arial" w:eastAsia="Microsoft YaHei" w:hAnsi="Liberation Sans;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customStyle="1" w:styleId="Titre1">
    <w:name w:val="Titre1"/>
    <w:basedOn w:val="Normal"/>
    <w:qFormat/>
    <w:pPr>
      <w:keepNext/>
      <w:spacing w:before="240" w:after="120"/>
    </w:pPr>
    <w:rPr>
      <w:rFonts w:ascii="Liberation Sans;Arial" w:eastAsia="Microsoft YaHei" w:hAnsi="Liberation Sans;Arial" w:cs="Mangal"/>
      <w:sz w:val="28"/>
      <w:szCs w:val="28"/>
    </w:rPr>
  </w:style>
  <w:style w:type="paragraph" w:customStyle="1" w:styleId="Rpublique">
    <w:name w:val="République"/>
    <w:basedOn w:val="Normal"/>
    <w:qFormat/>
    <w:pPr>
      <w:widowControl w:val="0"/>
      <w:jc w:val="center"/>
    </w:pPr>
    <w:rPr>
      <w:rFonts w:eastAsia="Lucida Sans Unicode"/>
      <w:b/>
      <w:bCs/>
    </w:rPr>
  </w:style>
  <w:style w:type="paragraph" w:customStyle="1" w:styleId="Ministre">
    <w:name w:val="Ministère"/>
    <w:basedOn w:val="BodyText"/>
    <w:qFormat/>
    <w:pPr>
      <w:widowControl w:val="0"/>
      <w:snapToGrid w:val="0"/>
      <w:spacing w:before="120" w:after="0"/>
      <w:jc w:val="center"/>
    </w:pPr>
    <w:rPr>
      <w:rFonts w:eastAsia="Lucida Sans Unicode"/>
    </w:rPr>
  </w:style>
  <w:style w:type="paragraph" w:customStyle="1" w:styleId="LabelNOR">
    <w:name w:val="Label NOR"/>
    <w:basedOn w:val="Normal"/>
    <w:qFormat/>
    <w:pPr>
      <w:widowControl w:val="0"/>
      <w:suppressLineNumbers/>
      <w:jc w:val="right"/>
    </w:pPr>
    <w:rPr>
      <w:rFonts w:eastAsia="Lucida Sans Unicode"/>
    </w:rPr>
  </w:style>
  <w:style w:type="paragraph" w:customStyle="1" w:styleId="NOR">
    <w:name w:val="NOR"/>
    <w:basedOn w:val="Normal"/>
    <w:qFormat/>
    <w:pPr>
      <w:widowControl w:val="0"/>
      <w:suppressLineNumbers/>
      <w:snapToGrid w:val="0"/>
    </w:pPr>
    <w:rPr>
      <w:rFonts w:eastAsia="Lucida Sans Unicode"/>
    </w:rPr>
  </w:style>
  <w:style w:type="paragraph" w:customStyle="1" w:styleId="Nature">
    <w:name w:val="Nature"/>
    <w:basedOn w:val="Normal"/>
    <w:qFormat/>
    <w:pPr>
      <w:widowControl w:val="0"/>
      <w:suppressLineNumbers/>
      <w:spacing w:before="720" w:after="240"/>
      <w:jc w:val="center"/>
    </w:pPr>
    <w:rPr>
      <w:rFonts w:eastAsia="Lucida Sans Unicode"/>
      <w:b/>
      <w:bCs/>
    </w:rPr>
  </w:style>
  <w:style w:type="paragraph" w:customStyle="1" w:styleId="Objet">
    <w:name w:val="Objet"/>
    <w:basedOn w:val="Normal"/>
    <w:qFormat/>
    <w:pPr>
      <w:widowControl w:val="0"/>
      <w:suppressLineNumbers/>
      <w:spacing w:after="119"/>
      <w:jc w:val="center"/>
    </w:pPr>
    <w:rPr>
      <w:rFonts w:eastAsia="Lucida Sans Unicode"/>
    </w:rPr>
  </w:style>
  <w:style w:type="paragraph" w:customStyle="1" w:styleId="Autorit">
    <w:name w:val="Autorité"/>
    <w:basedOn w:val="Normal"/>
    <w:qFormat/>
    <w:pPr>
      <w:spacing w:before="720" w:after="240"/>
      <w:ind w:firstLine="720"/>
    </w:pPr>
    <w:rPr>
      <w:b/>
    </w:rPr>
  </w:style>
  <w:style w:type="paragraph" w:customStyle="1" w:styleId="Visa">
    <w:name w:val="Visa"/>
    <w:basedOn w:val="Normal"/>
    <w:qFormat/>
    <w:pPr>
      <w:spacing w:before="120" w:after="120"/>
      <w:ind w:firstLine="720"/>
    </w:pPr>
  </w:style>
  <w:style w:type="paragraph" w:customStyle="1" w:styleId="Acte">
    <w:name w:val="Acte"/>
    <w:basedOn w:val="Normal"/>
    <w:qFormat/>
    <w:pPr>
      <w:spacing w:before="480" w:after="240"/>
      <w:jc w:val="center"/>
    </w:pPr>
    <w:rPr>
      <w:b/>
    </w:rPr>
  </w:style>
  <w:style w:type="paragraph" w:customStyle="1" w:styleId="Article">
    <w:name w:val="Article"/>
    <w:basedOn w:val="Normal"/>
    <w:qFormat/>
    <w:pPr>
      <w:spacing w:before="240" w:after="240"/>
      <w:jc w:val="center"/>
    </w:pPr>
    <w:rPr>
      <w:b/>
    </w:rPr>
  </w:style>
  <w:style w:type="paragraph" w:customStyle="1" w:styleId="LieuDate">
    <w:name w:val="LieuDate"/>
    <w:basedOn w:val="Normal"/>
    <w:qFormat/>
    <w:pPr>
      <w:spacing w:before="480" w:after="120"/>
      <w:ind w:firstLine="720"/>
    </w:pPr>
  </w:style>
  <w:style w:type="paragraph" w:customStyle="1" w:styleId="SignatureGauche">
    <w:name w:val="SignatureGauche"/>
    <w:basedOn w:val="Normal"/>
    <w:qFormat/>
    <w:pPr>
      <w:spacing w:before="240" w:after="480"/>
      <w:ind w:firstLine="720"/>
    </w:pPr>
  </w:style>
  <w:style w:type="paragraph" w:customStyle="1" w:styleId="SignatureDroite">
    <w:name w:val="SignatureDroite"/>
    <w:basedOn w:val="Normal"/>
    <w:next w:val="SignatureGauche"/>
    <w:qFormat/>
    <w:pPr>
      <w:spacing w:before="240" w:after="480"/>
      <w:jc w:val="right"/>
    </w:pPr>
  </w:style>
  <w:style w:type="paragraph" w:customStyle="1" w:styleId="puce1">
    <w:name w:val="puce1"/>
    <w:basedOn w:val="Normal"/>
    <w:qFormat/>
    <w:pPr>
      <w:widowControl w:val="0"/>
      <w:tabs>
        <w:tab w:val="left" w:pos="1429"/>
      </w:tabs>
      <w:spacing w:before="240"/>
      <w:ind w:left="1429" w:hanging="360"/>
    </w:pPr>
    <w:rPr>
      <w:rFonts w:eastAsia="Lucida Sans Unicode"/>
    </w:rPr>
  </w:style>
  <w:style w:type="paragraph" w:customStyle="1" w:styleId="puce2">
    <w:name w:val="puce2"/>
    <w:basedOn w:val="Normal"/>
    <w:qFormat/>
    <w:pPr>
      <w:widowControl w:val="0"/>
      <w:tabs>
        <w:tab w:val="left" w:pos="2149"/>
      </w:tabs>
      <w:spacing w:before="240"/>
      <w:ind w:left="2149" w:hanging="360"/>
    </w:pPr>
    <w:rPr>
      <w:rFonts w:eastAsia="Lucida Sans Unicode"/>
    </w:rPr>
  </w:style>
  <w:style w:type="paragraph" w:customStyle="1" w:styleId="puce3">
    <w:name w:val="puce3"/>
    <w:basedOn w:val="Normal"/>
    <w:qFormat/>
    <w:pPr>
      <w:widowControl w:val="0"/>
      <w:tabs>
        <w:tab w:val="left" w:pos="2869"/>
      </w:tabs>
      <w:spacing w:before="240"/>
      <w:ind w:left="2869" w:hanging="360"/>
    </w:pPr>
    <w:rPr>
      <w:rFonts w:eastAsia="Lucida Sans Unicode"/>
    </w:rPr>
  </w:style>
  <w:style w:type="paragraph" w:customStyle="1" w:styleId="num1">
    <w:name w:val="num1"/>
    <w:basedOn w:val="Normal"/>
    <w:qFormat/>
    <w:pPr>
      <w:widowControl w:val="0"/>
      <w:tabs>
        <w:tab w:val="left" w:pos="1429"/>
      </w:tabs>
      <w:spacing w:before="240"/>
      <w:ind w:left="1429" w:hanging="360"/>
    </w:pPr>
    <w:rPr>
      <w:rFonts w:eastAsia="Lucida Sans Unicode"/>
    </w:rPr>
  </w:style>
  <w:style w:type="paragraph" w:customStyle="1" w:styleId="num2">
    <w:name w:val="num2"/>
    <w:basedOn w:val="Normal"/>
    <w:qFormat/>
    <w:pPr>
      <w:widowControl w:val="0"/>
      <w:tabs>
        <w:tab w:val="left" w:pos="2149"/>
      </w:tabs>
      <w:spacing w:before="240"/>
      <w:ind w:left="2149" w:hanging="360"/>
    </w:pPr>
    <w:rPr>
      <w:rFonts w:eastAsia="Lucida Sans Unicode"/>
    </w:rPr>
  </w:style>
  <w:style w:type="paragraph" w:customStyle="1" w:styleId="num3">
    <w:name w:val="num3"/>
    <w:basedOn w:val="Normal"/>
    <w:qFormat/>
    <w:pPr>
      <w:widowControl w:val="0"/>
      <w:tabs>
        <w:tab w:val="left" w:pos="2869"/>
      </w:tabs>
      <w:spacing w:before="240"/>
      <w:ind w:left="2869" w:hanging="180"/>
    </w:pPr>
    <w:rPr>
      <w:rFonts w:eastAsia="Lucida Sans Unicode"/>
    </w:rPr>
  </w:style>
  <w:style w:type="paragraph" w:customStyle="1" w:styleId="Consultation">
    <w:name w:val="Consultation"/>
    <w:basedOn w:val="Normal"/>
    <w:qFormat/>
    <w:pPr>
      <w:widowControl w:val="0"/>
      <w:spacing w:before="120" w:after="120"/>
      <w:ind w:firstLine="709"/>
      <w:jc w:val="both"/>
    </w:pPr>
    <w:rPr>
      <w:rFonts w:eastAsia="Lucida Sans Unicode"/>
    </w:rPr>
  </w:style>
  <w:style w:type="paragraph" w:customStyle="1" w:styleId="Timbre">
    <w:name w:val="Timbre"/>
    <w:basedOn w:val="Normal"/>
    <w:qFormat/>
    <w:pPr>
      <w:widowControl w:val="0"/>
      <w:snapToGrid w:val="0"/>
      <w:spacing w:before="120"/>
      <w:jc w:val="center"/>
    </w:pPr>
    <w:rPr>
      <w:rFonts w:eastAsia="Lucida Sans Unicode"/>
    </w:rPr>
  </w:style>
  <w:style w:type="paragraph" w:customStyle="1" w:styleId="Rapport">
    <w:name w:val="Rapport"/>
    <w:basedOn w:val="Normal"/>
    <w:qFormat/>
    <w:pPr>
      <w:spacing w:before="240" w:after="120"/>
      <w:ind w:firstLine="720"/>
    </w:pPr>
  </w:style>
  <w:style w:type="paragraph" w:customStyle="1" w:styleId="SignatureSolon">
    <w:name w:val="SignatureSolon"/>
    <w:basedOn w:val="Normal"/>
    <w:next w:val="SignatureGauche"/>
    <w:qFormat/>
    <w:pPr>
      <w:spacing w:before="480" w:after="480"/>
      <w:ind w:firstLine="720"/>
    </w:pPr>
  </w:style>
  <w:style w:type="paragraph" w:customStyle="1" w:styleId="Considrant">
    <w:name w:val="Considérant"/>
    <w:basedOn w:val="Normal"/>
    <w:qFormat/>
    <w:pPr>
      <w:ind w:firstLine="720"/>
    </w:pPr>
  </w:style>
  <w:style w:type="paragraph" w:customStyle="1" w:styleId="SignaturePrincipale">
    <w:name w:val="SignaturePrincipale"/>
    <w:basedOn w:val="Normal"/>
    <w:next w:val="SignatureGauche"/>
    <w:qFormat/>
    <w:pPr>
      <w:spacing w:before="480" w:after="480"/>
      <w:ind w:firstLine="720"/>
    </w:pPr>
  </w:style>
  <w:style w:type="paragraph" w:customStyle="1" w:styleId="ConsultationCE">
    <w:name w:val="ConsultationCE"/>
    <w:basedOn w:val="Consultation"/>
    <w:qFormat/>
  </w:style>
  <w:style w:type="paragraph" w:customStyle="1" w:styleId="ConsultationCM">
    <w:name w:val="ConsultationCM"/>
    <w:basedOn w:val="Consultation"/>
    <w:qFormat/>
  </w:style>
  <w:style w:type="paragraph" w:customStyle="1" w:styleId="Direction">
    <w:name w:val="Direction"/>
    <w:basedOn w:val="Normal"/>
    <w:qFormat/>
    <w:pPr>
      <w:spacing w:before="720"/>
      <w:jc w:val="center"/>
    </w:pPr>
    <w:rPr>
      <w:b/>
    </w:rPr>
  </w:style>
  <w:style w:type="paragraph" w:customStyle="1" w:styleId="ListePrincipale">
    <w:name w:val="ListePrincipale"/>
    <w:basedOn w:val="Normal"/>
    <w:qFormat/>
  </w:style>
  <w:style w:type="paragraph" w:customStyle="1" w:styleId="Intitul">
    <w:name w:val="Intitulé"/>
    <w:basedOn w:val="Normal"/>
    <w:qFormat/>
    <w:pPr>
      <w:jc w:val="center"/>
    </w:pPr>
  </w:style>
  <w:style w:type="paragraph" w:customStyle="1" w:styleId="SNConsultation">
    <w:name w:val="SNConsultation"/>
    <w:basedOn w:val="Normal"/>
    <w:qFormat/>
    <w:pPr>
      <w:widowControl w:val="0"/>
      <w:spacing w:before="120" w:after="120"/>
      <w:ind w:firstLine="709"/>
      <w:jc w:val="both"/>
    </w:pPr>
    <w:rPr>
      <w:rFonts w:eastAsia="Lucida Sans Unicode"/>
    </w:rPr>
  </w:style>
  <w:style w:type="paragraph" w:customStyle="1" w:styleId="SNNature">
    <w:name w:val="SNNature"/>
    <w:basedOn w:val="Normal"/>
    <w:qFormat/>
    <w:pPr>
      <w:widowControl w:val="0"/>
      <w:suppressLineNumbers/>
      <w:spacing w:before="720" w:after="120"/>
      <w:jc w:val="center"/>
    </w:pPr>
    <w:rPr>
      <w:rFonts w:eastAsia="Lucida Sans Unicode"/>
      <w:b/>
      <w:bCs/>
    </w:rPr>
  </w:style>
  <w:style w:type="paragraph" w:customStyle="1" w:styleId="SNRpublique">
    <w:name w:val="SNRépublique"/>
    <w:basedOn w:val="Normal"/>
    <w:qFormat/>
    <w:pPr>
      <w:widowControl w:val="0"/>
      <w:jc w:val="center"/>
    </w:pPr>
    <w:rPr>
      <w:rFonts w:eastAsia="Lucida Sans Unicode"/>
      <w:b/>
      <w:bCs/>
    </w:rPr>
  </w:style>
  <w:style w:type="paragraph" w:customStyle="1" w:styleId="SNTimbre">
    <w:name w:val="SNTimbre"/>
    <w:basedOn w:val="Normal"/>
    <w:link w:val="SNTimbreCar"/>
    <w:uiPriority w:val="99"/>
    <w:qFormat/>
    <w:pPr>
      <w:widowControl w:val="0"/>
      <w:snapToGrid w:val="0"/>
      <w:ind w:right="-6804"/>
      <w:jc w:val="center"/>
    </w:pPr>
    <w:rPr>
      <w:rFonts w:eastAsia="Lucida Sans Unicode"/>
      <w:b/>
    </w:rPr>
  </w:style>
  <w:style w:type="paragraph" w:customStyle="1" w:styleId="SNLabelNOR">
    <w:name w:val="SNLabelNOR"/>
    <w:basedOn w:val="Normal"/>
    <w:qFormat/>
    <w:pPr>
      <w:widowControl w:val="0"/>
      <w:suppressLineNumbers/>
      <w:jc w:val="right"/>
    </w:pPr>
    <w:rPr>
      <w:rFonts w:eastAsia="Lucida Sans Unicode"/>
    </w:rPr>
  </w:style>
  <w:style w:type="paragraph" w:customStyle="1" w:styleId="SNNOR">
    <w:name w:val="SNNOR"/>
    <w:basedOn w:val="Normal"/>
    <w:qFormat/>
    <w:pPr>
      <w:widowControl w:val="0"/>
      <w:suppressLineNumbers/>
      <w:snapToGrid w:val="0"/>
    </w:pPr>
    <w:rPr>
      <w:rFonts w:eastAsia="Lucida Sans Unicode"/>
    </w:rPr>
  </w:style>
  <w:style w:type="paragraph" w:customStyle="1" w:styleId="SNObjet">
    <w:name w:val="SNObjet"/>
    <w:basedOn w:val="Normal"/>
    <w:qFormat/>
    <w:pPr>
      <w:widowControl w:val="0"/>
      <w:suppressLineNumbers/>
      <w:spacing w:after="119"/>
      <w:jc w:val="both"/>
    </w:pPr>
    <w:rPr>
      <w:rFonts w:eastAsia="Lucida Sans Unicode"/>
      <w:b/>
    </w:rPr>
  </w:style>
  <w:style w:type="paragraph" w:customStyle="1" w:styleId="SNAutorit">
    <w:name w:val="SNAutorité"/>
    <w:basedOn w:val="Normal"/>
    <w:qFormat/>
    <w:pPr>
      <w:spacing w:before="720" w:after="240"/>
      <w:jc w:val="center"/>
    </w:pPr>
  </w:style>
  <w:style w:type="paragraph" w:customStyle="1" w:styleId="SNRapport">
    <w:name w:val="SNRapport"/>
    <w:basedOn w:val="Normal"/>
    <w:qFormat/>
    <w:pPr>
      <w:spacing w:before="240" w:after="120"/>
      <w:ind w:firstLine="720"/>
    </w:pPr>
  </w:style>
  <w:style w:type="paragraph" w:customStyle="1" w:styleId="SNVisa">
    <w:name w:val="SNVisa"/>
    <w:basedOn w:val="Normal"/>
    <w:qFormat/>
    <w:pPr>
      <w:spacing w:before="120" w:after="120"/>
      <w:jc w:val="both"/>
    </w:pPr>
  </w:style>
  <w:style w:type="paragraph" w:customStyle="1" w:styleId="SNLieuDate">
    <w:name w:val="SNLieuDate"/>
    <w:basedOn w:val="Normal"/>
    <w:qFormat/>
    <w:pPr>
      <w:spacing w:before="480" w:after="120"/>
      <w:ind w:firstLine="720"/>
    </w:pPr>
  </w:style>
  <w:style w:type="paragraph" w:customStyle="1" w:styleId="SNSignaturePrincipale">
    <w:name w:val="SNSignaturePrincipale"/>
    <w:basedOn w:val="Normal"/>
    <w:qFormat/>
    <w:pPr>
      <w:spacing w:before="480" w:after="480"/>
      <w:ind w:firstLine="720"/>
    </w:pPr>
  </w:style>
  <w:style w:type="paragraph" w:customStyle="1" w:styleId="SNSignatureGauche">
    <w:name w:val="SNSignatureGauche"/>
    <w:basedOn w:val="Normal"/>
    <w:qFormat/>
    <w:pPr>
      <w:tabs>
        <w:tab w:val="left" w:pos="5220"/>
      </w:tabs>
      <w:ind w:left="540"/>
    </w:pPr>
  </w:style>
  <w:style w:type="paragraph" w:customStyle="1" w:styleId="SNSignatureDroite">
    <w:name w:val="SNSignatureDroite"/>
    <w:basedOn w:val="Normal"/>
    <w:next w:val="SNSignatureGauche"/>
    <w:qFormat/>
    <w:pPr>
      <w:ind w:firstLine="567"/>
    </w:pPr>
  </w:style>
  <w:style w:type="paragraph" w:customStyle="1" w:styleId="SNActe">
    <w:name w:val="SNActe"/>
    <w:basedOn w:val="Normal"/>
    <w:qFormat/>
    <w:pPr>
      <w:spacing w:before="480" w:after="120"/>
      <w:jc w:val="center"/>
    </w:pPr>
    <w:rPr>
      <w:b/>
    </w:rPr>
  </w:style>
  <w:style w:type="paragraph" w:customStyle="1" w:styleId="SNArticle">
    <w:name w:val="SNArticle"/>
    <w:basedOn w:val="Normal"/>
    <w:qFormat/>
    <w:pPr>
      <w:spacing w:before="120" w:after="120"/>
      <w:jc w:val="center"/>
    </w:pPr>
    <w:rPr>
      <w:b/>
    </w:rPr>
  </w:style>
  <w:style w:type="paragraph" w:customStyle="1" w:styleId="SNConsidrant">
    <w:name w:val="SNConsidérant"/>
    <w:basedOn w:val="Normal"/>
    <w:qFormat/>
    <w:pPr>
      <w:ind w:firstLine="720"/>
    </w:pPr>
  </w:style>
  <w:style w:type="paragraph" w:customStyle="1" w:styleId="SNConsultationCE">
    <w:name w:val="SNConsultationCE"/>
    <w:basedOn w:val="SNConsultation"/>
    <w:qFormat/>
  </w:style>
  <w:style w:type="paragraph" w:customStyle="1" w:styleId="SNConsultationCM">
    <w:name w:val="SNConsultationCM"/>
    <w:basedOn w:val="SNConsultation"/>
    <w:qFormat/>
  </w:style>
  <w:style w:type="paragraph" w:customStyle="1" w:styleId="SNDirection">
    <w:name w:val="SNDirection"/>
    <w:basedOn w:val="Normal"/>
    <w:qFormat/>
    <w:pPr>
      <w:spacing w:before="720"/>
      <w:jc w:val="center"/>
    </w:pPr>
    <w:rPr>
      <w:b/>
    </w:rPr>
  </w:style>
  <w:style w:type="paragraph" w:customStyle="1" w:styleId="SNListePrincipale">
    <w:name w:val="SNListePrincipale"/>
    <w:basedOn w:val="Normal"/>
    <w:qFormat/>
  </w:style>
  <w:style w:type="paragraph" w:customStyle="1" w:styleId="SNIntitul">
    <w:name w:val="SNIntitulé"/>
    <w:basedOn w:val="Normal"/>
    <w:qFormat/>
    <w:pPr>
      <w:jc w:val="center"/>
    </w:pPr>
  </w:style>
  <w:style w:type="paragraph" w:customStyle="1" w:styleId="SNTitreRapport">
    <w:name w:val="SNTitreRapport"/>
    <w:basedOn w:val="SNActe"/>
    <w:qFormat/>
  </w:style>
  <w:style w:type="paragraph" w:customStyle="1" w:styleId="SNExcution">
    <w:name w:val="SNExécution"/>
    <w:basedOn w:val="Normal"/>
    <w:qFormat/>
  </w:style>
  <w:style w:type="paragraph" w:customStyle="1" w:styleId="SNPromulgation">
    <w:name w:val="SNPromulgation"/>
    <w:basedOn w:val="Normal"/>
    <w:qFormat/>
  </w:style>
  <w:style w:type="paragraph" w:customStyle="1" w:styleId="SNAdoption">
    <w:name w:val="SNAdoption"/>
    <w:basedOn w:val="Normal"/>
    <w:qFormat/>
  </w:style>
  <w:style w:type="paragraph" w:customStyle="1" w:styleId="SNLibell">
    <w:name w:val="SNLibellé"/>
    <w:basedOn w:val="Normal"/>
    <w:qFormat/>
  </w:style>
  <w:style w:type="paragraph" w:customStyle="1" w:styleId="SNRfrence">
    <w:name w:val="SNRéférence"/>
    <w:basedOn w:val="Normal"/>
    <w:qFormat/>
  </w:style>
  <w:style w:type="paragraph" w:customStyle="1" w:styleId="SNTravauxPrparatoires">
    <w:name w:val="SNTravauxPréparatoires"/>
    <w:basedOn w:val="SNNature"/>
    <w:qFormat/>
    <w:pPr>
      <w:spacing w:before="0" w:after="0"/>
      <w:jc w:val="left"/>
    </w:pPr>
    <w:rPr>
      <w:b w:val="0"/>
    </w:rPr>
  </w:style>
  <w:style w:type="paragraph" w:styleId="BalloonText">
    <w:name w:val="Balloon Text"/>
    <w:basedOn w:val="Normal"/>
    <w:qFormat/>
    <w:rPr>
      <w:rFonts w:ascii="Tahoma" w:hAnsi="Tahoma" w:cs="Lucida Sans Unicode"/>
      <w:sz w:val="16"/>
      <w:szCs w:val="16"/>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styleId="Header">
    <w:name w:val="header"/>
    <w:basedOn w:val="Normal"/>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link w:val="CommentSubjectChar"/>
    <w:uiPriority w:val="99"/>
    <w:semiHidden/>
    <w:unhideWhenUsed/>
    <w:qFormat/>
    <w:rsid w:val="002C77DF"/>
    <w:rPr>
      <w:b/>
      <w:bCs/>
    </w:rPr>
  </w:style>
  <w:style w:type="numbering" w:customStyle="1" w:styleId="WW8Num1">
    <w:name w:val="WW8Num1"/>
    <w:qFormat/>
  </w:style>
  <w:style w:type="paragraph" w:customStyle="1" w:styleId="SNREPUBLIQUE">
    <w:name w:val="SNREPUBLIQUE"/>
    <w:basedOn w:val="Normal"/>
    <w:uiPriority w:val="99"/>
    <w:qFormat/>
    <w:rsid w:val="00A857F7"/>
    <w:pPr>
      <w:suppressAutoHyphens w:val="0"/>
      <w:jc w:val="center"/>
    </w:pPr>
    <w:rPr>
      <w:b/>
      <w:bCs/>
      <w:color w:val="auto"/>
      <w:szCs w:val="20"/>
      <w:lang w:eastAsia="fr-FR"/>
    </w:rPr>
  </w:style>
  <w:style w:type="character" w:customStyle="1" w:styleId="SNTimbreCar">
    <w:name w:val="SNTimbre Car"/>
    <w:link w:val="SNTimbre"/>
    <w:uiPriority w:val="99"/>
    <w:locked/>
    <w:rsid w:val="00A857F7"/>
    <w:rPr>
      <w:rFonts w:ascii="Times New Roman" w:eastAsia="Lucida Sans Unicode" w:hAnsi="Times New Roman" w:cs="Times New Roman"/>
      <w:b/>
      <w:color w:val="00000A"/>
      <w:sz w:val="24"/>
      <w:lang w:bidi="ar-SA"/>
    </w:rPr>
  </w:style>
  <w:style w:type="paragraph" w:customStyle="1" w:styleId="m-InterTitre1">
    <w:name w:val="m-InterTitre1"/>
    <w:basedOn w:val="Normal"/>
    <w:next w:val="Normal"/>
    <w:qFormat/>
    <w:rsid w:val="00844E8D"/>
    <w:pPr>
      <w:spacing w:after="260"/>
    </w:pPr>
    <w:rPr>
      <w:rFonts w:ascii="Arial" w:hAnsi="Arial"/>
      <w:b/>
      <w:color w:val="auto"/>
      <w:u w:val="single"/>
      <w:lang w:eastAsia="fr-FR"/>
    </w:rPr>
  </w:style>
  <w:style w:type="paragraph" w:customStyle="1" w:styleId="Standard">
    <w:name w:val="Standard"/>
    <w:rsid w:val="00844E8D"/>
    <w:pPr>
      <w:autoSpaceDN w:val="0"/>
    </w:pPr>
    <w:rPr>
      <w:rFonts w:ascii="Times New Roman" w:eastAsia="Times New Roman" w:hAnsi="Times New Roman" w:cs="Times New Roman"/>
      <w:szCs w:val="20"/>
      <w:lang w:eastAsia="fr-FR" w:bidi="ar-SA"/>
    </w:rPr>
  </w:style>
  <w:style w:type="paragraph" w:styleId="ListParagraph">
    <w:name w:val="List Paragraph"/>
    <w:basedOn w:val="Normal"/>
    <w:uiPriority w:val="34"/>
    <w:qFormat/>
    <w:rsid w:val="00B533B8"/>
    <w:pPr>
      <w:ind w:left="720"/>
      <w:contextualSpacing/>
    </w:pPr>
  </w:style>
  <w:style w:type="table" w:styleId="TableGrid">
    <w:name w:val="Table Grid"/>
    <w:basedOn w:val="TableNormal"/>
    <w:uiPriority w:val="39"/>
    <w:rsid w:val="0091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ctresdenotedebasdepage">
    <w:name w:val="Caractères de note de bas de page"/>
    <w:rsid w:val="00C40AB0"/>
    <w:rPr>
      <w:vertAlign w:val="superscript"/>
    </w:rPr>
  </w:style>
  <w:style w:type="paragraph" w:styleId="FootnoteText">
    <w:name w:val="footnote text"/>
    <w:basedOn w:val="Normal"/>
    <w:link w:val="FootnoteTextChar"/>
    <w:rsid w:val="00C40AB0"/>
    <w:rPr>
      <w:color w:val="auto"/>
      <w:sz w:val="20"/>
      <w:szCs w:val="20"/>
    </w:rPr>
  </w:style>
  <w:style w:type="character" w:customStyle="1" w:styleId="FootnoteTextChar">
    <w:name w:val="Footnote Text Char"/>
    <w:basedOn w:val="DefaultParagraphFont"/>
    <w:link w:val="FootnoteText"/>
    <w:rsid w:val="00C40AB0"/>
    <w:rPr>
      <w:rFonts w:ascii="Times New Roman" w:eastAsia="Times New Roman" w:hAnsi="Times New Roman" w:cs="Times New Roman"/>
      <w:szCs w:val="20"/>
      <w:lang w:bidi="ar-SA"/>
    </w:rPr>
  </w:style>
  <w:style w:type="paragraph" w:styleId="Footer">
    <w:name w:val="footer"/>
    <w:basedOn w:val="Normal"/>
    <w:link w:val="FooterChar"/>
    <w:uiPriority w:val="99"/>
    <w:unhideWhenUsed/>
    <w:rsid w:val="006D6666"/>
    <w:pPr>
      <w:tabs>
        <w:tab w:val="center" w:pos="4536"/>
        <w:tab w:val="right" w:pos="9072"/>
      </w:tabs>
    </w:pPr>
  </w:style>
  <w:style w:type="character" w:customStyle="1" w:styleId="FooterChar">
    <w:name w:val="Footer Char"/>
    <w:basedOn w:val="DefaultParagraphFont"/>
    <w:link w:val="Footer"/>
    <w:uiPriority w:val="99"/>
    <w:rsid w:val="006D6666"/>
    <w:rPr>
      <w:rFonts w:ascii="Times New Roman" w:eastAsia="Times New Roman" w:hAnsi="Times New Roman" w:cs="Times New Roman"/>
      <w:color w:val="00000A"/>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643141">
      <w:bodyDiv w:val="1"/>
      <w:marLeft w:val="0"/>
      <w:marRight w:val="0"/>
      <w:marTop w:val="0"/>
      <w:marBottom w:val="0"/>
      <w:divBdr>
        <w:top w:val="none" w:sz="0" w:space="0" w:color="auto"/>
        <w:left w:val="none" w:sz="0" w:space="0" w:color="auto"/>
        <w:bottom w:val="none" w:sz="0" w:space="0" w:color="auto"/>
        <w:right w:val="none" w:sz="0" w:space="0" w:color="auto"/>
      </w:divBdr>
    </w:div>
    <w:div w:id="921261865">
      <w:bodyDiv w:val="1"/>
      <w:marLeft w:val="0"/>
      <w:marRight w:val="0"/>
      <w:marTop w:val="0"/>
      <w:marBottom w:val="0"/>
      <w:divBdr>
        <w:top w:val="none" w:sz="0" w:space="0" w:color="auto"/>
        <w:left w:val="none" w:sz="0" w:space="0" w:color="auto"/>
        <w:bottom w:val="none" w:sz="0" w:space="0" w:color="auto"/>
        <w:right w:val="none" w:sz="0" w:space="0" w:color="auto"/>
      </w:divBdr>
    </w:div>
    <w:div w:id="1102606386">
      <w:bodyDiv w:val="1"/>
      <w:marLeft w:val="0"/>
      <w:marRight w:val="0"/>
      <w:marTop w:val="0"/>
      <w:marBottom w:val="0"/>
      <w:divBdr>
        <w:top w:val="none" w:sz="0" w:space="0" w:color="auto"/>
        <w:left w:val="none" w:sz="0" w:space="0" w:color="auto"/>
        <w:bottom w:val="none" w:sz="0" w:space="0" w:color="auto"/>
        <w:right w:val="none" w:sz="0" w:space="0" w:color="auto"/>
      </w:divBdr>
    </w:div>
    <w:div w:id="1348482699">
      <w:bodyDiv w:val="1"/>
      <w:marLeft w:val="0"/>
      <w:marRight w:val="0"/>
      <w:marTop w:val="0"/>
      <w:marBottom w:val="0"/>
      <w:divBdr>
        <w:top w:val="none" w:sz="0" w:space="0" w:color="auto"/>
        <w:left w:val="none" w:sz="0" w:space="0" w:color="auto"/>
        <w:bottom w:val="none" w:sz="0" w:space="0" w:color="auto"/>
        <w:right w:val="none" w:sz="0" w:space="0" w:color="auto"/>
      </w:divBdr>
    </w:div>
    <w:div w:id="1361976085">
      <w:bodyDiv w:val="1"/>
      <w:marLeft w:val="0"/>
      <w:marRight w:val="0"/>
      <w:marTop w:val="0"/>
      <w:marBottom w:val="0"/>
      <w:divBdr>
        <w:top w:val="none" w:sz="0" w:space="0" w:color="auto"/>
        <w:left w:val="none" w:sz="0" w:space="0" w:color="auto"/>
        <w:bottom w:val="none" w:sz="0" w:space="0" w:color="auto"/>
        <w:right w:val="none" w:sz="0" w:space="0" w:color="auto"/>
      </w:divBdr>
    </w:div>
    <w:div w:id="1453132289">
      <w:bodyDiv w:val="1"/>
      <w:marLeft w:val="0"/>
      <w:marRight w:val="0"/>
      <w:marTop w:val="0"/>
      <w:marBottom w:val="0"/>
      <w:divBdr>
        <w:top w:val="none" w:sz="0" w:space="0" w:color="auto"/>
        <w:left w:val="none" w:sz="0" w:space="0" w:color="auto"/>
        <w:bottom w:val="none" w:sz="0" w:space="0" w:color="auto"/>
        <w:right w:val="none" w:sz="0" w:space="0" w:color="auto"/>
      </w:divBdr>
    </w:div>
    <w:div w:id="1498109247">
      <w:bodyDiv w:val="1"/>
      <w:marLeft w:val="0"/>
      <w:marRight w:val="0"/>
      <w:marTop w:val="0"/>
      <w:marBottom w:val="0"/>
      <w:divBdr>
        <w:top w:val="none" w:sz="0" w:space="0" w:color="auto"/>
        <w:left w:val="none" w:sz="0" w:space="0" w:color="auto"/>
        <w:bottom w:val="none" w:sz="0" w:space="0" w:color="auto"/>
        <w:right w:val="none" w:sz="0" w:space="0" w:color="auto"/>
      </w:divBdr>
    </w:div>
    <w:div w:id="1703626136">
      <w:bodyDiv w:val="1"/>
      <w:marLeft w:val="0"/>
      <w:marRight w:val="0"/>
      <w:marTop w:val="0"/>
      <w:marBottom w:val="0"/>
      <w:divBdr>
        <w:top w:val="none" w:sz="0" w:space="0" w:color="auto"/>
        <w:left w:val="none" w:sz="0" w:space="0" w:color="auto"/>
        <w:bottom w:val="none" w:sz="0" w:space="0" w:color="auto"/>
        <w:right w:val="none" w:sz="0" w:space="0" w:color="auto"/>
      </w:divBdr>
    </w:div>
    <w:div w:id="1727298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B4411-C50F-4D6A-87F2-801D7DF95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1302</Words>
  <Characters>7424</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Arrêté du 26 août 2008</vt:lpstr>
    </vt:vector>
  </TitlesOfParts>
  <Company>MTES</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Arrêté du 26 août 2008</dc:title>
  <dc:subject>fixant la liste des départements où les moustiques constituent une menace pour la santé de la population</dc:subject>
  <dc:creator>BLATON Elisabeth</dc:creator>
  <dc:description/>
  <cp:lastModifiedBy>Dimitris Dimitriadis</cp:lastModifiedBy>
  <cp:revision>7</cp:revision>
  <cp:lastPrinted>2021-09-08T16:41:00Z</cp:lastPrinted>
  <dcterms:created xsi:type="dcterms:W3CDTF">2021-09-08T16:42:00Z</dcterms:created>
  <dcterms:modified xsi:type="dcterms:W3CDTF">2021-11-04T12:39:00Z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MTES</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