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4ABA" w14:textId="616F9606" w:rsidR="003913B8" w:rsidRPr="00422DC0" w:rsidRDefault="003A67C1" w:rsidP="00422DC0">
      <w:pPr>
        <w:tabs>
          <w:tab w:val="left" w:pos="-1560"/>
        </w:tabs>
        <w:jc w:val="center"/>
        <w:rPr>
          <w:rFonts w:cs="Arial"/>
          <w:b/>
          <w:szCs w:val="22"/>
        </w:rPr>
      </w:pPr>
      <w:r>
        <w:rPr>
          <w:b/>
        </w:rPr>
        <w:t>Paraugdirektīva par ugunsdrošību lietotu riepu un plastmasas atkritumu uzglabāšanā atkritumu apglabāšanas iekārtās</w:t>
      </w:r>
    </w:p>
    <w:p w14:paraId="11F780E3" w14:textId="5F3B1522" w:rsidR="00CA200D" w:rsidRPr="00422DC0" w:rsidRDefault="003A67C1" w:rsidP="00422DC0">
      <w:pPr>
        <w:tabs>
          <w:tab w:val="left" w:pos="-1560"/>
        </w:tabs>
        <w:jc w:val="center"/>
        <w:rPr>
          <w:rFonts w:cs="Arial"/>
          <w:b/>
          <w:szCs w:val="22"/>
        </w:rPr>
      </w:pPr>
      <w:r>
        <w:rPr>
          <w:b/>
        </w:rPr>
        <w:t>(MKLR paraugdirektīva par plastmasas uzglabāšanu)</w:t>
      </w:r>
    </w:p>
    <w:p w14:paraId="5F183BAF" w14:textId="2570CE7C" w:rsidR="006110CC" w:rsidRDefault="003A67C1" w:rsidP="006110CC">
      <w:pPr>
        <w:tabs>
          <w:tab w:val="left" w:pos="-1560"/>
        </w:tabs>
        <w:jc w:val="center"/>
        <w:rPr>
          <w:rFonts w:cs="Arial"/>
          <w:b/>
          <w:szCs w:val="22"/>
        </w:rPr>
      </w:pPr>
      <w:r>
        <w:rPr>
          <w:b/>
        </w:rPr>
        <w:t>- 2023. gada marts</w:t>
      </w:r>
      <w:r w:rsidR="009F36EC">
        <w:rPr>
          <w:rStyle w:val="FootnoteReference"/>
          <w:rFonts w:cs="Arial"/>
          <w:b/>
          <w:szCs w:val="22"/>
        </w:rPr>
        <w:footnoteReference w:id="1"/>
      </w:r>
      <w:r>
        <w:rPr>
          <w:b/>
        </w:rPr>
        <w:t> —</w:t>
      </w:r>
    </w:p>
    <w:p w14:paraId="6D2F3BCD" w14:textId="646A3DDD" w:rsidR="00422DC0" w:rsidRDefault="00422DC0" w:rsidP="006110CC">
      <w:pPr>
        <w:tabs>
          <w:tab w:val="left" w:pos="-1560"/>
        </w:tabs>
        <w:jc w:val="center"/>
        <w:rPr>
          <w:rFonts w:cs="Arial"/>
          <w:b/>
          <w:szCs w:val="22"/>
        </w:rPr>
      </w:pPr>
    </w:p>
    <w:p w14:paraId="5AD42C10" w14:textId="77777777" w:rsidR="00422DC0" w:rsidRPr="00422DC0" w:rsidRDefault="00422DC0" w:rsidP="006110CC">
      <w:pPr>
        <w:tabs>
          <w:tab w:val="left" w:pos="-1560"/>
        </w:tabs>
        <w:jc w:val="center"/>
        <w:rPr>
          <w:rFonts w:cs="Arial"/>
          <w:b/>
          <w:szCs w:val="22"/>
        </w:rPr>
      </w:pPr>
    </w:p>
    <w:p w14:paraId="5ABFE954" w14:textId="77777777" w:rsidR="003A67C1" w:rsidRPr="00422DC0" w:rsidRDefault="003A67C1">
      <w:pPr>
        <w:tabs>
          <w:tab w:val="left" w:pos="1134"/>
        </w:tabs>
        <w:ind w:left="426" w:hanging="426"/>
        <w:jc w:val="both"/>
        <w:rPr>
          <w:rFonts w:cs="Arial"/>
          <w:szCs w:val="22"/>
        </w:rPr>
      </w:pPr>
      <w:r>
        <w:rPr>
          <w:b/>
        </w:rPr>
        <w:t>1.</w:t>
      </w:r>
      <w:r>
        <w:rPr>
          <w:b/>
        </w:rPr>
        <w:tab/>
        <w:t>Aizsardzības mērķis</w:t>
      </w:r>
    </w:p>
    <w:p w14:paraId="0F672CE3" w14:textId="77777777" w:rsidR="003A67C1" w:rsidRPr="00422DC0" w:rsidRDefault="003A67C1">
      <w:pPr>
        <w:tabs>
          <w:tab w:val="left" w:pos="1134"/>
        </w:tabs>
        <w:ind w:left="426" w:hanging="426"/>
        <w:jc w:val="both"/>
        <w:rPr>
          <w:rFonts w:cs="Arial"/>
          <w:szCs w:val="22"/>
        </w:rPr>
      </w:pPr>
    </w:p>
    <w:p w14:paraId="0431AD20" w14:textId="6AEF75F1" w:rsidR="003A67C1" w:rsidRPr="00422DC0" w:rsidRDefault="003A67C1">
      <w:pPr>
        <w:tabs>
          <w:tab w:val="left" w:pos="1134"/>
        </w:tabs>
        <w:ind w:left="426" w:hanging="426"/>
        <w:jc w:val="both"/>
        <w:rPr>
          <w:rFonts w:cs="Arial"/>
          <w:szCs w:val="22"/>
        </w:rPr>
      </w:pPr>
      <w:r>
        <w:t>1.1.</w:t>
      </w:r>
      <w:r>
        <w:tab/>
        <w:t>Šo vadlīniju mērķis ir novērst ugunsgrēka un dūmu rašanos un izplatīšanos un nodrošināt efektīvu ugunsdzēšanas darbu lietotu riepu un plastmasas atkritumu uzglabāšanas laikā atkritumu apglabāšanas iekārtās (MBO (</w:t>
      </w:r>
      <w:r>
        <w:rPr>
          <w:i/>
          <w:iCs/>
        </w:rPr>
        <w:t>Musterbauordnung</w:t>
      </w:r>
      <w:r>
        <w:t>, Būvniecības paraugkodekss) 14. pants).</w:t>
      </w:r>
    </w:p>
    <w:p w14:paraId="00CB61FF" w14:textId="77777777" w:rsidR="003A67C1" w:rsidRPr="00422DC0" w:rsidRDefault="003A67C1">
      <w:pPr>
        <w:tabs>
          <w:tab w:val="left" w:pos="1134"/>
        </w:tabs>
        <w:ind w:left="426" w:hanging="426"/>
        <w:jc w:val="both"/>
        <w:rPr>
          <w:rFonts w:cs="Arial"/>
          <w:szCs w:val="22"/>
        </w:rPr>
      </w:pPr>
    </w:p>
    <w:p w14:paraId="25BC5E3C" w14:textId="77777777" w:rsidR="003A67C1" w:rsidRPr="00422DC0" w:rsidRDefault="003A67C1">
      <w:pPr>
        <w:tabs>
          <w:tab w:val="left" w:pos="1008"/>
          <w:tab w:val="left" w:pos="1134"/>
        </w:tabs>
        <w:ind w:left="567" w:hanging="141"/>
        <w:jc w:val="both"/>
        <w:rPr>
          <w:rFonts w:cs="Arial"/>
          <w:szCs w:val="22"/>
        </w:rPr>
      </w:pPr>
    </w:p>
    <w:p w14:paraId="4677EF79" w14:textId="0D305175" w:rsidR="003A67C1" w:rsidRPr="00422DC0" w:rsidRDefault="003A67C1">
      <w:pPr>
        <w:tabs>
          <w:tab w:val="left" w:pos="-1560"/>
          <w:tab w:val="left" w:pos="1134"/>
        </w:tabs>
        <w:ind w:left="426" w:hanging="426"/>
        <w:jc w:val="both"/>
        <w:rPr>
          <w:rFonts w:cs="Arial"/>
          <w:szCs w:val="22"/>
        </w:rPr>
      </w:pPr>
      <w:r>
        <w:rPr>
          <w:b/>
        </w:rPr>
        <w:t>2.</w:t>
      </w:r>
      <w:r>
        <w:rPr>
          <w:b/>
        </w:rPr>
        <w:tab/>
        <w:t>Piemērošanas joma</w:t>
      </w:r>
    </w:p>
    <w:p w14:paraId="022AE055" w14:textId="77777777" w:rsidR="003A67C1" w:rsidRPr="00422DC0" w:rsidRDefault="003A67C1">
      <w:pPr>
        <w:tabs>
          <w:tab w:val="left" w:pos="-1560"/>
          <w:tab w:val="left" w:pos="1134"/>
        </w:tabs>
        <w:ind w:left="426" w:hanging="426"/>
        <w:jc w:val="both"/>
        <w:rPr>
          <w:rFonts w:cs="Arial"/>
          <w:szCs w:val="22"/>
        </w:rPr>
      </w:pPr>
    </w:p>
    <w:p w14:paraId="41ECDB85" w14:textId="770C8388" w:rsidR="003A67C1" w:rsidRPr="00422DC0" w:rsidRDefault="003A67C1" w:rsidP="00C61DA9">
      <w:pPr>
        <w:tabs>
          <w:tab w:val="left" w:pos="-1560"/>
          <w:tab w:val="left" w:pos="1134"/>
        </w:tabs>
        <w:ind w:left="450"/>
        <w:jc w:val="both"/>
        <w:rPr>
          <w:rFonts w:cs="Arial"/>
          <w:szCs w:val="22"/>
        </w:rPr>
      </w:pPr>
      <w:r>
        <w:t>Šo direktīvu piemēro lietotu riepu glabāšanai un plastmasas atkritumu apstrādei vai šķirošanai, tostarp nepieciešamajai uzglabāšanai atkritumu apglabāšanas iekārtās (turpmāk “vielas”) uzglabāšanas daudzumos, kas lielāki par 200 m</w:t>
      </w:r>
      <w:r>
        <w:rPr>
          <w:vertAlign w:val="superscript"/>
        </w:rPr>
        <w:t>3</w:t>
      </w:r>
      <w:r>
        <w:t xml:space="preserve">, uzglabājot tos vienveidīgu vai jauktu frakciju veidā kompaktā formā vai kā beztaras materiālus, beramus, stacionāros un pārvietojamos konteineros, noliktavās un ārā. </w:t>
      </w:r>
    </w:p>
    <w:p w14:paraId="36AE5177" w14:textId="77777777" w:rsidR="003A67C1" w:rsidRPr="00422DC0" w:rsidRDefault="003A67C1">
      <w:pPr>
        <w:tabs>
          <w:tab w:val="left" w:pos="-1560"/>
          <w:tab w:val="left" w:pos="1134"/>
        </w:tabs>
        <w:ind w:left="426" w:hanging="426"/>
        <w:jc w:val="both"/>
        <w:rPr>
          <w:rFonts w:cs="Arial"/>
          <w:szCs w:val="22"/>
        </w:rPr>
      </w:pPr>
    </w:p>
    <w:p w14:paraId="58780C09" w14:textId="77777777" w:rsidR="00E46E28" w:rsidRPr="00422DC0" w:rsidRDefault="003A67C1">
      <w:pPr>
        <w:tabs>
          <w:tab w:val="left" w:pos="-1560"/>
          <w:tab w:val="left" w:pos="1134"/>
        </w:tabs>
        <w:ind w:left="426" w:hanging="426"/>
        <w:jc w:val="both"/>
        <w:rPr>
          <w:rFonts w:cs="Arial"/>
          <w:b/>
          <w:szCs w:val="22"/>
        </w:rPr>
      </w:pPr>
      <w:r>
        <w:rPr>
          <w:b/>
        </w:rPr>
        <w:t>3.</w:t>
      </w:r>
      <w:r>
        <w:rPr>
          <w:b/>
        </w:rPr>
        <w:tab/>
        <w:t>Termini</w:t>
      </w:r>
    </w:p>
    <w:p w14:paraId="10728BE4" w14:textId="77777777" w:rsidR="00E46E28" w:rsidRPr="00422DC0" w:rsidRDefault="00E46E28">
      <w:pPr>
        <w:tabs>
          <w:tab w:val="left" w:pos="-1560"/>
          <w:tab w:val="left" w:pos="1134"/>
        </w:tabs>
        <w:ind w:left="426" w:hanging="426"/>
        <w:jc w:val="both"/>
        <w:rPr>
          <w:rFonts w:cs="Arial"/>
          <w:b/>
          <w:szCs w:val="22"/>
        </w:rPr>
      </w:pPr>
    </w:p>
    <w:p w14:paraId="156D5C68" w14:textId="4C279170" w:rsidR="00E46E28" w:rsidRPr="00422DC0" w:rsidRDefault="00C61DA9">
      <w:pPr>
        <w:tabs>
          <w:tab w:val="left" w:pos="-1560"/>
          <w:tab w:val="left" w:pos="1134"/>
        </w:tabs>
        <w:ind w:left="426" w:hanging="426"/>
        <w:jc w:val="both"/>
        <w:rPr>
          <w:rFonts w:cs="Arial"/>
          <w:szCs w:val="22"/>
        </w:rPr>
      </w:pPr>
      <w:r>
        <w:tab/>
        <w:t>3.1. “Lietotas riepas”</w:t>
      </w:r>
    </w:p>
    <w:p w14:paraId="1F7ECC90" w14:textId="5BA45893" w:rsidR="00E60194" w:rsidRPr="00422DC0" w:rsidRDefault="00E60194" w:rsidP="00C61DA9">
      <w:pPr>
        <w:tabs>
          <w:tab w:val="left" w:pos="-1560"/>
          <w:tab w:val="left" w:pos="1134"/>
        </w:tabs>
        <w:spacing w:before="120"/>
        <w:ind w:left="425" w:firstLine="25"/>
        <w:jc w:val="both"/>
        <w:rPr>
          <w:rFonts w:cs="Arial"/>
          <w:szCs w:val="22"/>
        </w:rPr>
      </w:pPr>
      <w:r>
        <w:t>Lietotas riepas šīs direktīvas izpratnē ir lietotas riepas, ciktāl tās ir atkritumi grozītā 2012. gada 24. februāra Aprites ekonomikas likuma (BGB1. (Federālais Oficiālais Vēstnesis) I, 212. lpp.) 3. panta 1. punkta nozīmē.</w:t>
      </w:r>
    </w:p>
    <w:p w14:paraId="5E7A6E6D" w14:textId="77777777" w:rsidR="00E60194" w:rsidRPr="00422DC0" w:rsidRDefault="00E60194">
      <w:pPr>
        <w:tabs>
          <w:tab w:val="left" w:pos="-1560"/>
          <w:tab w:val="left" w:pos="1134"/>
        </w:tabs>
        <w:ind w:left="426" w:hanging="426"/>
        <w:jc w:val="both"/>
        <w:rPr>
          <w:rFonts w:cs="Arial"/>
          <w:szCs w:val="22"/>
        </w:rPr>
      </w:pPr>
    </w:p>
    <w:p w14:paraId="7BDD8328" w14:textId="61A29CC7" w:rsidR="00E46E28" w:rsidRPr="00422DC0" w:rsidRDefault="00C61DA9">
      <w:pPr>
        <w:tabs>
          <w:tab w:val="left" w:pos="-1560"/>
          <w:tab w:val="left" w:pos="1134"/>
        </w:tabs>
        <w:ind w:left="426" w:hanging="426"/>
        <w:jc w:val="both"/>
        <w:rPr>
          <w:rFonts w:cs="Arial"/>
          <w:szCs w:val="22"/>
        </w:rPr>
      </w:pPr>
      <w:r>
        <w:tab/>
        <w:t>3.2. “Plastmasas atkritumi”</w:t>
      </w:r>
    </w:p>
    <w:p w14:paraId="05B4C0D5" w14:textId="057841B1" w:rsidR="00B56A43" w:rsidRPr="00422DC0" w:rsidRDefault="00B56A43" w:rsidP="00C61DA9">
      <w:pPr>
        <w:tabs>
          <w:tab w:val="left" w:pos="-1560"/>
          <w:tab w:val="left" w:pos="1134"/>
        </w:tabs>
        <w:spacing w:before="120"/>
        <w:ind w:left="450"/>
        <w:jc w:val="both"/>
        <w:rPr>
          <w:rFonts w:cs="Arial"/>
          <w:szCs w:val="22"/>
        </w:rPr>
      </w:pPr>
      <w:r>
        <w:t>Plastmasas atkritumi šīs direktīvas izpratnē ir atkritumi grozītā 2012. gada 24. februāra Aprites ekonomikas likuma (BGB1. I, 212. lpp.) 3. panta 1. punkta nozīmē, kas galvenokārt satur plastmasu vai ir sajaukti ar plastmasu, piemēram, aizstājējdegvielām, vieglā iepakojuma atkritumiem (</w:t>
      </w:r>
      <w:r>
        <w:rPr>
          <w:i/>
          <w:iCs/>
        </w:rPr>
        <w:t>Gelbe Tonne</w:t>
      </w:r>
      <w:r>
        <w:t>, dzeltenajām tvertnēm) un izmestām plastmasas frakcijām.</w:t>
      </w:r>
    </w:p>
    <w:p w14:paraId="02566ED2" w14:textId="17C87C66" w:rsidR="00B56A43" w:rsidRPr="00422DC0" w:rsidRDefault="00B56A43" w:rsidP="00B56A43">
      <w:pPr>
        <w:tabs>
          <w:tab w:val="left" w:pos="-1560"/>
          <w:tab w:val="left" w:pos="1134"/>
        </w:tabs>
        <w:ind w:left="426" w:hanging="426"/>
        <w:jc w:val="both"/>
        <w:rPr>
          <w:rFonts w:cs="Arial"/>
          <w:szCs w:val="22"/>
        </w:rPr>
      </w:pPr>
    </w:p>
    <w:p w14:paraId="34B1D4D0" w14:textId="6CF2DF9C" w:rsidR="003A67C1" w:rsidRPr="00422DC0" w:rsidRDefault="00E46E28">
      <w:pPr>
        <w:tabs>
          <w:tab w:val="left" w:pos="-1560"/>
          <w:tab w:val="left" w:pos="1134"/>
        </w:tabs>
        <w:ind w:left="426" w:hanging="426"/>
        <w:jc w:val="both"/>
        <w:rPr>
          <w:rFonts w:cs="Arial"/>
          <w:szCs w:val="22"/>
        </w:rPr>
      </w:pPr>
      <w:r>
        <w:rPr>
          <w:b/>
        </w:rPr>
        <w:t>4.</w:t>
      </w:r>
      <w:r>
        <w:rPr>
          <w:b/>
        </w:rPr>
        <w:tab/>
        <w:t>Ugunsdzēsības dienesta zonas</w:t>
      </w:r>
    </w:p>
    <w:p w14:paraId="253DEFA1" w14:textId="77777777" w:rsidR="003A67C1" w:rsidRPr="00422DC0" w:rsidRDefault="003A67C1">
      <w:pPr>
        <w:tabs>
          <w:tab w:val="left" w:pos="-1560"/>
          <w:tab w:val="left" w:pos="1134"/>
        </w:tabs>
        <w:ind w:left="426" w:hanging="426"/>
        <w:jc w:val="both"/>
        <w:rPr>
          <w:rFonts w:cs="Arial"/>
          <w:szCs w:val="22"/>
        </w:rPr>
      </w:pPr>
    </w:p>
    <w:p w14:paraId="541EB294" w14:textId="4E5AFDCE" w:rsidR="003A67C1" w:rsidRPr="00422DC0" w:rsidRDefault="003A67C1" w:rsidP="00B47968">
      <w:pPr>
        <w:tabs>
          <w:tab w:val="left" w:pos="-1560"/>
          <w:tab w:val="left" w:pos="1134"/>
        </w:tabs>
        <w:ind w:left="450"/>
        <w:jc w:val="both"/>
        <w:rPr>
          <w:rFonts w:cs="Arial"/>
          <w:szCs w:val="22"/>
        </w:rPr>
      </w:pPr>
      <w:r>
        <w:t>Ugunsdzēsības dienesta vajadzībām īpašumā, vienojoties ar dienestu, kas atbild par ugunsdrošību, ir jāizveido piemēroti piebraucamie ceļi, kā arī iekārtu un pārvietošanās zonas. Glabātavās ārpus telpām ar platību no 2000 m² un būvobjektos ar platību 5000 m² iekārtu zonas ierīko vismaz divās pretējās pusēs. Attālumi no ēkas ārsienām saskaņā ar paraugdirektīvu attiecībā līdz ugunsdzēsības dienesta zonām jāpiemēro arī uzglabāšanas vietu robežām.</w:t>
      </w:r>
    </w:p>
    <w:p w14:paraId="38B5AF5C" w14:textId="77777777" w:rsidR="003A67C1" w:rsidRPr="00422DC0" w:rsidRDefault="003A67C1">
      <w:pPr>
        <w:tabs>
          <w:tab w:val="left" w:pos="1134"/>
        </w:tabs>
        <w:ind w:left="426" w:hanging="426"/>
        <w:jc w:val="both"/>
        <w:rPr>
          <w:rFonts w:cs="Arial"/>
          <w:szCs w:val="22"/>
        </w:rPr>
      </w:pPr>
    </w:p>
    <w:p w14:paraId="2D151CDD" w14:textId="77777777" w:rsidR="003A67C1" w:rsidRPr="00422DC0" w:rsidRDefault="00A5671A">
      <w:pPr>
        <w:tabs>
          <w:tab w:val="left" w:pos="1134"/>
        </w:tabs>
        <w:ind w:left="426" w:hanging="426"/>
        <w:jc w:val="both"/>
        <w:rPr>
          <w:rFonts w:cs="Arial"/>
          <w:szCs w:val="22"/>
        </w:rPr>
      </w:pPr>
      <w:r>
        <w:rPr>
          <w:b/>
        </w:rPr>
        <w:t>5.</w:t>
      </w:r>
      <w:r>
        <w:rPr>
          <w:b/>
        </w:rPr>
        <w:tab/>
        <w:t>Vielu uzglabāšana ēkās</w:t>
      </w:r>
    </w:p>
    <w:p w14:paraId="1E0105DB" w14:textId="77777777" w:rsidR="003A67C1" w:rsidRPr="00422DC0" w:rsidRDefault="003A67C1">
      <w:pPr>
        <w:tabs>
          <w:tab w:val="left" w:pos="1134"/>
        </w:tabs>
        <w:ind w:left="426" w:hanging="426"/>
        <w:jc w:val="both"/>
        <w:rPr>
          <w:rFonts w:cs="Arial"/>
          <w:szCs w:val="22"/>
        </w:rPr>
      </w:pPr>
    </w:p>
    <w:p w14:paraId="284A658C" w14:textId="7BF71D89" w:rsidR="003A67C1" w:rsidRPr="00422DC0" w:rsidRDefault="00A5671A">
      <w:pPr>
        <w:tabs>
          <w:tab w:val="left" w:pos="1134"/>
        </w:tabs>
        <w:ind w:left="426" w:hanging="426"/>
        <w:jc w:val="both"/>
        <w:rPr>
          <w:rFonts w:cs="Arial"/>
          <w:szCs w:val="22"/>
        </w:rPr>
      </w:pPr>
      <w:r>
        <w:t>5.1.</w:t>
      </w:r>
      <w:r>
        <w:tab/>
        <w:t>Vielas drīkst uzglabāt tikai ēku pirmajā stāvā. Ciktāl tās netiek uzglabātas pirmā stāva līmenī, var noteikt īpašas prasības, lai nodrošinātu efektīvu ugunsdzēšanas darbu.</w:t>
      </w:r>
    </w:p>
    <w:p w14:paraId="49266E2C" w14:textId="77777777" w:rsidR="003A67C1" w:rsidRPr="00422DC0" w:rsidRDefault="003A67C1">
      <w:pPr>
        <w:tabs>
          <w:tab w:val="left" w:pos="1134"/>
        </w:tabs>
        <w:ind w:left="426" w:hanging="426"/>
        <w:jc w:val="both"/>
        <w:rPr>
          <w:rFonts w:cs="Arial"/>
          <w:szCs w:val="22"/>
        </w:rPr>
      </w:pPr>
    </w:p>
    <w:p w14:paraId="625D5E4E" w14:textId="3FF9A7D9" w:rsidR="003A67C1" w:rsidRPr="00422DC0" w:rsidRDefault="00A5671A">
      <w:pPr>
        <w:tabs>
          <w:tab w:val="left" w:pos="1134"/>
        </w:tabs>
        <w:ind w:left="426" w:hanging="426"/>
        <w:jc w:val="both"/>
        <w:rPr>
          <w:rFonts w:cs="Arial"/>
          <w:szCs w:val="22"/>
        </w:rPr>
      </w:pPr>
      <w:r>
        <w:t>5.2.</w:t>
      </w:r>
      <w:r>
        <w:tab/>
        <w:t>Glabātuves ar uguns mūriem sadala ugunsdrošības zonās, kuru platība nepārsniedz 5000 m</w:t>
      </w:r>
      <w:r>
        <w:rPr>
          <w:vertAlign w:val="superscript"/>
        </w:rPr>
        <w:t>2</w:t>
      </w:r>
      <w:r>
        <w:t>.</w:t>
      </w:r>
    </w:p>
    <w:p w14:paraId="32F7CBC0" w14:textId="77777777" w:rsidR="003A67C1" w:rsidRPr="00422DC0" w:rsidRDefault="003A67C1">
      <w:pPr>
        <w:tabs>
          <w:tab w:val="left" w:pos="1134"/>
        </w:tabs>
        <w:ind w:left="426" w:hanging="426"/>
        <w:jc w:val="both"/>
        <w:rPr>
          <w:rFonts w:cs="Arial"/>
          <w:szCs w:val="22"/>
        </w:rPr>
      </w:pPr>
    </w:p>
    <w:p w14:paraId="6750506D" w14:textId="77777777" w:rsidR="003A67C1" w:rsidRPr="00422DC0" w:rsidRDefault="00A5671A">
      <w:pPr>
        <w:tabs>
          <w:tab w:val="left" w:pos="1134"/>
        </w:tabs>
        <w:ind w:left="426" w:hanging="426"/>
        <w:jc w:val="both"/>
        <w:rPr>
          <w:rFonts w:cs="Arial"/>
          <w:szCs w:val="22"/>
        </w:rPr>
      </w:pPr>
      <w:r>
        <w:t>5.3.</w:t>
      </w:r>
      <w:r>
        <w:tab/>
        <w:t>Uzglabāšanas vietās, kuru platība nepārsniedz 300 m</w:t>
      </w:r>
      <w:r>
        <w:rPr>
          <w:vertAlign w:val="superscript"/>
        </w:rPr>
        <w:t>2</w:t>
      </w:r>
      <w:r>
        <w:t>, katru ugunsdrošības zonu atdala ar vismaz 10 m platām zonām bez ugunsslodzes (brīvām joslām).</w:t>
      </w:r>
    </w:p>
    <w:p w14:paraId="0F2A50F9" w14:textId="77777777" w:rsidR="003A67C1" w:rsidRPr="00422DC0" w:rsidRDefault="003A67C1">
      <w:pPr>
        <w:tabs>
          <w:tab w:val="left" w:pos="1134"/>
        </w:tabs>
        <w:ind w:left="426" w:hanging="426"/>
        <w:jc w:val="both"/>
        <w:rPr>
          <w:rFonts w:cs="Arial"/>
          <w:szCs w:val="22"/>
        </w:rPr>
      </w:pPr>
    </w:p>
    <w:p w14:paraId="65711F18" w14:textId="77777777" w:rsidR="003A67C1" w:rsidRPr="00422DC0" w:rsidRDefault="00A5671A" w:rsidP="00781BF0">
      <w:pPr>
        <w:keepNext/>
        <w:keepLines/>
        <w:tabs>
          <w:tab w:val="left" w:pos="1134"/>
        </w:tabs>
        <w:ind w:left="425" w:hanging="425"/>
        <w:jc w:val="both"/>
        <w:rPr>
          <w:rFonts w:cs="Arial"/>
          <w:szCs w:val="22"/>
        </w:rPr>
      </w:pPr>
      <w:r>
        <w:lastRenderedPageBreak/>
        <w:t>5.4.</w:t>
      </w:r>
      <w:r>
        <w:tab/>
        <w:t>Ugunsdrošības zonā jābūt:</w:t>
      </w:r>
    </w:p>
    <w:p w14:paraId="3FC2D63A" w14:textId="77777777" w:rsidR="003A67C1" w:rsidRPr="00422DC0" w:rsidRDefault="003A67C1">
      <w:pPr>
        <w:tabs>
          <w:tab w:val="left" w:pos="1134"/>
        </w:tabs>
        <w:ind w:left="426" w:hanging="426"/>
        <w:jc w:val="both"/>
        <w:rPr>
          <w:rFonts w:cs="Arial"/>
          <w:szCs w:val="22"/>
        </w:rPr>
      </w:pPr>
    </w:p>
    <w:p w14:paraId="30A1483C" w14:textId="01ACEA77" w:rsidR="003A67C1" w:rsidRPr="00422DC0" w:rsidRDefault="003A67C1">
      <w:pPr>
        <w:tabs>
          <w:tab w:val="left" w:pos="851"/>
          <w:tab w:val="left" w:pos="1008"/>
          <w:tab w:val="left" w:pos="1134"/>
        </w:tabs>
        <w:ind w:left="567" w:hanging="141"/>
        <w:jc w:val="both"/>
        <w:rPr>
          <w:rFonts w:cs="Arial"/>
          <w:szCs w:val="22"/>
        </w:rPr>
      </w:pPr>
      <w:r>
        <w:t>— stacionārām automātiskajām ugunsdzēsības sistēmām vai dūmu izplūdes atverēm kopā ar automātiskām ugunsgrēka signalizācijas sistēmām, ja ugunsdrošības zonas platība ir lielāka par 800 m</w:t>
      </w:r>
      <w:r>
        <w:rPr>
          <w:vertAlign w:val="superscript"/>
        </w:rPr>
        <w:t>2</w:t>
      </w:r>
      <w:r>
        <w:t>. Prasību par dūmu izplūdes atverēm uzskata par izpildītu, jo īpaši, ja tās atbilst M VVTB (Rūpnieciskās būvniecības paraugdirektīva, kas grozīta 2019. gada maijā) 5.7.1.2., 5.7.4.2. un 5.7.4.4. panta kārtas Nr. A 2.2.2.8. pantam;</w:t>
      </w:r>
    </w:p>
    <w:p w14:paraId="365D057B" w14:textId="105B845C" w:rsidR="003A67C1" w:rsidRPr="00422DC0" w:rsidRDefault="003A67C1">
      <w:pPr>
        <w:tabs>
          <w:tab w:val="left" w:pos="851"/>
          <w:tab w:val="left" w:pos="1134"/>
        </w:tabs>
        <w:ind w:left="567" w:hanging="141"/>
        <w:jc w:val="both"/>
        <w:rPr>
          <w:rFonts w:cs="Arial"/>
          <w:szCs w:val="22"/>
        </w:rPr>
      </w:pPr>
      <w:r>
        <w:t>— stacionārām automātiskajām ugunsdzēsības sistēmām, ja ugunsdrošības zonas platība ir lielāka par 1600 m</w:t>
      </w:r>
      <w:r>
        <w:rPr>
          <w:vertAlign w:val="superscript"/>
        </w:rPr>
        <w:t>2</w:t>
      </w:r>
      <w:r>
        <w:t>.</w:t>
      </w:r>
    </w:p>
    <w:p w14:paraId="29A817CD" w14:textId="77777777" w:rsidR="006B4BC5" w:rsidRPr="00422DC0" w:rsidRDefault="006B4BC5">
      <w:pPr>
        <w:tabs>
          <w:tab w:val="left" w:pos="851"/>
          <w:tab w:val="left" w:pos="1134"/>
        </w:tabs>
        <w:ind w:left="567" w:hanging="141"/>
        <w:jc w:val="both"/>
        <w:rPr>
          <w:rFonts w:cs="Arial"/>
          <w:szCs w:val="22"/>
        </w:rPr>
      </w:pPr>
    </w:p>
    <w:p w14:paraId="30A5DE54" w14:textId="77777777" w:rsidR="006110CC" w:rsidRPr="00422DC0" w:rsidRDefault="00A5671A" w:rsidP="006110CC">
      <w:pPr>
        <w:tabs>
          <w:tab w:val="left" w:pos="1134"/>
        </w:tabs>
        <w:ind w:left="426" w:hanging="426"/>
        <w:jc w:val="both"/>
        <w:rPr>
          <w:rFonts w:cs="Arial"/>
          <w:szCs w:val="22"/>
        </w:rPr>
      </w:pPr>
      <w:r>
        <w:t>5.5.</w:t>
      </w:r>
      <w:r>
        <w:tab/>
        <w:t xml:space="preserve">Lai uzglabātu un dzēstu degošas vielas, ārpus telpām ir jānodrošina piemērota 400 m² platība. </w:t>
      </w:r>
    </w:p>
    <w:p w14:paraId="664F0199" w14:textId="77777777" w:rsidR="003A67C1" w:rsidRPr="00422DC0" w:rsidRDefault="003A67C1" w:rsidP="006110CC">
      <w:pPr>
        <w:tabs>
          <w:tab w:val="left" w:pos="851"/>
          <w:tab w:val="left" w:pos="1134"/>
        </w:tabs>
        <w:jc w:val="both"/>
        <w:rPr>
          <w:rFonts w:cs="Arial"/>
          <w:szCs w:val="22"/>
        </w:rPr>
      </w:pPr>
    </w:p>
    <w:p w14:paraId="7FFD368D" w14:textId="77777777" w:rsidR="003A67C1" w:rsidRPr="00422DC0" w:rsidRDefault="00A5671A">
      <w:pPr>
        <w:tabs>
          <w:tab w:val="left" w:pos="851"/>
          <w:tab w:val="left" w:pos="1134"/>
        </w:tabs>
        <w:ind w:left="426" w:hanging="426"/>
        <w:jc w:val="both"/>
        <w:rPr>
          <w:rFonts w:cs="Arial"/>
          <w:szCs w:val="22"/>
        </w:rPr>
      </w:pPr>
      <w:r>
        <w:rPr>
          <w:b/>
        </w:rPr>
        <w:t>6.</w:t>
      </w:r>
      <w:r>
        <w:rPr>
          <w:b/>
        </w:rPr>
        <w:tab/>
        <w:t>Vielu uzglabāšana ārpus telpām</w:t>
      </w:r>
    </w:p>
    <w:p w14:paraId="3022B59C" w14:textId="77777777" w:rsidR="003A67C1" w:rsidRPr="00422DC0" w:rsidRDefault="003A67C1">
      <w:pPr>
        <w:tabs>
          <w:tab w:val="left" w:pos="851"/>
          <w:tab w:val="left" w:pos="1134"/>
        </w:tabs>
        <w:ind w:left="426" w:hanging="426"/>
        <w:jc w:val="both"/>
        <w:rPr>
          <w:rFonts w:cs="Arial"/>
          <w:szCs w:val="22"/>
        </w:rPr>
      </w:pPr>
    </w:p>
    <w:p w14:paraId="3E9DFB36" w14:textId="77777777" w:rsidR="003A67C1" w:rsidRPr="00422DC0" w:rsidRDefault="00A5671A">
      <w:pPr>
        <w:tabs>
          <w:tab w:val="left" w:pos="851"/>
          <w:tab w:val="left" w:pos="1134"/>
        </w:tabs>
        <w:ind w:left="426" w:hanging="426"/>
        <w:jc w:val="both"/>
        <w:rPr>
          <w:rFonts w:cs="Arial"/>
          <w:szCs w:val="22"/>
        </w:rPr>
      </w:pPr>
      <w:r>
        <w:t>6.1.</w:t>
      </w:r>
      <w:r>
        <w:tab/>
        <w:t>Vielu uzglabāšana ārpus telpām ietver arī uzglabāšanu glabātavas zonā ar jumtu, ja:</w:t>
      </w:r>
    </w:p>
    <w:p w14:paraId="4DBB22C7" w14:textId="77777777" w:rsidR="003A67C1" w:rsidRPr="00422DC0" w:rsidRDefault="003A67C1">
      <w:pPr>
        <w:tabs>
          <w:tab w:val="left" w:pos="851"/>
          <w:tab w:val="left" w:pos="1134"/>
        </w:tabs>
        <w:ind w:left="426" w:hanging="426"/>
        <w:jc w:val="both"/>
        <w:rPr>
          <w:rFonts w:cs="Arial"/>
          <w:szCs w:val="22"/>
        </w:rPr>
      </w:pPr>
    </w:p>
    <w:p w14:paraId="1F32162B" w14:textId="77777777" w:rsidR="003A67C1" w:rsidRPr="00422DC0" w:rsidRDefault="003A67C1">
      <w:pPr>
        <w:tabs>
          <w:tab w:val="left" w:pos="851"/>
          <w:tab w:val="left" w:pos="1134"/>
        </w:tabs>
        <w:ind w:left="567" w:hanging="141"/>
        <w:jc w:val="both"/>
        <w:rPr>
          <w:rFonts w:cs="Arial"/>
          <w:szCs w:val="22"/>
        </w:rPr>
      </w:pPr>
      <w:r>
        <w:t>— pieļaujamais uzglabāšanas augstums sasniedz vismaz 2,5 m zem jumta zemākās daļas apakšējās malas,</w:t>
      </w:r>
    </w:p>
    <w:p w14:paraId="5F893C59" w14:textId="77777777" w:rsidR="003A67C1" w:rsidRPr="00422DC0" w:rsidRDefault="003A67C1">
      <w:pPr>
        <w:tabs>
          <w:tab w:val="left" w:pos="851"/>
          <w:tab w:val="left" w:pos="1134"/>
        </w:tabs>
        <w:ind w:left="567" w:hanging="141"/>
        <w:jc w:val="both"/>
        <w:rPr>
          <w:rFonts w:cs="Arial"/>
          <w:szCs w:val="22"/>
        </w:rPr>
      </w:pPr>
      <w:r>
        <w:t>— glabātavas zona ir pilnībā atvērta vismaz divās pretējās pusēs un</w:t>
      </w:r>
    </w:p>
    <w:p w14:paraId="2EDCFC2C" w14:textId="77777777" w:rsidR="003A67C1" w:rsidRPr="00422DC0" w:rsidRDefault="003A67C1">
      <w:pPr>
        <w:tabs>
          <w:tab w:val="left" w:pos="851"/>
          <w:tab w:val="left" w:pos="1134"/>
        </w:tabs>
        <w:ind w:left="567" w:hanging="141"/>
        <w:jc w:val="both"/>
        <w:rPr>
          <w:rFonts w:cs="Arial"/>
          <w:szCs w:val="22"/>
        </w:rPr>
      </w:pPr>
      <w:r>
        <w:t>— glabātavas zonas atlikušajām pusēm, kas nav pilnībā atvērtas, maksimālais garums ir 45 m.</w:t>
      </w:r>
    </w:p>
    <w:p w14:paraId="6EC2F5A7" w14:textId="77777777" w:rsidR="003A67C1" w:rsidRPr="00422DC0" w:rsidRDefault="003A67C1">
      <w:pPr>
        <w:tabs>
          <w:tab w:val="left" w:pos="1134"/>
        </w:tabs>
        <w:ind w:left="426" w:hanging="426"/>
        <w:jc w:val="both"/>
        <w:rPr>
          <w:rFonts w:cs="Arial"/>
          <w:szCs w:val="22"/>
        </w:rPr>
      </w:pPr>
    </w:p>
    <w:p w14:paraId="4857076C" w14:textId="0E5464A8" w:rsidR="003A67C1" w:rsidRPr="00422DC0" w:rsidRDefault="00A5671A">
      <w:pPr>
        <w:tabs>
          <w:tab w:val="left" w:pos="1134"/>
        </w:tabs>
        <w:ind w:left="426" w:hanging="426"/>
        <w:jc w:val="both"/>
        <w:rPr>
          <w:rFonts w:cs="Arial"/>
          <w:szCs w:val="22"/>
        </w:rPr>
      </w:pPr>
      <w:r>
        <w:t>6.2.</w:t>
      </w:r>
      <w:r>
        <w:tab/>
        <w:t>Noliktavu iedala glabātavas zonās ar platību, kas nepārsniedz 2000 m</w:t>
      </w:r>
      <w:r>
        <w:rPr>
          <w:vertAlign w:val="superscript"/>
        </w:rPr>
        <w:t>2</w:t>
      </w:r>
      <w:r>
        <w:t>, ar vismaz 10 m platām zonām bez jumta un bez ugunsslodzes (brīvajām joslām) vai ugunsdrošām sienām, kas izgatavotas no neuzliesmojošiem būvmateriāliem. Sienām ir jābūt:</w:t>
      </w:r>
    </w:p>
    <w:p w14:paraId="4DC48889" w14:textId="77777777" w:rsidR="003A67C1" w:rsidRPr="00422DC0" w:rsidRDefault="003A67C1">
      <w:pPr>
        <w:tabs>
          <w:tab w:val="left" w:pos="1134"/>
        </w:tabs>
        <w:ind w:left="426" w:hanging="426"/>
        <w:jc w:val="both"/>
        <w:rPr>
          <w:rFonts w:cs="Arial"/>
          <w:szCs w:val="22"/>
        </w:rPr>
      </w:pPr>
    </w:p>
    <w:p w14:paraId="07B6C27E" w14:textId="77777777" w:rsidR="003A67C1" w:rsidRPr="00422DC0" w:rsidRDefault="003A67C1">
      <w:pPr>
        <w:tabs>
          <w:tab w:val="left" w:pos="851"/>
          <w:tab w:val="left" w:pos="1134"/>
        </w:tabs>
        <w:ind w:left="567" w:hanging="141"/>
        <w:jc w:val="both"/>
        <w:rPr>
          <w:rFonts w:cs="Arial"/>
          <w:szCs w:val="22"/>
        </w:rPr>
      </w:pPr>
      <w:r>
        <w:t>— vismaz par 1 m augstākām par pieļaujamo uzglabāšanas augstumu glabātavas zonās bez jumta,</w:t>
      </w:r>
    </w:p>
    <w:p w14:paraId="095023A2" w14:textId="77777777" w:rsidR="003A67C1" w:rsidRPr="00422DC0" w:rsidRDefault="003A67C1">
      <w:pPr>
        <w:tabs>
          <w:tab w:val="left" w:pos="851"/>
          <w:tab w:val="left" w:pos="1134"/>
        </w:tabs>
        <w:ind w:left="567" w:hanging="141"/>
        <w:jc w:val="both"/>
        <w:rPr>
          <w:rFonts w:cs="Arial"/>
          <w:szCs w:val="22"/>
        </w:rPr>
      </w:pPr>
    </w:p>
    <w:p w14:paraId="6273B8BE" w14:textId="299DD13F" w:rsidR="003A67C1" w:rsidRPr="00422DC0" w:rsidRDefault="003A67C1">
      <w:pPr>
        <w:tabs>
          <w:tab w:val="left" w:pos="851"/>
          <w:tab w:val="left" w:pos="1134"/>
        </w:tabs>
        <w:ind w:left="567" w:hanging="141"/>
        <w:jc w:val="both"/>
        <w:rPr>
          <w:rFonts w:cs="Arial"/>
          <w:szCs w:val="22"/>
        </w:rPr>
      </w:pPr>
      <w:r>
        <w:t>— līdz jumta membrānai glabātavas zonās ar jumtu saskaņā ar 6.1. pantu no neuzliesmojošiem būvmateriāliem,</w:t>
      </w:r>
    </w:p>
    <w:p w14:paraId="0C834863" w14:textId="77777777" w:rsidR="003A67C1" w:rsidRPr="00422DC0" w:rsidRDefault="003A67C1">
      <w:pPr>
        <w:tabs>
          <w:tab w:val="left" w:pos="851"/>
          <w:tab w:val="left" w:pos="1134"/>
        </w:tabs>
        <w:ind w:left="567" w:hanging="141"/>
        <w:jc w:val="both"/>
        <w:rPr>
          <w:rFonts w:cs="Arial"/>
          <w:szCs w:val="22"/>
        </w:rPr>
      </w:pPr>
    </w:p>
    <w:p w14:paraId="237CBF01" w14:textId="40E1B059" w:rsidR="003A67C1" w:rsidRPr="00422DC0" w:rsidRDefault="003A67C1">
      <w:pPr>
        <w:tabs>
          <w:tab w:val="left" w:pos="851"/>
          <w:tab w:val="left" w:pos="1134"/>
        </w:tabs>
        <w:ind w:left="567" w:hanging="141"/>
        <w:jc w:val="both"/>
        <w:rPr>
          <w:rFonts w:cs="Arial"/>
          <w:szCs w:val="22"/>
        </w:rPr>
      </w:pPr>
      <w:r>
        <w:t>— vismaz par 1 m augstākām par jumtu glabātavas zonām ar jumtu saskaņā ar 6.1. pantu no uzliesmojošiem būvmateriāliem.</w:t>
      </w:r>
    </w:p>
    <w:p w14:paraId="03B85652" w14:textId="77777777" w:rsidR="003A67C1" w:rsidRPr="00422DC0" w:rsidRDefault="003A67C1">
      <w:pPr>
        <w:tabs>
          <w:tab w:val="left" w:pos="851"/>
          <w:tab w:val="left" w:pos="1134"/>
        </w:tabs>
        <w:ind w:left="426" w:hanging="426"/>
        <w:jc w:val="both"/>
        <w:rPr>
          <w:rFonts w:cs="Arial"/>
          <w:szCs w:val="22"/>
        </w:rPr>
      </w:pPr>
    </w:p>
    <w:p w14:paraId="51D429CE" w14:textId="50062896" w:rsidR="003A67C1" w:rsidRPr="00422DC0" w:rsidRDefault="003A67C1" w:rsidP="00326C8B">
      <w:pPr>
        <w:tabs>
          <w:tab w:val="left" w:pos="851"/>
          <w:tab w:val="left" w:pos="1134"/>
        </w:tabs>
        <w:ind w:left="450"/>
        <w:jc w:val="both"/>
        <w:rPr>
          <w:rFonts w:cs="Arial"/>
          <w:szCs w:val="22"/>
        </w:rPr>
      </w:pPr>
      <w:r>
        <w:t>.</w:t>
      </w:r>
    </w:p>
    <w:p w14:paraId="5354AF82" w14:textId="77777777" w:rsidR="003A67C1" w:rsidRPr="00422DC0" w:rsidRDefault="003A67C1">
      <w:pPr>
        <w:tabs>
          <w:tab w:val="left" w:pos="1134"/>
        </w:tabs>
        <w:ind w:left="426" w:hanging="426"/>
        <w:jc w:val="both"/>
        <w:rPr>
          <w:rFonts w:cs="Arial"/>
          <w:szCs w:val="22"/>
        </w:rPr>
      </w:pPr>
    </w:p>
    <w:p w14:paraId="72DDE8BD" w14:textId="77777777" w:rsidR="003A67C1" w:rsidRPr="00422DC0" w:rsidRDefault="00A5671A">
      <w:pPr>
        <w:tabs>
          <w:tab w:val="left" w:pos="1134"/>
        </w:tabs>
        <w:ind w:left="426" w:hanging="426"/>
        <w:jc w:val="both"/>
        <w:rPr>
          <w:rFonts w:cs="Arial"/>
          <w:szCs w:val="22"/>
        </w:rPr>
      </w:pPr>
      <w:r>
        <w:t>6.3.</w:t>
      </w:r>
      <w:r>
        <w:tab/>
        <w:t>Katra glabātavas zona ir jāsadala uzglabāšanas vietās, kuru platība nepārsniedz 400 m</w:t>
      </w:r>
      <w:r>
        <w:rPr>
          <w:vertAlign w:val="superscript"/>
        </w:rPr>
        <w:t>2</w:t>
      </w:r>
      <w:r>
        <w:t>, ar vismaz 10 m platām zonām, kurās nav ugunsslodzes (brīvās zonas), vai ugunsdrošām sienām, kas izgatavotas no neuzliesmojošiem būvmateriāliem. Sienas uzbūvē vismaz 1,0 m augstākas par pieļaujamo glabāšanas augstumu.</w:t>
      </w:r>
    </w:p>
    <w:p w14:paraId="463684AF" w14:textId="77777777" w:rsidR="003A67C1" w:rsidRPr="00422DC0" w:rsidRDefault="003A67C1">
      <w:pPr>
        <w:tabs>
          <w:tab w:val="left" w:pos="1134"/>
        </w:tabs>
        <w:ind w:left="426" w:hanging="426"/>
        <w:jc w:val="both"/>
        <w:rPr>
          <w:rFonts w:cs="Arial"/>
          <w:szCs w:val="22"/>
        </w:rPr>
      </w:pPr>
    </w:p>
    <w:p w14:paraId="348D0850" w14:textId="77777777" w:rsidR="003A67C1" w:rsidRPr="00422DC0" w:rsidRDefault="00A5671A">
      <w:pPr>
        <w:tabs>
          <w:tab w:val="left" w:pos="1134"/>
        </w:tabs>
        <w:ind w:left="426" w:hanging="426"/>
        <w:jc w:val="both"/>
        <w:rPr>
          <w:rFonts w:cs="Arial"/>
          <w:szCs w:val="22"/>
        </w:rPr>
      </w:pPr>
      <w:r>
        <w:t>6.4.</w:t>
      </w:r>
      <w:r>
        <w:tab/>
        <w:t>Glabātavas zonas un uzglabāšanas vietas nepārsniedz šādu glabāšanas dziļumu:</w:t>
      </w:r>
    </w:p>
    <w:p w14:paraId="2184BDA1" w14:textId="77777777" w:rsidR="003A67C1" w:rsidRPr="00422DC0" w:rsidRDefault="003A67C1">
      <w:pPr>
        <w:tabs>
          <w:tab w:val="left" w:pos="1134"/>
        </w:tabs>
        <w:ind w:left="426" w:hanging="426"/>
        <w:jc w:val="both"/>
        <w:rPr>
          <w:rFonts w:cs="Arial"/>
          <w:szCs w:val="22"/>
        </w:rPr>
      </w:pPr>
    </w:p>
    <w:p w14:paraId="7C6B97C9" w14:textId="77777777" w:rsidR="003A67C1" w:rsidRPr="00422DC0" w:rsidRDefault="003A67C1">
      <w:pPr>
        <w:tabs>
          <w:tab w:val="left" w:pos="1008"/>
          <w:tab w:val="left" w:pos="1134"/>
        </w:tabs>
        <w:ind w:left="567" w:hanging="141"/>
        <w:jc w:val="both"/>
        <w:rPr>
          <w:rFonts w:cs="Arial"/>
          <w:szCs w:val="22"/>
        </w:rPr>
      </w:pPr>
      <w:r>
        <w:t>— 40 m, ja divas pretējās puses ir brīvi pieejamas ugunsdzēsībai;</w:t>
      </w:r>
    </w:p>
    <w:p w14:paraId="46AAF31B" w14:textId="77777777" w:rsidR="003A67C1" w:rsidRPr="00422DC0" w:rsidRDefault="003A67C1">
      <w:pPr>
        <w:tabs>
          <w:tab w:val="left" w:pos="1008"/>
          <w:tab w:val="left" w:pos="1134"/>
        </w:tabs>
        <w:ind w:left="567" w:hanging="141"/>
        <w:jc w:val="both"/>
        <w:rPr>
          <w:rFonts w:cs="Arial"/>
          <w:szCs w:val="22"/>
        </w:rPr>
      </w:pPr>
    </w:p>
    <w:p w14:paraId="273D1AAB" w14:textId="77777777" w:rsidR="003A67C1" w:rsidRPr="00422DC0" w:rsidRDefault="003A67C1">
      <w:pPr>
        <w:tabs>
          <w:tab w:val="left" w:pos="1008"/>
          <w:tab w:val="left" w:pos="1134"/>
        </w:tabs>
        <w:ind w:left="567" w:hanging="141"/>
        <w:jc w:val="both"/>
        <w:rPr>
          <w:rFonts w:cs="Arial"/>
          <w:szCs w:val="22"/>
        </w:rPr>
      </w:pPr>
      <w:r>
        <w:t>— 20 m, ja ugunsdzēsībai ir pieejama tikai viena puse.</w:t>
      </w:r>
    </w:p>
    <w:p w14:paraId="6E34CD03" w14:textId="77777777" w:rsidR="003A67C1" w:rsidRPr="00422DC0" w:rsidRDefault="003A67C1">
      <w:pPr>
        <w:tabs>
          <w:tab w:val="left" w:pos="1008"/>
          <w:tab w:val="left" w:pos="1134"/>
        </w:tabs>
        <w:ind w:left="426" w:hanging="426"/>
        <w:jc w:val="both"/>
        <w:rPr>
          <w:rFonts w:cs="Arial"/>
          <w:szCs w:val="22"/>
        </w:rPr>
      </w:pPr>
    </w:p>
    <w:p w14:paraId="7AA9E373" w14:textId="77777777" w:rsidR="003A67C1" w:rsidRPr="00422DC0" w:rsidRDefault="00A5671A">
      <w:pPr>
        <w:tabs>
          <w:tab w:val="left" w:pos="1134"/>
        </w:tabs>
        <w:ind w:left="426" w:hanging="426"/>
        <w:jc w:val="both"/>
        <w:rPr>
          <w:rFonts w:cs="Arial"/>
          <w:szCs w:val="22"/>
        </w:rPr>
      </w:pPr>
      <w:r>
        <w:t>6.5.</w:t>
      </w:r>
      <w:r>
        <w:tab/>
        <w:t>Uzglabāšanas vietām ārā jāatrodas vismaz 10 m attālumā no objekta robežām vai jābūt ar ugunsdrošām sienām, kas izgatavotas no neuzliesmojošiem būvmateriāliem bez atverēm un kas ir vismaz 1 m augstākas par atļauto glabāšanas augstumu.</w:t>
      </w:r>
    </w:p>
    <w:p w14:paraId="62879A40" w14:textId="77777777" w:rsidR="00965D53" w:rsidRPr="00422DC0" w:rsidRDefault="00965D53">
      <w:pPr>
        <w:tabs>
          <w:tab w:val="left" w:pos="1134"/>
        </w:tabs>
        <w:ind w:left="426" w:hanging="426"/>
        <w:jc w:val="both"/>
        <w:rPr>
          <w:rFonts w:cs="Arial"/>
          <w:szCs w:val="22"/>
        </w:rPr>
      </w:pPr>
    </w:p>
    <w:p w14:paraId="0735839D" w14:textId="77777777" w:rsidR="00865251" w:rsidRPr="00422DC0" w:rsidRDefault="00A5671A" w:rsidP="00865251">
      <w:pPr>
        <w:tabs>
          <w:tab w:val="left" w:pos="1134"/>
        </w:tabs>
        <w:ind w:left="426" w:hanging="426"/>
        <w:jc w:val="both"/>
        <w:rPr>
          <w:rFonts w:cs="Arial"/>
          <w:szCs w:val="22"/>
        </w:rPr>
      </w:pPr>
      <w:r>
        <w:t>6.6.</w:t>
      </w:r>
      <w:r>
        <w:tab/>
        <w:t>Vismaz vienā uzglabāšanas vietas malā ir jānodrošina 10 m plata josla degošo materiālu pārvietošanai un dzēšanai. Ja šī josla sakrīt ar ugunsdrošības zonu saskaņā ar 6.3. punktu, pietiek ar 15 m kopējo platumu. Piemērotas joslas vietā var paredzēt piemērotu zonu saskaņā ar 5.5. punktu.</w:t>
      </w:r>
    </w:p>
    <w:p w14:paraId="2B06C2E7" w14:textId="6C3C8AA5" w:rsidR="00965D53" w:rsidRDefault="00965D53">
      <w:pPr>
        <w:tabs>
          <w:tab w:val="left" w:pos="1134"/>
        </w:tabs>
        <w:ind w:left="426" w:hanging="426"/>
        <w:jc w:val="both"/>
        <w:rPr>
          <w:rFonts w:cs="Arial"/>
          <w:szCs w:val="22"/>
        </w:rPr>
      </w:pPr>
    </w:p>
    <w:p w14:paraId="699FDB9E" w14:textId="77777777" w:rsidR="00422DC0" w:rsidRPr="00422DC0" w:rsidRDefault="00422DC0">
      <w:pPr>
        <w:tabs>
          <w:tab w:val="left" w:pos="1134"/>
        </w:tabs>
        <w:ind w:left="426" w:hanging="426"/>
        <w:jc w:val="both"/>
        <w:rPr>
          <w:rFonts w:cs="Arial"/>
          <w:szCs w:val="22"/>
        </w:rPr>
      </w:pPr>
    </w:p>
    <w:p w14:paraId="3D6FD97B" w14:textId="77777777" w:rsidR="003A67C1" w:rsidRPr="00422DC0" w:rsidRDefault="003A67C1">
      <w:pPr>
        <w:tabs>
          <w:tab w:val="left" w:pos="1134"/>
        </w:tabs>
        <w:ind w:left="426" w:hanging="426"/>
        <w:jc w:val="both"/>
        <w:rPr>
          <w:rFonts w:cs="Arial"/>
          <w:szCs w:val="22"/>
        </w:rPr>
      </w:pPr>
    </w:p>
    <w:p w14:paraId="06F71B0E" w14:textId="77777777" w:rsidR="003A67C1" w:rsidRPr="00422DC0" w:rsidRDefault="00A5671A">
      <w:pPr>
        <w:tabs>
          <w:tab w:val="left" w:pos="576"/>
          <w:tab w:val="left" w:pos="1134"/>
        </w:tabs>
        <w:ind w:left="426" w:hanging="426"/>
        <w:jc w:val="both"/>
        <w:rPr>
          <w:rFonts w:cs="Arial"/>
          <w:szCs w:val="22"/>
        </w:rPr>
      </w:pPr>
      <w:r>
        <w:rPr>
          <w:b/>
        </w:rPr>
        <w:t>7.</w:t>
      </w:r>
      <w:r>
        <w:rPr>
          <w:b/>
        </w:rPr>
        <w:tab/>
        <w:t>Uzglabāšanas augstums</w:t>
      </w:r>
    </w:p>
    <w:p w14:paraId="50D5939E" w14:textId="77777777" w:rsidR="003A67C1" w:rsidRPr="00422DC0" w:rsidRDefault="003A67C1">
      <w:pPr>
        <w:tabs>
          <w:tab w:val="left" w:pos="576"/>
          <w:tab w:val="left" w:pos="1134"/>
        </w:tabs>
        <w:ind w:left="426" w:hanging="426"/>
        <w:jc w:val="both"/>
        <w:rPr>
          <w:rFonts w:cs="Arial"/>
          <w:szCs w:val="22"/>
        </w:rPr>
      </w:pPr>
    </w:p>
    <w:p w14:paraId="2C8D02B2" w14:textId="77777777" w:rsidR="003A67C1" w:rsidRPr="00422DC0" w:rsidRDefault="003A67C1">
      <w:pPr>
        <w:tabs>
          <w:tab w:val="left" w:pos="576"/>
          <w:tab w:val="left" w:pos="1134"/>
        </w:tabs>
        <w:ind w:left="426" w:hanging="426"/>
        <w:jc w:val="both"/>
        <w:rPr>
          <w:rFonts w:cs="Arial"/>
          <w:szCs w:val="22"/>
        </w:rPr>
      </w:pPr>
      <w:r>
        <w:tab/>
        <w:t>Uzglabāšanas materiāla augstums nedrīkst pārsniegt 5 m beztaras materiālu un 4 m taras materiālu uzglabāšanai.</w:t>
      </w:r>
    </w:p>
    <w:p w14:paraId="38AD2887" w14:textId="77777777" w:rsidR="003A67C1" w:rsidRPr="00422DC0" w:rsidRDefault="003A67C1">
      <w:pPr>
        <w:tabs>
          <w:tab w:val="left" w:pos="576"/>
          <w:tab w:val="left" w:pos="1134"/>
        </w:tabs>
        <w:ind w:left="426" w:hanging="426"/>
        <w:jc w:val="both"/>
        <w:rPr>
          <w:rFonts w:cs="Arial"/>
          <w:szCs w:val="22"/>
        </w:rPr>
      </w:pPr>
    </w:p>
    <w:p w14:paraId="65F88FEB" w14:textId="77777777" w:rsidR="003A67C1" w:rsidRPr="00422DC0" w:rsidRDefault="003A67C1">
      <w:pPr>
        <w:tabs>
          <w:tab w:val="left" w:pos="1134"/>
        </w:tabs>
        <w:ind w:left="426" w:hanging="426"/>
        <w:jc w:val="both"/>
        <w:rPr>
          <w:rFonts w:cs="Arial"/>
          <w:szCs w:val="22"/>
        </w:rPr>
      </w:pPr>
      <w:r>
        <w:tab/>
        <w:t>Pieļaujamajam glabāšanas augstumam jābūt skaidri redzamam.</w:t>
      </w:r>
    </w:p>
    <w:p w14:paraId="0BB61226" w14:textId="77777777" w:rsidR="003A67C1" w:rsidRPr="00422DC0" w:rsidRDefault="003A67C1">
      <w:pPr>
        <w:tabs>
          <w:tab w:val="left" w:pos="1134"/>
        </w:tabs>
        <w:ind w:left="426" w:hanging="426"/>
        <w:jc w:val="both"/>
        <w:rPr>
          <w:rFonts w:cs="Arial"/>
          <w:szCs w:val="22"/>
        </w:rPr>
      </w:pPr>
    </w:p>
    <w:p w14:paraId="6E3BF36A" w14:textId="77777777" w:rsidR="003A67C1" w:rsidRPr="00422DC0" w:rsidRDefault="003A67C1">
      <w:pPr>
        <w:tabs>
          <w:tab w:val="left" w:pos="1134"/>
        </w:tabs>
        <w:ind w:left="426" w:hanging="426"/>
        <w:jc w:val="both"/>
        <w:rPr>
          <w:rFonts w:cs="Arial"/>
          <w:szCs w:val="22"/>
        </w:rPr>
      </w:pPr>
    </w:p>
    <w:p w14:paraId="0CF61F99" w14:textId="784D222E" w:rsidR="003A67C1" w:rsidRPr="00422DC0" w:rsidRDefault="003A67C1">
      <w:pPr>
        <w:tabs>
          <w:tab w:val="left" w:pos="1134"/>
        </w:tabs>
        <w:ind w:left="426" w:hanging="426"/>
        <w:jc w:val="both"/>
        <w:rPr>
          <w:rFonts w:cs="Arial"/>
          <w:szCs w:val="22"/>
        </w:rPr>
      </w:pPr>
      <w:r>
        <w:rPr>
          <w:b/>
        </w:rPr>
        <w:t>8.</w:t>
      </w:r>
      <w:r>
        <w:rPr>
          <w:b/>
        </w:rPr>
        <w:tab/>
        <w:t xml:space="preserve">Ugunsdzēsības iekārtu ūdensapgādes sistēma </w:t>
      </w:r>
    </w:p>
    <w:p w14:paraId="5926EE3F" w14:textId="77777777" w:rsidR="003A67C1" w:rsidRPr="00422DC0" w:rsidRDefault="003A67C1">
      <w:pPr>
        <w:tabs>
          <w:tab w:val="left" w:pos="1134"/>
        </w:tabs>
        <w:ind w:left="426" w:hanging="426"/>
        <w:jc w:val="both"/>
        <w:rPr>
          <w:rFonts w:cs="Arial"/>
          <w:szCs w:val="22"/>
        </w:rPr>
      </w:pPr>
    </w:p>
    <w:p w14:paraId="458ED388" w14:textId="1AAACB22" w:rsidR="003A67C1" w:rsidRPr="00422DC0" w:rsidRDefault="009D0409" w:rsidP="00326C8B">
      <w:pPr>
        <w:tabs>
          <w:tab w:val="left" w:pos="1134"/>
        </w:tabs>
        <w:ind w:left="450"/>
        <w:jc w:val="both"/>
        <w:rPr>
          <w:rFonts w:cs="Arial"/>
          <w:szCs w:val="22"/>
        </w:rPr>
      </w:pPr>
      <w:r>
        <w:t>Lai ierobežotu uguns izplatīšanos ārpus uzglabāšanas vietas, divu stundu laikā jābūt pieejamam vismaz 192 m</w:t>
      </w:r>
      <w:r>
        <w:rPr>
          <w:vertAlign w:val="superscript"/>
        </w:rPr>
        <w:t>3</w:t>
      </w:r>
      <w:r>
        <w:t>/h dzēšanas ūdens daudzumam. Konsultējoties ar Ugunsdrošības departamentu, nepieciešamības gadījumā var būt vajadzīgs lielāks ugunsdzēšanas ūdens daudzums un lielāks caurplūdums. Noliktavās ar automātisko ugunsdzēsības iekārtu sistēmu ugunsdzēsības dienesta veiktajiem dzēšanas darbiem ūdens apjomu var samazināt, konsultējoties ar Ugunsdrošības departamentu.</w:t>
      </w:r>
    </w:p>
    <w:p w14:paraId="1355F0C9" w14:textId="135C7F24" w:rsidR="00965D53" w:rsidRPr="00422DC0" w:rsidRDefault="00965D53">
      <w:pPr>
        <w:tabs>
          <w:tab w:val="left" w:pos="1134"/>
        </w:tabs>
        <w:ind w:left="426" w:hanging="426"/>
        <w:jc w:val="both"/>
        <w:rPr>
          <w:rFonts w:cs="Arial"/>
          <w:szCs w:val="22"/>
        </w:rPr>
      </w:pPr>
    </w:p>
    <w:p w14:paraId="05A8F222" w14:textId="5E8636D5" w:rsidR="00CA200D" w:rsidRPr="00422DC0" w:rsidRDefault="00CA200D">
      <w:pPr>
        <w:tabs>
          <w:tab w:val="left" w:pos="1134"/>
        </w:tabs>
        <w:ind w:left="426" w:hanging="426"/>
        <w:jc w:val="both"/>
        <w:rPr>
          <w:rFonts w:cs="Arial"/>
          <w:strike/>
          <w:szCs w:val="22"/>
        </w:rPr>
      </w:pPr>
    </w:p>
    <w:p w14:paraId="3D5DA62B" w14:textId="77777777" w:rsidR="003A67C1" w:rsidRPr="00422DC0" w:rsidRDefault="003A67C1">
      <w:pPr>
        <w:tabs>
          <w:tab w:val="left" w:pos="1134"/>
        </w:tabs>
        <w:ind w:left="426" w:hanging="426"/>
        <w:jc w:val="both"/>
        <w:rPr>
          <w:rFonts w:cs="Arial"/>
          <w:szCs w:val="22"/>
        </w:rPr>
      </w:pPr>
      <w:r>
        <w:rPr>
          <w:b/>
        </w:rPr>
        <w:t>9.</w:t>
      </w:r>
      <w:r>
        <w:rPr>
          <w:b/>
        </w:rPr>
        <w:tab/>
        <w:t>Operatīvie pasākumi</w:t>
      </w:r>
    </w:p>
    <w:p w14:paraId="4CBC92B7" w14:textId="77777777" w:rsidR="003A67C1" w:rsidRPr="00422DC0" w:rsidRDefault="003A67C1">
      <w:pPr>
        <w:tabs>
          <w:tab w:val="left" w:pos="1134"/>
        </w:tabs>
        <w:ind w:left="426" w:hanging="426"/>
        <w:jc w:val="both"/>
        <w:rPr>
          <w:rFonts w:cs="Arial"/>
          <w:szCs w:val="22"/>
        </w:rPr>
      </w:pPr>
    </w:p>
    <w:p w14:paraId="092E38BC" w14:textId="5DF27067" w:rsidR="00DF79DE" w:rsidRPr="00422DC0" w:rsidRDefault="003A67C1" w:rsidP="00326C8B">
      <w:pPr>
        <w:tabs>
          <w:tab w:val="left" w:pos="1134"/>
        </w:tabs>
        <w:ind w:left="450"/>
        <w:jc w:val="both"/>
        <w:rPr>
          <w:rFonts w:cs="Arial"/>
          <w:szCs w:val="22"/>
        </w:rPr>
      </w:pPr>
      <w:r>
        <w:t>Konsultējoties ar Ugunsdrošības departamentu, ugunsdrošības plāni jāsagatavo un jādara pieejami vietējam ugunsdzēsības dienestam.</w:t>
      </w:r>
    </w:p>
    <w:p w14:paraId="4D433AB2" w14:textId="77777777" w:rsidR="00DF79DE" w:rsidRPr="00422DC0" w:rsidRDefault="00DF79DE" w:rsidP="00DF79DE">
      <w:pPr>
        <w:tabs>
          <w:tab w:val="left" w:pos="567"/>
        </w:tabs>
        <w:ind w:left="426" w:hanging="426"/>
        <w:jc w:val="both"/>
        <w:rPr>
          <w:rFonts w:cs="Arial"/>
          <w:szCs w:val="22"/>
        </w:rPr>
      </w:pPr>
    </w:p>
    <w:p w14:paraId="673CA712" w14:textId="77777777" w:rsidR="003A67C1" w:rsidRPr="00422DC0" w:rsidRDefault="003A67C1" w:rsidP="00DF79DE">
      <w:pPr>
        <w:ind w:left="851" w:hanging="284"/>
        <w:rPr>
          <w:rFonts w:cs="Arial"/>
          <w:szCs w:val="22"/>
        </w:rPr>
      </w:pPr>
    </w:p>
    <w:p w14:paraId="1CE23A61" w14:textId="77777777" w:rsidR="003A67C1" w:rsidRPr="00A1584F" w:rsidRDefault="003A67C1">
      <w:pPr>
        <w:rPr>
          <w:rFonts w:cs="Arial"/>
          <w:szCs w:val="22"/>
        </w:rPr>
      </w:pPr>
    </w:p>
    <w:sectPr w:rsidR="003A67C1" w:rsidRPr="00A1584F">
      <w:headerReference w:type="default" r:id="rId7"/>
      <w:headerReference w:type="first" r:id="rId8"/>
      <w:footerReference w:type="first" r:id="rId9"/>
      <w:pgSz w:w="11907" w:h="16840" w:code="9"/>
      <w:pgMar w:top="1134" w:right="851" w:bottom="851" w:left="1134" w:header="567"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85E7" w14:textId="77777777" w:rsidR="002D56D0" w:rsidRDefault="002D56D0">
      <w:r>
        <w:separator/>
      </w:r>
    </w:p>
  </w:endnote>
  <w:endnote w:type="continuationSeparator" w:id="0">
    <w:p w14:paraId="55411E41" w14:textId="77777777" w:rsidR="002D56D0" w:rsidRDefault="002D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DD1D" w14:textId="335F9458" w:rsidR="003A67C1" w:rsidRDefault="003A67C1">
    <w:pPr>
      <w:pStyle w:val="Footer"/>
      <w:tabs>
        <w:tab w:val="clear" w:pos="4536"/>
        <w:tab w:val="center" w:pos="-3179"/>
        <w:tab w:val="left" w:pos="9072"/>
      </w:tabs>
      <w:rPr>
        <w:sz w:val="12"/>
      </w:rPr>
    </w:pPr>
    <w:r>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8CF97" w14:textId="77777777" w:rsidR="002D56D0" w:rsidRDefault="002D56D0">
      <w:r>
        <w:separator/>
      </w:r>
    </w:p>
  </w:footnote>
  <w:footnote w:type="continuationSeparator" w:id="0">
    <w:p w14:paraId="638E723C" w14:textId="77777777" w:rsidR="002D56D0" w:rsidRDefault="002D56D0">
      <w:r>
        <w:continuationSeparator/>
      </w:r>
    </w:p>
  </w:footnote>
  <w:footnote w:id="1">
    <w:p w14:paraId="40EE6EBA" w14:textId="19CA5F24" w:rsidR="009F36EC" w:rsidRPr="009F36EC" w:rsidRDefault="009F36EC" w:rsidP="009F36EC">
      <w:pPr>
        <w:pStyle w:val="FootnoteText"/>
        <w:ind w:left="142" w:hanging="142"/>
        <w:rPr>
          <w:rFonts w:ascii="Times New Roman" w:hAnsi="Times New Roman"/>
        </w:rPr>
      </w:pPr>
      <w:r>
        <w:rPr>
          <w:rStyle w:val="FootnoteReference"/>
        </w:rPr>
        <w:footnoteRef/>
      </w:r>
      <w:r>
        <w:t xml:space="preserve"> </w:t>
      </w:r>
      <w:r>
        <w:rPr>
          <w:rFonts w:ascii="Times New Roman" w:hAnsi="Times New Roman"/>
        </w:rPr>
        <w:t>Paziņots saskaņā ar Eiropas Parlamenta un Padomes 2015. gada 9. septembra Direktīvu (ES) 2015/1535, ar ko nosaka informācijas sniegšanas kārtību tehnisko noteikumu un Informācijas sabiedrības pakalpojumu noteikumu jomā (OV L 241, 17.9.2015., 1. lpp.).</w:t>
      </w:r>
    </w:p>
    <w:p w14:paraId="161AA333" w14:textId="77777777" w:rsidR="009F36EC" w:rsidRPr="009F36EC" w:rsidRDefault="009F36EC" w:rsidP="009F36EC">
      <w:pPr>
        <w:widowControl w:val="0"/>
        <w:autoSpaceDE w:val="0"/>
        <w:autoSpaceDN w:val="0"/>
        <w:adjustRightInd w:val="0"/>
        <w:rPr>
          <w:rFonts w:ascii="Times New Roman" w:hAnsi="Times New Roman"/>
          <w:sz w:val="20"/>
        </w:rPr>
      </w:pPr>
    </w:p>
    <w:p w14:paraId="73AE2856" w14:textId="0815A1D7" w:rsidR="009F36EC" w:rsidRDefault="009F36E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832B" w14:textId="484166D2" w:rsidR="003A67C1" w:rsidRDefault="003A67C1">
    <w:pPr>
      <w:pStyle w:val="Head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023C6C">
      <w:rPr>
        <w:rStyle w:val="PageNumber"/>
      </w:rPr>
      <w:t>3</w:t>
    </w:r>
    <w:r>
      <w:rPr>
        <w:rStyle w:val="PageNumber"/>
      </w:rPr>
      <w:fldChar w:fldCharType="end"/>
    </w:r>
    <w:r>
      <w:rPr>
        <w:rStyle w:val="PageNumber"/>
      </w:rPr>
      <w:t xml:space="preserve"> -</w:t>
    </w:r>
  </w:p>
  <w:p w14:paraId="4DFADCEA" w14:textId="77777777" w:rsidR="003A67C1" w:rsidRDefault="003A67C1">
    <w:pPr>
      <w:pStyle w:val="Header"/>
      <w:rPr>
        <w:rStyle w:val="PageNumber"/>
      </w:rPr>
    </w:pPr>
  </w:p>
  <w:p w14:paraId="2BF9E41C" w14:textId="77777777" w:rsidR="003A67C1" w:rsidRDefault="003A6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3D1C" w14:textId="00A1E439" w:rsidR="006A3F2F" w:rsidRPr="006A3F2F" w:rsidRDefault="006A3F2F" w:rsidP="006A3F2F">
    <w:pPr>
      <w:pStyle w:val="Header"/>
      <w:jc w:val="center"/>
      <w:rPr>
        <w:b/>
      </w:rPr>
    </w:pPr>
    <w:r>
      <w:rPr>
        <w:b/>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Dokument"/>
    <w:docVar w:name="Macro_DIBt" w:val="Dokument"/>
    <w:docVar w:name="Macro_LNX" w:val="Dokument"/>
  </w:docVars>
  <w:rsids>
    <w:rsidRoot w:val="006110CC"/>
    <w:rsid w:val="00023C6C"/>
    <w:rsid w:val="00035157"/>
    <w:rsid w:val="00056889"/>
    <w:rsid w:val="000C2DAA"/>
    <w:rsid w:val="000E05BE"/>
    <w:rsid w:val="000F7109"/>
    <w:rsid w:val="00110088"/>
    <w:rsid w:val="001223EC"/>
    <w:rsid w:val="0017111C"/>
    <w:rsid w:val="002414BD"/>
    <w:rsid w:val="0024228C"/>
    <w:rsid w:val="00273B55"/>
    <w:rsid w:val="00275890"/>
    <w:rsid w:val="002D56D0"/>
    <w:rsid w:val="00326C8B"/>
    <w:rsid w:val="00374CC7"/>
    <w:rsid w:val="003913B8"/>
    <w:rsid w:val="003A67C1"/>
    <w:rsid w:val="00422DC0"/>
    <w:rsid w:val="00443F91"/>
    <w:rsid w:val="004600B6"/>
    <w:rsid w:val="00505F58"/>
    <w:rsid w:val="00515B8A"/>
    <w:rsid w:val="00535436"/>
    <w:rsid w:val="00553B1A"/>
    <w:rsid w:val="00582011"/>
    <w:rsid w:val="005F4E58"/>
    <w:rsid w:val="006063A7"/>
    <w:rsid w:val="006110CC"/>
    <w:rsid w:val="00616FC5"/>
    <w:rsid w:val="00660B48"/>
    <w:rsid w:val="006631C5"/>
    <w:rsid w:val="006933D4"/>
    <w:rsid w:val="006A3F2F"/>
    <w:rsid w:val="006B4BC5"/>
    <w:rsid w:val="00733FCB"/>
    <w:rsid w:val="00741218"/>
    <w:rsid w:val="00781BF0"/>
    <w:rsid w:val="008113F4"/>
    <w:rsid w:val="0082200B"/>
    <w:rsid w:val="00865251"/>
    <w:rsid w:val="008A1568"/>
    <w:rsid w:val="008B4E71"/>
    <w:rsid w:val="00932ADB"/>
    <w:rsid w:val="00955CCB"/>
    <w:rsid w:val="00965D53"/>
    <w:rsid w:val="00975558"/>
    <w:rsid w:val="00983501"/>
    <w:rsid w:val="009D0409"/>
    <w:rsid w:val="009F36EC"/>
    <w:rsid w:val="009F67A8"/>
    <w:rsid w:val="00A1584F"/>
    <w:rsid w:val="00A24084"/>
    <w:rsid w:val="00A5671A"/>
    <w:rsid w:val="00AB79D1"/>
    <w:rsid w:val="00AC3B3B"/>
    <w:rsid w:val="00AC4161"/>
    <w:rsid w:val="00AE1715"/>
    <w:rsid w:val="00B3627B"/>
    <w:rsid w:val="00B47968"/>
    <w:rsid w:val="00B56A43"/>
    <w:rsid w:val="00B95B0E"/>
    <w:rsid w:val="00BC1674"/>
    <w:rsid w:val="00BC49B1"/>
    <w:rsid w:val="00C61DA9"/>
    <w:rsid w:val="00C7155E"/>
    <w:rsid w:val="00CA200D"/>
    <w:rsid w:val="00CE6708"/>
    <w:rsid w:val="00CF1E07"/>
    <w:rsid w:val="00D00DCC"/>
    <w:rsid w:val="00DF79DE"/>
    <w:rsid w:val="00E31342"/>
    <w:rsid w:val="00E46E28"/>
    <w:rsid w:val="00E60194"/>
    <w:rsid w:val="00ED1518"/>
    <w:rsid w:val="00F26827"/>
    <w:rsid w:val="00F73447"/>
    <w:rsid w:val="00FD7C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4D25F"/>
  <w15:chartTrackingRefBased/>
  <w15:docId w15:val="{6DE83AE1-CF80-415B-8B70-10D42C63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DAA"/>
    <w:rPr>
      <w:rFonts w:ascii="Arial" w:hAnsi="Arial"/>
      <w:sz w:val="22"/>
    </w:rPr>
  </w:style>
  <w:style w:type="paragraph" w:styleId="Heading1">
    <w:name w:val="heading 1"/>
    <w:basedOn w:val="Normal"/>
    <w:next w:val="Heading2"/>
    <w:qFormat/>
    <w:pPr>
      <w:keepNext/>
      <w:spacing w:before="240"/>
      <w:ind w:hanging="993"/>
      <w:outlineLvl w:val="0"/>
    </w:pPr>
    <w:rPr>
      <w:kern w:val="28"/>
      <w:sz w:val="28"/>
    </w:rPr>
  </w:style>
  <w:style w:type="paragraph" w:styleId="Heading2">
    <w:name w:val="heading 2"/>
    <w:basedOn w:val="Heading1"/>
    <w:next w:val="Normal"/>
    <w:qFormat/>
    <w:pPr>
      <w:outlineLvl w:val="1"/>
    </w:pPr>
  </w:style>
  <w:style w:type="paragraph" w:styleId="Heading3">
    <w:name w:val="heading 3"/>
    <w:basedOn w:val="Heading2"/>
    <w:next w:val="Normal"/>
    <w:qFormat/>
    <w:pPr>
      <w:keepNext w:val="0"/>
      <w:spacing w:before="120" w:after="60"/>
      <w:ind w:hanging="992"/>
      <w:outlineLvl w:val="2"/>
    </w:pPr>
    <w:rPr>
      <w:sz w:val="24"/>
    </w:rPr>
  </w:style>
  <w:style w:type="paragraph" w:styleId="Heading4">
    <w:name w:val="heading 4"/>
    <w:basedOn w:val="Heading3"/>
    <w:next w:val="Normal"/>
    <w:qFormat/>
    <w:pPr>
      <w:outlineLvl w:val="3"/>
    </w:p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ind w:left="4248" w:hanging="708"/>
      <w:outlineLvl w:val="5"/>
    </w:pPr>
    <w:rPr>
      <w:i/>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semiHidden/>
    <w:pPr>
      <w:spacing w:before="480" w:after="240"/>
      <w:ind w:right="454"/>
    </w:pPr>
  </w:style>
  <w:style w:type="paragraph" w:customStyle="1" w:styleId="Anschrift">
    <w:name w:val="Anschrift"/>
    <w:basedOn w:val="Normal"/>
    <w:pPr>
      <w:tabs>
        <w:tab w:val="left" w:pos="3260"/>
        <w:tab w:val="left" w:pos="6379"/>
        <w:tab w:val="left" w:pos="7655"/>
      </w:tabs>
    </w:pPr>
    <w:rPr>
      <w:sz w:val="21"/>
    </w:rPr>
  </w:style>
  <w:style w:type="paragraph" w:customStyle="1" w:styleId="Betreff">
    <w:name w:val="Betreff"/>
    <w:basedOn w:val="Normal"/>
    <w:next w:val="Normal"/>
    <w:pPr>
      <w:spacing w:before="240"/>
      <w:ind w:left="851" w:hanging="851"/>
    </w:pPr>
  </w:style>
  <w:style w:type="paragraph" w:customStyle="1" w:styleId="Brief-Absender">
    <w:name w:val="Brief-Absender"/>
    <w:basedOn w:val="Normal"/>
    <w:pPr>
      <w:tabs>
        <w:tab w:val="right" w:pos="9498"/>
      </w:tabs>
      <w:spacing w:before="1500"/>
    </w:pPr>
    <w:rPr>
      <w:sz w:val="12"/>
    </w:rPr>
  </w:style>
  <w:style w:type="paragraph" w:customStyle="1" w:styleId="Brief-Anstaltdes">
    <w:name w:val="Brief-Anstalt des ..."/>
    <w:basedOn w:val="Normal"/>
    <w:pPr>
      <w:tabs>
        <w:tab w:val="right" w:pos="9498"/>
      </w:tabs>
    </w:pPr>
    <w:rPr>
      <w:b/>
      <w:sz w:val="23"/>
    </w:rPr>
  </w:style>
  <w:style w:type="paragraph" w:customStyle="1" w:styleId="Brief-BERLIN">
    <w:name w:val="Brief-BERLIN"/>
    <w:basedOn w:val="Normal"/>
    <w:pPr>
      <w:tabs>
        <w:tab w:val="right" w:pos="9498"/>
      </w:tabs>
      <w:ind w:left="10" w:firstLine="992"/>
    </w:pPr>
    <w:rPr>
      <w:b/>
      <w:sz w:val="54"/>
    </w:rPr>
  </w:style>
  <w:style w:type="paragraph" w:customStyle="1" w:styleId="Brief-DIBt">
    <w:name w:val="Brief-DIBt"/>
    <w:basedOn w:val="Normal"/>
    <w:pPr>
      <w:tabs>
        <w:tab w:val="right" w:pos="9498"/>
      </w:tabs>
      <w:ind w:right="-247"/>
    </w:pPr>
    <w:rPr>
      <w:b/>
      <w:spacing w:val="6"/>
      <w:sz w:val="36"/>
    </w:rPr>
  </w:style>
  <w:style w:type="paragraph" w:customStyle="1" w:styleId="Brief-Fuzeile">
    <w:name w:val="Brief-Fußzeile"/>
    <w:basedOn w:val="Normal"/>
    <w:pPr>
      <w:tabs>
        <w:tab w:val="left" w:pos="2693"/>
        <w:tab w:val="left" w:pos="4536"/>
        <w:tab w:val="left" w:pos="6095"/>
        <w:tab w:val="left" w:pos="7655"/>
        <w:tab w:val="left" w:pos="8363"/>
      </w:tabs>
    </w:pPr>
    <w:rPr>
      <w:sz w:val="12"/>
    </w:rPr>
  </w:style>
  <w:style w:type="paragraph" w:styleId="Header">
    <w:name w:val="header"/>
    <w:basedOn w:val="Normal"/>
    <w:semiHidden/>
    <w:pPr>
      <w:tabs>
        <w:tab w:val="center" w:pos="4536"/>
        <w:tab w:val="right" w:pos="9072"/>
      </w:tabs>
    </w:pPr>
  </w:style>
  <w:style w:type="paragraph" w:customStyle="1" w:styleId="Brief-Text">
    <w:name w:val="Brief-Text"/>
    <w:basedOn w:val="Normal"/>
    <w:pPr>
      <w:jc w:val="both"/>
    </w:pPr>
    <w:rPr>
      <w:sz w:val="24"/>
    </w:rPr>
  </w:style>
  <w:style w:type="paragraph" w:customStyle="1" w:styleId="Brief-Wegengleitender">
    <w:name w:val="Brief-Wegen gleitender ..."/>
    <w:basedOn w:val="Normal"/>
    <w:pPr>
      <w:tabs>
        <w:tab w:val="left" w:pos="572"/>
        <w:tab w:val="left" w:pos="3260"/>
        <w:tab w:val="left" w:pos="6379"/>
        <w:tab w:val="left" w:pos="7655"/>
      </w:tabs>
    </w:pPr>
    <w:rPr>
      <w:sz w:val="14"/>
    </w:rPr>
  </w:style>
  <w:style w:type="paragraph" w:customStyle="1" w:styleId="DIBt-Kopf">
    <w:name w:val="DIBt-Kopf"/>
    <w:basedOn w:val="Normal"/>
    <w:pPr>
      <w:spacing w:before="120" w:after="100"/>
      <w:ind w:right="1"/>
      <w:jc w:val="center"/>
    </w:pPr>
    <w:rPr>
      <w:spacing w:val="-30"/>
      <w:sz w:val="40"/>
    </w:rPr>
  </w:style>
  <w:style w:type="paragraph" w:styleId="Footer">
    <w:name w:val="footer"/>
    <w:basedOn w:val="Normal"/>
    <w:semiHidden/>
    <w:pPr>
      <w:tabs>
        <w:tab w:val="center" w:pos="4536"/>
        <w:tab w:val="right" w:pos="9072"/>
      </w:tabs>
    </w:pPr>
    <w:rPr>
      <w:sz w:val="24"/>
    </w:rPr>
  </w:style>
  <w:style w:type="paragraph" w:customStyle="1" w:styleId="Geschftszeichenzeile">
    <w:name w:val="Geschäftszeichenzeile"/>
    <w:basedOn w:val="Normal"/>
    <w:pPr>
      <w:tabs>
        <w:tab w:val="left" w:pos="3260"/>
        <w:tab w:val="left" w:pos="5812"/>
        <w:tab w:val="left" w:pos="7655"/>
      </w:tabs>
      <w:spacing w:after="240"/>
    </w:pPr>
    <w:rPr>
      <w:sz w:val="12"/>
    </w:rPr>
  </w:style>
  <w:style w:type="character" w:styleId="PageNumber">
    <w:name w:val="page number"/>
    <w:basedOn w:val="DefaultParagraphFont"/>
    <w:semiHidden/>
  </w:style>
  <w:style w:type="paragraph" w:customStyle="1" w:styleId="Ebene5">
    <w:name w:val="Ebene 5"/>
    <w:basedOn w:val="Heading5"/>
    <w:pPr>
      <w:ind w:left="1418" w:hanging="425"/>
      <w:jc w:val="both"/>
      <w:outlineLvl w:val="9"/>
    </w:pPr>
    <w:rPr>
      <w:sz w:val="24"/>
    </w:rPr>
  </w:style>
  <w:style w:type="paragraph" w:styleId="FootnoteText">
    <w:name w:val="footnote text"/>
    <w:basedOn w:val="Normal"/>
    <w:semiHidden/>
    <w:pPr>
      <w:ind w:left="851" w:hanging="851"/>
      <w:jc w:val="both"/>
    </w:pPr>
    <w:rPr>
      <w:sz w:val="18"/>
    </w:rPr>
  </w:style>
  <w:style w:type="character" w:styleId="FootnoteReference">
    <w:name w:val="footnote reference"/>
    <w:semiHidden/>
    <w:rPr>
      <w:rFonts w:ascii="Arial" w:hAnsi="Arial"/>
      <w:noProof w:val="0"/>
      <w:color w:val="auto"/>
      <w:position w:val="6"/>
      <w:sz w:val="18"/>
      <w:u w:val="none"/>
      <w:vertAlign w:val="baseline"/>
      <w:lang w:val="lv-LV"/>
    </w:rPr>
  </w:style>
  <w:style w:type="paragraph" w:customStyle="1" w:styleId="berschrift">
    <w:name w:val="Überschrift"/>
    <w:basedOn w:val="Heading1"/>
    <w:next w:val="Normal"/>
    <w:pPr>
      <w:spacing w:before="120" w:after="480"/>
      <w:ind w:firstLine="0"/>
      <w:jc w:val="center"/>
      <w:outlineLvl w:val="9"/>
    </w:pPr>
    <w:rPr>
      <w:caps/>
      <w:kern w:val="0"/>
      <w:sz w:val="32"/>
    </w:rPr>
  </w:style>
  <w:style w:type="paragraph" w:customStyle="1" w:styleId="Ebene6">
    <w:name w:val="Ebene 6"/>
    <w:basedOn w:val="Ebene5"/>
    <w:pPr>
      <w:spacing w:line="288" w:lineRule="exact"/>
      <w:ind w:left="1701"/>
    </w:pPr>
  </w:style>
  <w:style w:type="paragraph" w:customStyle="1" w:styleId="Fuzeile-Titel">
    <w:name w:val="Fußzeile-Titel"/>
    <w:basedOn w:val="Normal"/>
    <w:rPr>
      <w:sz w:val="1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Arial" w:hAnsi="Arial"/>
      <w:sz w:val="22"/>
    </w:rPr>
  </w:style>
  <w:style w:type="paragraph" w:styleId="EndnoteText">
    <w:name w:val="endnote text"/>
    <w:basedOn w:val="Normal"/>
    <w:semiHidden/>
    <w:pPr>
      <w:jc w:val="both"/>
    </w:pPr>
    <w:rPr>
      <w:sz w:val="18"/>
    </w:rPr>
  </w:style>
  <w:style w:type="character" w:styleId="EndnoteReference">
    <w:name w:val="endnote reference"/>
    <w:semiHidden/>
    <w:rPr>
      <w:rFonts w:ascii="Arial" w:hAnsi="Arial"/>
      <w:noProof/>
      <w:color w:val="auto"/>
      <w:position w:val="6"/>
      <w:sz w:val="18"/>
      <w:u w:val="none"/>
      <w:vertAlign w:val="baseline"/>
    </w:rPr>
  </w:style>
  <w:style w:type="paragraph" w:customStyle="1" w:styleId="Funotentext1">
    <w:name w:val="Fußnotentext1"/>
    <w:basedOn w:val="Normal"/>
    <w:pPr>
      <w:ind w:left="851" w:hanging="851"/>
      <w:jc w:val="both"/>
    </w:pPr>
    <w:rPr>
      <w:sz w:val="18"/>
    </w:rPr>
  </w:style>
  <w:style w:type="paragraph" w:customStyle="1" w:styleId="Funotentext2">
    <w:name w:val="Fußnotentext2"/>
    <w:basedOn w:val="Normal"/>
    <w:pPr>
      <w:tabs>
        <w:tab w:val="left" w:pos="567"/>
        <w:tab w:val="left" w:pos="851"/>
        <w:tab w:val="left" w:pos="1134"/>
        <w:tab w:val="left" w:pos="1701"/>
        <w:tab w:val="left" w:pos="2835"/>
      </w:tabs>
      <w:ind w:left="851"/>
      <w:jc w:val="both"/>
    </w:pPr>
    <w:rPr>
      <w:sz w:val="18"/>
    </w:rPr>
  </w:style>
  <w:style w:type="paragraph" w:styleId="BalloonText">
    <w:name w:val="Balloon Text"/>
    <w:basedOn w:val="Normal"/>
    <w:link w:val="BalloonTextChar"/>
    <w:uiPriority w:val="99"/>
    <w:semiHidden/>
    <w:unhideWhenUsed/>
    <w:rsid w:val="006110CC"/>
    <w:rPr>
      <w:rFonts w:ascii="Segoe UI" w:hAnsi="Segoe UI" w:cs="Segoe UI"/>
      <w:sz w:val="18"/>
      <w:szCs w:val="18"/>
    </w:rPr>
  </w:style>
  <w:style w:type="character" w:customStyle="1" w:styleId="BalloonTextChar">
    <w:name w:val="Balloon Text Char"/>
    <w:link w:val="BalloonText"/>
    <w:uiPriority w:val="99"/>
    <w:semiHidden/>
    <w:rsid w:val="006110CC"/>
    <w:rPr>
      <w:rFonts w:ascii="Segoe UI" w:hAnsi="Segoe UI" w:cs="Segoe UI"/>
      <w:sz w:val="18"/>
      <w:szCs w:val="18"/>
    </w:rPr>
  </w:style>
  <w:style w:type="character" w:styleId="CommentReference">
    <w:name w:val="annotation reference"/>
    <w:basedOn w:val="DefaultParagraphFont"/>
    <w:uiPriority w:val="99"/>
    <w:semiHidden/>
    <w:unhideWhenUsed/>
    <w:rsid w:val="00F73447"/>
    <w:rPr>
      <w:sz w:val="16"/>
      <w:szCs w:val="16"/>
    </w:rPr>
  </w:style>
  <w:style w:type="paragraph" w:styleId="CommentText">
    <w:name w:val="annotation text"/>
    <w:basedOn w:val="Normal"/>
    <w:link w:val="CommentTextChar"/>
    <w:uiPriority w:val="99"/>
    <w:unhideWhenUsed/>
    <w:rsid w:val="00F73447"/>
    <w:rPr>
      <w:sz w:val="20"/>
    </w:rPr>
  </w:style>
  <w:style w:type="character" w:customStyle="1" w:styleId="CommentTextChar">
    <w:name w:val="Comment Text Char"/>
    <w:basedOn w:val="DefaultParagraphFont"/>
    <w:link w:val="CommentText"/>
    <w:uiPriority w:val="99"/>
    <w:rsid w:val="00F73447"/>
    <w:rPr>
      <w:rFonts w:ascii="Arial" w:hAnsi="Arial"/>
    </w:rPr>
  </w:style>
  <w:style w:type="paragraph" w:styleId="CommentSubject">
    <w:name w:val="annotation subject"/>
    <w:basedOn w:val="CommentText"/>
    <w:next w:val="CommentText"/>
    <w:link w:val="CommentSubjectChar"/>
    <w:uiPriority w:val="99"/>
    <w:semiHidden/>
    <w:unhideWhenUsed/>
    <w:rsid w:val="00F73447"/>
    <w:rPr>
      <w:b/>
      <w:bCs/>
    </w:rPr>
  </w:style>
  <w:style w:type="character" w:customStyle="1" w:styleId="CommentSubjectChar">
    <w:name w:val="Comment Subject Char"/>
    <w:basedOn w:val="CommentTextChar"/>
    <w:link w:val="CommentSubject"/>
    <w:uiPriority w:val="99"/>
    <w:semiHidden/>
    <w:rsid w:val="00F7344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4C11-8870-41CF-88B4-21AFC5BD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793</Words>
  <Characters>5244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32984.01</vt:lpstr>
    </vt:vector>
  </TitlesOfParts>
  <Company>DIBt</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32984.01</dc:title>
  <dc:subject/>
  <dc:creator>Frau Elke Schwarzwald</dc:creator>
  <cp:keywords/>
  <dc:description>Datei gedruckt von esw_x000d_Datei erstellt am: 12.03.2001	16:40:00_x000d_Datei-Besitzer: Frau Elke Schwarzwald (Referat P3)</dc:description>
  <cp:lastModifiedBy>Liana Brili</cp:lastModifiedBy>
  <cp:revision>7</cp:revision>
  <cp:lastPrinted>2023-02-27T10:46:00Z</cp:lastPrinted>
  <dcterms:created xsi:type="dcterms:W3CDTF">2023-03-23T12:27:00Z</dcterms:created>
  <dcterms:modified xsi:type="dcterms:W3CDTF">2023-03-31T10:31:00Z</dcterms:modified>
</cp:coreProperties>
</file>