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F6A" w14:textId="231973C4" w:rsidR="00056AAB" w:rsidRDefault="00104411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jc w:val="center"/>
        <w:textAlignment w:val="baseline"/>
        <w:rPr>
          <w:rFonts w:asciiTheme="minorHAnsi" w:eastAsia="Calibri" w:hAnsiTheme="minorHAnsi"/>
          <w:b/>
          <w:sz w:val="28"/>
        </w:rPr>
      </w:pPr>
      <w:r>
        <w:rPr>
          <w:rFonts w:asciiTheme="minorHAnsi" w:hAnsiTheme="minorHAnsi"/>
          <w:b/>
          <w:color w:val="000000"/>
          <w:sz w:val="28"/>
        </w:rPr>
        <w:t>DIGRIET REĠJU</w:t>
      </w:r>
      <w:r>
        <w:rPr>
          <w:rFonts w:asciiTheme="minorHAnsi" w:hAnsiTheme="minorHAnsi"/>
          <w:b/>
          <w:color w:val="000000"/>
          <w:sz w:val="28"/>
        </w:rPr>
        <w:tab/>
        <w:t>/</w:t>
      </w:r>
      <w:r>
        <w:rPr>
          <w:rFonts w:asciiTheme="minorHAnsi" w:hAnsiTheme="minorHAnsi"/>
          <w:b/>
          <w:color w:val="000000"/>
          <w:sz w:val="28"/>
        </w:rPr>
        <w:tab/>
        <w:t>, ta’</w:t>
      </w:r>
      <w:r>
        <w:rPr>
          <w:rFonts w:asciiTheme="minorHAnsi" w:hAnsiTheme="minorHAnsi"/>
          <w:b/>
          <w:color w:val="000000"/>
          <w:sz w:val="28"/>
        </w:rPr>
        <w:tab/>
        <w:t xml:space="preserve"> li japprova l-Istandard ta’ Kostruzzjoni Reżistenti għat-Terremoti NCSR-</w:t>
      </w:r>
      <w:r>
        <w:rPr>
          <w:rFonts w:asciiTheme="minorHAnsi" w:hAnsiTheme="minorHAnsi"/>
          <w:b/>
          <w:sz w:val="28"/>
        </w:rPr>
        <w:t>23</w:t>
      </w:r>
    </w:p>
    <w:p w14:paraId="227AE49F" w14:textId="77777777" w:rsidR="003667D0" w:rsidRPr="006D4B4B" w:rsidRDefault="003667D0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textAlignment w:val="baseline"/>
        <w:rPr>
          <w:rFonts w:asciiTheme="minorHAnsi" w:eastAsia="Calibri" w:hAnsiTheme="minorHAnsi"/>
          <w:b/>
          <w:sz w:val="28"/>
          <w:lang w:val="es-ES"/>
        </w:rPr>
      </w:pPr>
    </w:p>
    <w:p w14:paraId="418AC172" w14:textId="37EBFE33" w:rsidR="00A44FF2" w:rsidRDefault="00104411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Il-Kumitat Permanenti dwar l-Istandards Reżistenti għat-Terremoti, korp interministerjali kolleġġjali, maħluq bid-Digriet 3209/1974 tat-30 ta’ Awwissu, mehmuż mal-Ministeru tat-Trasport, il-Mobbiltà u l-Aġenda Urbana u fi ħdan id-Direttorat Ġenerali tal-Istitut Ġeografiku Nazzjonali, kif stabbilit fid-Digriet Reġju 645/2020 tas-7 ta’ Lulju li jiżviluppa l-istruttura organizzattiva bażika tal-Ministeru tat-Trasport, il-Mobbiltà u l-Aġenda Urbana, fost il-funzjonijiet tiegħu, huwa fdat bl-aġġornament tar-Regolamenti dwar ir-Reżistenza għat-Terremoti, kif previst fl-Artikolu 2(B) tad-Digriet Reġju 518/1984 tat-22 ta’ Frar, li jorganizza mill-ġdid il-kompożizzjoni tiegħu.</w:t>
      </w:r>
    </w:p>
    <w:p w14:paraId="032C0763" w14:textId="4901726A" w:rsidR="00C25687" w:rsidRDefault="00757E5B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S’issa, ir-regolamenti attwali huma inklużi fl-“Istandard tal-Kostruzzjoni Reżistenti għat-Terremoti: Taqsima Ġenerali u Bini (NCSE-02)” approvati bid-Digriet Reġju 997/2002, tas-27 ta’ Settembru, u fl-“Istandard tal-Kostruzzjoni Reżistenti għat-Terremoti: Pontijiet (NCSP-07)” approvati bid-Digriet Reġju 637/2007, tat-18 ta’ Mejju. Iż-żmien li għadda mill-approvazzjoni tagħhom jeħtieġ li dawn jiġu riveduti u aġġornati, kemm għal raġunijiet tekniċi kif ukoll regolatorji, sabiex ir-regolamenti jiġu adattati għall-istat attwali ta’ għarfien dwar is-sismoloġija u l-inġinerija sismika, kif ukoll għall-qafas regolatorju li fih trid topera.</w:t>
      </w:r>
    </w:p>
    <w:p w14:paraId="00D9E943" w14:textId="08D48EDA" w:rsidR="0008161F" w:rsidRDefault="0008161F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Il-Kumitat Permanenti dwar l-Istandards Reżistenti għat-Terremoti, fl-eżerċizzju tal-funzjonijiet tiegħu, fassal Standard ġdid tal-Bini Reżistenti għat-Terremoti li jissostitwixxi l-istandards imsemmija hawn fuq, li jinkorpora l-aktar aspetti rilevanti tar-regolamenti Ewropej għall-kalkolu tal-istrutturi, skont il-proċeduri stabbiliti fl-Eurocodes Strutturali u li jespandi l-kontenut tagħhom b’tipoloġiji aktar strutturali. L-istandard il-ġdid jistabbilixxi l-kundizzjonijiet tekniċi li għandhom jiġu ssodisfati mill-istrutturi tal-bini u x-xogħlijiet tal-inġinerija ċivili, sabiex l-imġiba tagħhom, meta jiffaċċjaw fenomeni sismiċi, tevita konsegwenzi serji għas-saħħa u s-sikurezza tan-nies, tevita telf ekonomiku u tippromwovi ż-żamma ta’ servizzi bażiċi għas-soċjetà f’każijiet ta’ terremoti b’intensità għolja.</w:t>
      </w:r>
    </w:p>
    <w:p w14:paraId="6F2451EE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Dan id-Digriet Reġju jikkonforma mal-prinċipji ta’ neċessità, effettività, proporzjonalità, ċertezza legali, trasparenza u effiċjenza stabbiliti fl-Artikolu 129 tal-Liġi 39/2015, tal-1 ta’ Ottubru, dwar il-Proċedura Amministrattiva Komuni tal-Amministrazzjonijiet Pubbliċi. </w:t>
      </w:r>
    </w:p>
    <w:p w14:paraId="4A3F3D5F" w14:textId="0682A2D0" w:rsidR="001D206B" w:rsidRDefault="007F2FE2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Dan jikkonforma mal-prinċipji tan-neċessità u l-effettività, peress li l-applikazzjoni tal-Istandard il-ġdid Reżistenti għat-Terremoti jirrappreżenta, fir-rigward tar-regolamenti preċedenti, avvanz fl-għarfien u d-determinazzjoni tal-attività sismika kif ukoll kjarifika fl-użu tal-kunċetti u r-rekwiżiti tar-reżistenza għat-terremoti u d-duttilità li jridu jkunu meħtieġa mill-istrutturi f’żoni sismiċi. Il-proġett ma jgħawwiġx il-kompetizzjoni fis-suq, iżda jiffavorixxi l-kompetizzjoni billi jirregola aspetti mhux koperti mir-regolamenti attwali. Huwa wkoll konformi mal-prinċipju ta’ proporzjonalità, peress li l-istandard fih ir-regoli meħtieġa biex tiġi sodisfatta l-ħtieġa deskritta hawn fuq, mingħajr ma jkun hemm miżuri oħra li huma inqas restrittivi għad-drittijiet jew li jimponu inqas obbligi fuq id-destinatarji, u mal-prinċipju ta’ ċertezza legali minħabba l-integrazzjoni tagħhom fl-ordni legali, b’konsistenza sħiħa mar-regolamenti nazzjonali u Ewropej fis-seħħ. Il-prinċipju tat-trasparenza huwa garantit, peress li l-proċeduri ta’ informazzjoni kollha indikati fil-Liġi 50/1997 tal-Gvern tas-27 ta’ Novembru ġew rispettati, u dan ġie ppubblikat fuq il-portal ta’ trasparenza tal-Gvern Spanjol. Fl-aħħar nett, fl-applikazzjoni tal-prinċipju tal-effiċjenza, dan l-istandard ma jinvolvix żieda fil-piżijiet amministrattivi addizzjonali jew żieda fin-nefqa pubblika.</w:t>
      </w:r>
    </w:p>
    <w:p w14:paraId="53F4DA01" w14:textId="712176A3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 xml:space="preserve">Dan id-Digriet Reġju jinħareġ skont id-dispożizzjonijiet </w:t>
      </w:r>
      <w:r>
        <w:rPr>
          <w:rFonts w:asciiTheme="minorHAnsi" w:hAnsiTheme="minorHAnsi"/>
        </w:rPr>
        <w:t xml:space="preserve">fl-Artikolu 149.1.13a tal-Kostituzzjoni Spanjola, </w:t>
      </w:r>
      <w:r>
        <w:rPr>
          <w:rFonts w:asciiTheme="minorHAnsi" w:hAnsiTheme="minorHAnsi"/>
          <w:color w:val="000000" w:themeColor="text1"/>
        </w:rPr>
        <w:t>li jattribwixxi l-kompetenza tal-Istat fi kwistjonijiet ta’ bażijiet u koordinazzjoni tal-ippjanar ġenerali tal-attività ekonomika.</w:t>
      </w:r>
    </w:p>
    <w:p w14:paraId="343DD835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Il-proċess ta’ abbozzar ta’ dan id-Digriet Reġju temm il-proċedura stabbilita fil-Liġi 50/1997 tas-27 ta’ Novembru tal-Gvern, u fid-Direttiva (UE) 2015/1535 tal-Parlament Ewropew u tal-Kunsill tad-9 ta’ Settembru li tistabbilixxi proċedura għall-għoti ta’ informazzjoni fil-qasam tar-regolamenti tekniċi u tar-regoli dwar is-servizzi tas-Soċjetà tal-Informazzjoni, kif ukoll fid-Digriet Reġju 1337/1999 tal-31 ta’ Lulju, li jirregola l-għoti ta’ informazzjoni fil-qasam tar-regoli u r-regolamenti tekniċi relatati mas-servizzi tas-soċjetà tal-informazzjoni. </w:t>
      </w:r>
    </w:p>
    <w:p w14:paraId="288E1E12" w14:textId="6459E5E4" w:rsid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Dan id-Digriet Reġju huwa adottat fuq l-inizjattiva tal-Kumitat Permanenti dwar Standards Reżistenti għat-Terremoti.</w:t>
      </w:r>
    </w:p>
    <w:p w14:paraId="42144605" w14:textId="312B0DF6" w:rsidR="00056AAB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 w:themeColor="text1"/>
        </w:rPr>
        <w:t xml:space="preserve">Permezz ta’ dan, fuq proposta tal-Ministru għat-Trasport, il-Mobbiltà u l-Aġenda Urbana </w:t>
      </w:r>
      <w:r>
        <w:rPr>
          <w:rFonts w:asciiTheme="minorHAnsi" w:hAnsiTheme="minorHAnsi"/>
          <w:color w:val="000000"/>
        </w:rPr>
        <w:t>u wara deliberazzjoni fil-Kunsill tal-Ministri fil-jum...</w:t>
      </w:r>
    </w:p>
    <w:p w14:paraId="01FC4263" w14:textId="77777777" w:rsidR="004459F4" w:rsidRPr="003B404C" w:rsidRDefault="004459F4" w:rsidP="004459F4">
      <w:pPr>
        <w:suppressAutoHyphens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</w:p>
    <w:p w14:paraId="1ECEFAB2" w14:textId="77777777" w:rsidR="00056AAB" w:rsidRPr="006D4B4B" w:rsidRDefault="00104411" w:rsidP="00AD035F">
      <w:pPr>
        <w:spacing w:after="240" w:line="276" w:lineRule="auto"/>
        <w:jc w:val="center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HAWNHEKK NIDDIGRIETA</w:t>
      </w:r>
    </w:p>
    <w:p w14:paraId="05744015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Artikolu 1. Għan</w:t>
      </w:r>
    </w:p>
    <w:p w14:paraId="721FFEF1" w14:textId="46A6063B" w:rsidR="0046432E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L-Istandard tal-Kostruzzjoni Reżistenti għat-Terremoti, NCSR-23, huwa approvat, li jistabbilixxi l-kunċetti u r-rekwiżiti essenzjali li għandhom jiġu ssodisfati mill-istrutturi li jinsabu f’żoni sismiċi, fi Spanja, minbarra l-konformità mal-bqija tar-regolamenti speċifiċi fis-seħħ fir-rigward tal-istrutturi. </w:t>
      </w:r>
    </w:p>
    <w:p w14:paraId="78734A0A" w14:textId="7654B8F0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L-istrutturi u l-kostruzzjonijiet li jistgħu jkunu soġġetti għall-attività ta’ terremoti għandhom jiġu pproġettati, eżegwiti u dokumentati b’kunsiderazzjoni tal-azzjoni sismika skont id-dispożizzjonijiet tas-sitt Annessi li jikkostitwixxu dan l-Istandard Reżistenti għat-Terremoti u li huma:</w:t>
      </w:r>
    </w:p>
    <w:p w14:paraId="79EC5159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1: Regoli ġenerali, attivitajiet sismiċi u regoli tal-bini.</w:t>
      </w:r>
    </w:p>
    <w:p w14:paraId="79F9BCF0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2: Pontijiet.</w:t>
      </w:r>
    </w:p>
    <w:p w14:paraId="7CD23BE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3: Valutazzjoni u adattament sismiku tal-bini.</w:t>
      </w:r>
    </w:p>
    <w:p w14:paraId="2850B202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4: Sajlos, tankijiet u pajpijiet.</w:t>
      </w:r>
    </w:p>
    <w:p w14:paraId="3AC9CD4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5: Pedamenti, strutturi ta’ konteniment u aspetti ġeotekniċi.</w:t>
      </w:r>
    </w:p>
    <w:p w14:paraId="6AD4A209" w14:textId="1CF81FB4" w:rsid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Anness 6: Torrijiet, arbli u ċmieni.</w:t>
      </w:r>
    </w:p>
    <w:p w14:paraId="75E4EE37" w14:textId="77777777" w:rsidR="00870C22" w:rsidRPr="003B404C" w:rsidRDefault="00870C22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7A592887" w14:textId="3BD133CC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Alternattivament, l-awtur tal-proġett u l-ġestjoni fakultattiva jistgħu, fl-użu tas-setgħat tagħhom, taħt ir-responsabbiltà tagħhom u bi qbil minn qabel tal-proprjetà, jadottaw soluzzjonijiet oħra li parzjalment jew totalment jitbiegħdu mill-proċeduri msemmija fl-annessi preċedenti (permezz ta’ sistemi ta’ kalkolu differenti, arranġamenti kostruttivi, eċċ.), sakemm ikun dokumentat li l-istruttura tikkonforma mar-rekwiżiti ta’ dan l-Istandard Reżistenti għat-Terremoti, li jikseb mill-inqas servizzi ekwivalenti għal dawk li jinkisbu mill-applikazzjoni tal-proċeduri ta’ dan l-Istandard.</w:t>
      </w:r>
    </w:p>
    <w:p w14:paraId="23196ECE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Artikolu 2. Kamp ta’ applikazzjoni</w:t>
      </w:r>
    </w:p>
    <w:p w14:paraId="1B40A98A" w14:textId="0DDD90E1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 xml:space="preserve">Ir-rekwiżiti għal kontenut reżistenti għat-terremoti ta’ dan l-Istandard japplikaw għall-proġetti u x-xogħlijiet ta’ kostruzzjoni kollha ta’ bini ġdid, pontijiet, torrijiet, arbli, ċmieni, sajlos, tankijiet, pajpijiet, strutturi ta’ konteniment u l-pedamenti tagħhom, kif ukoll għall-proġett ġeotekniku. </w:t>
      </w:r>
    </w:p>
    <w:p w14:paraId="7968B2C8" w14:textId="3FBBAE08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Bl-istess mod, dan l-Istandard japplika għall-evalwazzjoni sismika tal-bini eżistenti, kif ukoll, fejn xieraq, għall-adattament sismiku tiegħu, f’każijiet fejn jitwettqu xogħlijiet ta’ rinnovazzjoni jew xogħol ta’ restawr strutturali ta’ gravità suffiċjenti jew meta tali valutazzjoni jew adattament ikun meħtieġ. Għall-finijiet ta’ dan l-Istandard Reżistenti għat-Terremoti, l-adattament sismiku jkopri kemm it-tisħiħ ta’ strutturi mhux danneġġati kif ukoll it-tisħiħ ta’ strutturi li saritilhom ħsara b’terremot.</w:t>
      </w:r>
    </w:p>
    <w:p w14:paraId="3286098A" w14:textId="1B39F053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Il-kundizzjonijiet li jistgħu jeħtieġu l-valutazzjoni sismika ta’ binjiet individwali – li possibbilment iwasslu għal adegwatezza sismika – ma jaqgħux taħt is-suġġett u l-kamp ta’ applikazzjoni ta’ dan l-Istandard.</w:t>
      </w:r>
    </w:p>
    <w:p w14:paraId="2602E605" w14:textId="25143B7E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Kif xieraq, dan l-Istandard Reżistenti għat-Terremoti jista’ jiġi applikat ukoll flimkien ma’ tipi strutturali oħra mhux espliċitament inklużi fil-kamp ta’ applikazzjoni tiegħu, fejn ma jeżistux għall-istess regoli jew dispożizzjonijiet speċifiċi, u sakemm ma jkunux espressament esklużi mill-kamp ta’ applikazzjoni tiegħu.</w:t>
      </w:r>
    </w:p>
    <w:p w14:paraId="163A6949" w14:textId="735DB3B4" w:rsidR="00671CE6" w:rsidRPr="00D35EA2" w:rsidRDefault="00671CE6" w:rsidP="00AD035F">
      <w:pPr>
        <w:pStyle w:val="parrafo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Dispożizzjoni tranżitorja unika. Applikazzjoni għal disinji u xogħlijiet.</w:t>
      </w:r>
    </w:p>
    <w:p w14:paraId="7E1DEF06" w14:textId="77777777" w:rsidR="006D4B4B" w:rsidRPr="00870C22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Id-dispożizzjonijiet ta’ dan id-Digriet Reġju ma għandhomx japplikaw għax-xogħlijiet ċivili għal proġetti li l-ordni ta’ abbozzar jew ta’ studju tagħhom, fil-qasam tal-amministrazzjonijiet pubbliċi, jew il-kummissjoni, f’każijiet oħra, tkun twettqet qabel id-dħul fis-seħħ ta’ dan id-Digriet Reġju, kif ukoll għal xogħlijiet imwettqa fl-iżvilupp tagħhom, sakemm dawn jinbdew f’perjodu li ma jaqbiżx sentejn minn dak id-dħul fis-seħħ, sakemm l-amministrazzjoni pubblika kompetenti, jew, jekk ikun il-każ, il-promotur, ma jaqblux li dan huwa obbligatorju. </w:t>
      </w:r>
    </w:p>
    <w:p w14:paraId="7A84DDAE" w14:textId="781A6671" w:rsidR="00870C22" w:rsidRPr="006D4B4B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 xml:space="preserve">Id-dispożizzjonijiet ta’ dan id-Digriet Reġju ma għandhomx ikunu applikabbli fil-qasam tal-bini fi proġetti li talbu liċenzja għax-xogħlijiet muniċipali, jew jitolbuh fi żmien disa’ xhur minn meta jidħol fis-seħħ dan id-Digriet Reġju, f’dan il-każ bid-Digriet Reġju 997/2002, tas-27 ta’ Settembru, li japprova l-Istandard tal-Kostruzzjoni Reżistenti għat-Terremoti, li huwa applikabbli: Sezzjoni Ġenerali u Bini (NCSE-02). Dawn ix-xogħlijiet għandhom jibdew fil-perjodu massimu ta’ effettività tal-liċenzja msemmija, skont ir-regolamenti regolatorji tagħha, u, fin-nuqqas ta’ dan, f’perjodu li ma jaqbiżx is-sitt xhur mid-data tal-għoti tal-liċenzja msemmija. Inkella, il-proġetti jridu jiġu adattati għad-dispożizzjonijiet ta’ dan id-Digriet Reġju. </w:t>
      </w:r>
    </w:p>
    <w:p w14:paraId="620031EA" w14:textId="77777777" w:rsidR="008A1694" w:rsidRPr="00D35EA2" w:rsidRDefault="008A169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Dispożizzjoni derogatorja unika. Revoka ta’ regolamenti</w:t>
      </w:r>
    </w:p>
    <w:p w14:paraId="3C87D465" w14:textId="41A1036B" w:rsidR="002B1514" w:rsidRPr="00870C22" w:rsidRDefault="002B1514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Mid-dħul fis-seħħ ta’ dan id-Digriet Reġju, id-Digriet Reġju 997/2002 tas-27 ta’ Settembru, li japprova l-Istandard ta’ Kostruzzjoni Reżistenti għat-Terremoti, jitħassar: Sezzjoni Ġenerali u Bini (NCSE-02), u d-Digriet Irjali 637/2007, tat-18 ta’ Mejju, li japprova l-Istandard tal-Bini Reżistenti għat-Terremoti: Pontijiet (NCSP-07).</w:t>
      </w:r>
    </w:p>
    <w:p w14:paraId="41EC003B" w14:textId="24B0084C" w:rsidR="00EC6A57" w:rsidRPr="00D35EA2" w:rsidRDefault="00EC6A57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L-ewwel dispożizzjoni finali. Attribuzzjoni tas-setgħat</w:t>
      </w:r>
    </w:p>
    <w:p w14:paraId="15D1B399" w14:textId="52F39719" w:rsidR="00EC6A57" w:rsidRPr="00870C22" w:rsidRDefault="00EC6A57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Dan id-Digriet Reġju huwa ta’ natura bażika, u maħruġ skont id-dispożizzjonijiet tal-Artikolu 149.1.13a tal-Kostituzzjoni Spanjola, li jagħti lill-Istat kompetenza esklużiva fuq il-bażi u l-koordinazzjoni tal-ippjanar ġenerali tal-attività ekonomika. </w:t>
      </w:r>
    </w:p>
    <w:p w14:paraId="28E3B818" w14:textId="77777777" w:rsidR="00671CE6" w:rsidRPr="00AD035F" w:rsidRDefault="002B151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 xml:space="preserve">It-tieni dispożizzjoni finali. </w:t>
      </w:r>
      <w:r>
        <w:rPr>
          <w:rFonts w:asciiTheme="minorHAnsi" w:hAnsiTheme="minorHAnsi"/>
          <w:b/>
          <w:color w:val="333333"/>
        </w:rPr>
        <w:t>Awtorità ta’ implimentazzjoni</w:t>
      </w:r>
    </w:p>
    <w:p w14:paraId="431A3D72" w14:textId="7CF39534" w:rsidR="00671CE6" w:rsidRPr="00870C22" w:rsidRDefault="00671CE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Id-detentur tal-Ministeru tat-Trasport, il-Mobbiltà u l-Aġenda Urbana għandu s-setgħa li joħroġ id-dispożizzjonijiet meħtieġa għall-iżvilupp u l-applikazzjoni tad-dispożizzjonijiet ta’ dan id-Digriet Reġju.</w:t>
      </w:r>
    </w:p>
    <w:p w14:paraId="3568A83D" w14:textId="72D1D66B" w:rsidR="00391221" w:rsidRDefault="00391221" w:rsidP="00391221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It-tielet dispożizzjoni finali. Awtorizzazzjoni għall-aġġornament tal-Appendiċijiet E, F u G tal-Anness 1 tal-Istandard tal-Bini Reżistenti għat-Terremoti.</w:t>
      </w:r>
    </w:p>
    <w:p w14:paraId="272F5E7E" w14:textId="319390A4" w:rsidR="00391221" w:rsidRPr="00870C22" w:rsidRDefault="0039122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Id-detentur tal-Ministeru tat-Trasport, il-Mobbiltà u l-Aġenda Urbana huwa awtorizzat jaġġorna l-mappa ta’ periklu definita fl-Appendiċi E u F tal-Anness 1 u l-lista ta’ standards imsemmija fl-Appendiċi G tal-Anness 1, fejn tali aġġornamenti huma maħsuba biex iġibu dak il-kontenut konformi mal-progress tat-teknika jew mal-leġiżlazzjoni Komunitarja.</w:t>
      </w:r>
    </w:p>
    <w:p w14:paraId="60B41840" w14:textId="722D0A77" w:rsidR="002B1514" w:rsidRPr="00112D02" w:rsidRDefault="00671CE6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lang w:val="el-GR"/>
        </w:rPr>
      </w:pPr>
      <w:r>
        <w:rPr>
          <w:rFonts w:asciiTheme="minorHAnsi" w:hAnsiTheme="minorHAnsi"/>
          <w:b/>
          <w:color w:val="000000"/>
        </w:rPr>
        <w:t>Ir-raba’ dispożizzjoni finali. Dħul fis-seħħ</w:t>
      </w:r>
    </w:p>
    <w:p w14:paraId="78134748" w14:textId="2A989F6A" w:rsidR="00066186" w:rsidRPr="00442480" w:rsidRDefault="0006618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Dan id-Digriet Reġju għandu jidħol fis-seħħ fl-</w:t>
      </w:r>
      <w:r>
        <w:rPr>
          <w:rFonts w:asciiTheme="minorHAnsi" w:hAnsiTheme="minorHAnsi"/>
          <w:color w:val="000000"/>
          <w:highlight w:val="yellow"/>
        </w:rPr>
        <w:t>1 ta’ Lulju 2023.</w:t>
      </w:r>
    </w:p>
    <w:p w14:paraId="16A294E9" w14:textId="77777777" w:rsidR="00056AAB" w:rsidRPr="003B404C" w:rsidRDefault="00056AAB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sectPr w:rsidR="00056AAB" w:rsidRPr="003B404C" w:rsidSect="00AD035F">
      <w:pgSz w:w="11904" w:h="16843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4E5C"/>
    <w:multiLevelType w:val="hybridMultilevel"/>
    <w:tmpl w:val="8282418A"/>
    <w:lvl w:ilvl="0" w:tplc="9EE2D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081E"/>
    <w:multiLevelType w:val="hybridMultilevel"/>
    <w:tmpl w:val="A1AA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64CB"/>
    <w:multiLevelType w:val="hybridMultilevel"/>
    <w:tmpl w:val="648E0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3DD5"/>
    <w:multiLevelType w:val="hybridMultilevel"/>
    <w:tmpl w:val="7E6A3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6DA7"/>
    <w:multiLevelType w:val="hybridMultilevel"/>
    <w:tmpl w:val="5952024C"/>
    <w:lvl w:ilvl="0" w:tplc="8BDE2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4DB"/>
    <w:multiLevelType w:val="hybridMultilevel"/>
    <w:tmpl w:val="38A4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3A6A"/>
    <w:multiLevelType w:val="hybridMultilevel"/>
    <w:tmpl w:val="68D897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FEF88C">
      <w:numFmt w:val="bullet"/>
      <w:lvlText w:val="−"/>
      <w:lvlJc w:val="left"/>
      <w:pPr>
        <w:ind w:left="1800" w:hanging="360"/>
      </w:pPr>
      <w:rPr>
        <w:rFonts w:ascii="Symbol" w:eastAsia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BE5E98"/>
    <w:multiLevelType w:val="multilevel"/>
    <w:tmpl w:val="6BF032C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2145648">
    <w:abstractNumId w:val="7"/>
  </w:num>
  <w:num w:numId="2" w16cid:durableId="122771378">
    <w:abstractNumId w:val="6"/>
  </w:num>
  <w:num w:numId="3" w16cid:durableId="851191015">
    <w:abstractNumId w:val="1"/>
  </w:num>
  <w:num w:numId="4" w16cid:durableId="1200095656">
    <w:abstractNumId w:val="5"/>
  </w:num>
  <w:num w:numId="5" w16cid:durableId="781075475">
    <w:abstractNumId w:val="3"/>
  </w:num>
  <w:num w:numId="6" w16cid:durableId="1567036530">
    <w:abstractNumId w:val="2"/>
  </w:num>
  <w:num w:numId="7" w16cid:durableId="153647272">
    <w:abstractNumId w:val="0"/>
  </w:num>
  <w:num w:numId="8" w16cid:durableId="64239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AB"/>
    <w:rsid w:val="00002183"/>
    <w:rsid w:val="0003132D"/>
    <w:rsid w:val="0003636B"/>
    <w:rsid w:val="00056AAB"/>
    <w:rsid w:val="00062865"/>
    <w:rsid w:val="00066186"/>
    <w:rsid w:val="0008161F"/>
    <w:rsid w:val="000E2974"/>
    <w:rsid w:val="00104411"/>
    <w:rsid w:val="00112D02"/>
    <w:rsid w:val="00130D08"/>
    <w:rsid w:val="00136068"/>
    <w:rsid w:val="0013710F"/>
    <w:rsid w:val="00152A30"/>
    <w:rsid w:val="001C12F0"/>
    <w:rsid w:val="001C2399"/>
    <w:rsid w:val="001D206B"/>
    <w:rsid w:val="001F1C94"/>
    <w:rsid w:val="00210209"/>
    <w:rsid w:val="002A3B32"/>
    <w:rsid w:val="002B1514"/>
    <w:rsid w:val="002C6DA3"/>
    <w:rsid w:val="002D0987"/>
    <w:rsid w:val="002D2E92"/>
    <w:rsid w:val="002E7538"/>
    <w:rsid w:val="0030003E"/>
    <w:rsid w:val="00342738"/>
    <w:rsid w:val="00365BA2"/>
    <w:rsid w:val="003667D0"/>
    <w:rsid w:val="00370C83"/>
    <w:rsid w:val="00391221"/>
    <w:rsid w:val="003B404C"/>
    <w:rsid w:val="003D354D"/>
    <w:rsid w:val="003F52BD"/>
    <w:rsid w:val="00401E8F"/>
    <w:rsid w:val="00434546"/>
    <w:rsid w:val="00442480"/>
    <w:rsid w:val="004459F4"/>
    <w:rsid w:val="00455175"/>
    <w:rsid w:val="0046432E"/>
    <w:rsid w:val="004B0B49"/>
    <w:rsid w:val="004B543F"/>
    <w:rsid w:val="004B66B6"/>
    <w:rsid w:val="004C145B"/>
    <w:rsid w:val="004C422D"/>
    <w:rsid w:val="004D7B7B"/>
    <w:rsid w:val="004E3665"/>
    <w:rsid w:val="004F7A2A"/>
    <w:rsid w:val="004F7A3E"/>
    <w:rsid w:val="00503AEE"/>
    <w:rsid w:val="00516EB0"/>
    <w:rsid w:val="00520FBD"/>
    <w:rsid w:val="0056199D"/>
    <w:rsid w:val="00561DF5"/>
    <w:rsid w:val="005941F1"/>
    <w:rsid w:val="005B5A4A"/>
    <w:rsid w:val="006258F9"/>
    <w:rsid w:val="00627472"/>
    <w:rsid w:val="00635ED0"/>
    <w:rsid w:val="0066229B"/>
    <w:rsid w:val="00671CE6"/>
    <w:rsid w:val="00684B40"/>
    <w:rsid w:val="006D4B4B"/>
    <w:rsid w:val="006F452F"/>
    <w:rsid w:val="00751B2B"/>
    <w:rsid w:val="00757E5B"/>
    <w:rsid w:val="007759A4"/>
    <w:rsid w:val="007779ED"/>
    <w:rsid w:val="007C0BC6"/>
    <w:rsid w:val="007C1533"/>
    <w:rsid w:val="007D1EA2"/>
    <w:rsid w:val="007D4EDB"/>
    <w:rsid w:val="007E79FC"/>
    <w:rsid w:val="007F2FE2"/>
    <w:rsid w:val="00812799"/>
    <w:rsid w:val="00816242"/>
    <w:rsid w:val="0085711C"/>
    <w:rsid w:val="00870C22"/>
    <w:rsid w:val="0087216F"/>
    <w:rsid w:val="00875897"/>
    <w:rsid w:val="00875F75"/>
    <w:rsid w:val="008A1694"/>
    <w:rsid w:val="008A5EAC"/>
    <w:rsid w:val="008F3B9A"/>
    <w:rsid w:val="008F448A"/>
    <w:rsid w:val="0090284B"/>
    <w:rsid w:val="0092197D"/>
    <w:rsid w:val="00941C30"/>
    <w:rsid w:val="00961FB7"/>
    <w:rsid w:val="009653F0"/>
    <w:rsid w:val="0099627E"/>
    <w:rsid w:val="009A14BF"/>
    <w:rsid w:val="009C173C"/>
    <w:rsid w:val="00A03734"/>
    <w:rsid w:val="00A11575"/>
    <w:rsid w:val="00A23F54"/>
    <w:rsid w:val="00A4123A"/>
    <w:rsid w:val="00A44FF2"/>
    <w:rsid w:val="00A623A2"/>
    <w:rsid w:val="00A65116"/>
    <w:rsid w:val="00A8506E"/>
    <w:rsid w:val="00A86943"/>
    <w:rsid w:val="00A953ED"/>
    <w:rsid w:val="00AA0AA7"/>
    <w:rsid w:val="00AB2735"/>
    <w:rsid w:val="00AB4370"/>
    <w:rsid w:val="00AC62C6"/>
    <w:rsid w:val="00AD035F"/>
    <w:rsid w:val="00AD4F83"/>
    <w:rsid w:val="00AE18FE"/>
    <w:rsid w:val="00AE64D3"/>
    <w:rsid w:val="00B06375"/>
    <w:rsid w:val="00B15BD6"/>
    <w:rsid w:val="00B66C50"/>
    <w:rsid w:val="00B8158C"/>
    <w:rsid w:val="00B85F2E"/>
    <w:rsid w:val="00BC4DEC"/>
    <w:rsid w:val="00BF08C0"/>
    <w:rsid w:val="00C24625"/>
    <w:rsid w:val="00C25687"/>
    <w:rsid w:val="00C42C4C"/>
    <w:rsid w:val="00C56500"/>
    <w:rsid w:val="00C56E96"/>
    <w:rsid w:val="00C67310"/>
    <w:rsid w:val="00C67639"/>
    <w:rsid w:val="00C726AF"/>
    <w:rsid w:val="00C8179D"/>
    <w:rsid w:val="00CF1EDD"/>
    <w:rsid w:val="00D047F0"/>
    <w:rsid w:val="00D05ABE"/>
    <w:rsid w:val="00D06621"/>
    <w:rsid w:val="00D13113"/>
    <w:rsid w:val="00D32AC2"/>
    <w:rsid w:val="00D35EA2"/>
    <w:rsid w:val="00D3777E"/>
    <w:rsid w:val="00D42767"/>
    <w:rsid w:val="00D67613"/>
    <w:rsid w:val="00D85648"/>
    <w:rsid w:val="00DC7ED2"/>
    <w:rsid w:val="00DD25A7"/>
    <w:rsid w:val="00DF0C32"/>
    <w:rsid w:val="00E2216E"/>
    <w:rsid w:val="00E4356E"/>
    <w:rsid w:val="00E44A93"/>
    <w:rsid w:val="00E65D34"/>
    <w:rsid w:val="00E72C90"/>
    <w:rsid w:val="00E920E0"/>
    <w:rsid w:val="00EC6A57"/>
    <w:rsid w:val="00EE3876"/>
    <w:rsid w:val="00EE3B24"/>
    <w:rsid w:val="00EF3F4C"/>
    <w:rsid w:val="00F03832"/>
    <w:rsid w:val="00F04B63"/>
    <w:rsid w:val="00F82079"/>
    <w:rsid w:val="00F95923"/>
    <w:rsid w:val="00FC7390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22A2"/>
  <w15:docId w15:val="{5A6698CD-469E-4174-8D24-404E854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mt-M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2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671CE6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5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8A3F-B80B-403D-ADAD-BBAEBBA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Groba López Mónica</dc:creator>
  <cp:lastModifiedBy>Anastasia Stavroulaki</cp:lastModifiedBy>
  <cp:revision>21</cp:revision>
  <cp:lastPrinted>2021-08-26T09:18:00Z</cp:lastPrinted>
  <dcterms:created xsi:type="dcterms:W3CDTF">2022-09-20T11:25:00Z</dcterms:created>
  <dcterms:modified xsi:type="dcterms:W3CDTF">2023-03-31T13:14:00Z</dcterms:modified>
</cp:coreProperties>
</file>