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374"/>
        <w:gridCol w:w="871"/>
        <w:gridCol w:w="1341"/>
      </w:tblGrid>
      <w:tr w:rsidR="005C2641" w:rsidRPr="00C32FE3" w14:paraId="06BA75C1" w14:textId="77777777" w:rsidTr="00EC789A">
        <w:trPr>
          <w:cantSplit/>
          <w:trHeight w:val="271"/>
        </w:trPr>
        <w:tc>
          <w:tcPr>
            <w:tcW w:w="3586" w:type="dxa"/>
            <w:gridSpan w:val="3"/>
          </w:tcPr>
          <w:p w14:paraId="0380FEC5" w14:textId="77777777" w:rsidR="005C2641" w:rsidRPr="00C32FE3" w:rsidRDefault="005C2641" w:rsidP="00C13834">
            <w:pPr>
              <w:pStyle w:val="SNREPUBLIQUE"/>
            </w:pPr>
            <w:r>
              <w:t>FRANCOSKA REPUBLIKA</w:t>
            </w:r>
          </w:p>
        </w:tc>
      </w:tr>
      <w:tr w:rsidR="005C2641" w:rsidRPr="00C32FE3" w14:paraId="60AB21EC" w14:textId="77777777" w:rsidTr="00EC789A">
        <w:trPr>
          <w:cantSplit/>
          <w:trHeight w:hRule="exact" w:val="107"/>
        </w:trPr>
        <w:tc>
          <w:tcPr>
            <w:tcW w:w="1374" w:type="dxa"/>
          </w:tcPr>
          <w:p w14:paraId="3A442AB4" w14:textId="77777777" w:rsidR="005C2641" w:rsidRPr="00C32FE3" w:rsidRDefault="005C2641" w:rsidP="00C13834"/>
        </w:tc>
        <w:tc>
          <w:tcPr>
            <w:tcW w:w="871" w:type="dxa"/>
            <w:tcBorders>
              <w:bottom w:val="single" w:sz="1" w:space="0" w:color="000000"/>
            </w:tcBorders>
          </w:tcPr>
          <w:p w14:paraId="64272111" w14:textId="77777777" w:rsidR="005C2641" w:rsidRPr="00C32FE3" w:rsidRDefault="005C2641" w:rsidP="00C13834"/>
        </w:tc>
        <w:tc>
          <w:tcPr>
            <w:tcW w:w="1339" w:type="dxa"/>
          </w:tcPr>
          <w:p w14:paraId="4C2C75AC" w14:textId="77777777" w:rsidR="005C2641" w:rsidRPr="00C32FE3" w:rsidRDefault="005C2641" w:rsidP="00C13834"/>
        </w:tc>
      </w:tr>
      <w:tr w:rsidR="005C2641" w:rsidRPr="00C32FE3" w14:paraId="61593BD7" w14:textId="77777777" w:rsidTr="00EC789A">
        <w:trPr>
          <w:cantSplit/>
          <w:trHeight w:val="764"/>
        </w:trPr>
        <w:tc>
          <w:tcPr>
            <w:tcW w:w="3586" w:type="dxa"/>
            <w:gridSpan w:val="3"/>
          </w:tcPr>
          <w:p w14:paraId="20413DCB" w14:textId="77777777" w:rsidR="005C2641" w:rsidRDefault="005C2641" w:rsidP="00C13834">
            <w:pPr>
              <w:pStyle w:val="SNTimbre"/>
            </w:pPr>
            <w:r>
              <w:t>Oddelek za ekološki prehod</w:t>
            </w:r>
          </w:p>
          <w:p w14:paraId="01EC4D2C" w14:textId="77777777" w:rsidR="005C2641" w:rsidRPr="00C32FE3" w:rsidRDefault="005C2641" w:rsidP="00C13834">
            <w:pPr>
              <w:pStyle w:val="SNTimbre"/>
            </w:pPr>
            <w:r>
              <w:t>Stanovanja</w:t>
            </w:r>
          </w:p>
        </w:tc>
      </w:tr>
      <w:tr w:rsidR="005C2641" w:rsidRPr="00C32FE3" w14:paraId="22B0EA09" w14:textId="77777777" w:rsidTr="00EC789A">
        <w:trPr>
          <w:cantSplit/>
          <w:trHeight w:hRule="exact" w:val="215"/>
        </w:trPr>
        <w:tc>
          <w:tcPr>
            <w:tcW w:w="1374" w:type="dxa"/>
          </w:tcPr>
          <w:p w14:paraId="3759A36A" w14:textId="77777777" w:rsidR="005C2641" w:rsidRPr="00C32FE3" w:rsidRDefault="005C2641" w:rsidP="00C13834"/>
        </w:tc>
        <w:tc>
          <w:tcPr>
            <w:tcW w:w="871" w:type="dxa"/>
            <w:tcBorders>
              <w:bottom w:val="single" w:sz="1" w:space="0" w:color="000000"/>
            </w:tcBorders>
          </w:tcPr>
          <w:p w14:paraId="04DEF11A" w14:textId="77777777" w:rsidR="005C2641" w:rsidRPr="00C32FE3" w:rsidRDefault="005C2641" w:rsidP="00C13834"/>
        </w:tc>
        <w:tc>
          <w:tcPr>
            <w:tcW w:w="1339" w:type="dxa"/>
          </w:tcPr>
          <w:p w14:paraId="77D432E1" w14:textId="77777777" w:rsidR="005C2641" w:rsidRPr="00C32FE3" w:rsidRDefault="005C2641" w:rsidP="00C13834"/>
        </w:tc>
      </w:tr>
      <w:tr w:rsidR="005C2641" w:rsidRPr="00C32FE3" w14:paraId="3B71A753" w14:textId="77777777" w:rsidTr="00EC789A">
        <w:trPr>
          <w:cantSplit/>
          <w:trHeight w:hRule="exact" w:val="215"/>
        </w:trPr>
        <w:tc>
          <w:tcPr>
            <w:tcW w:w="1374" w:type="dxa"/>
          </w:tcPr>
          <w:p w14:paraId="780F1E54" w14:textId="77777777" w:rsidR="005C2641" w:rsidRPr="00C32FE3" w:rsidRDefault="005C2641" w:rsidP="00C13834"/>
        </w:tc>
        <w:tc>
          <w:tcPr>
            <w:tcW w:w="871" w:type="dxa"/>
          </w:tcPr>
          <w:p w14:paraId="770B6C28" w14:textId="77777777" w:rsidR="005C2641" w:rsidRPr="00C32FE3" w:rsidRDefault="005C2641" w:rsidP="00C13834"/>
        </w:tc>
        <w:tc>
          <w:tcPr>
            <w:tcW w:w="1339"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Odredba z dne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O okoljski izjavi proizvodov, namenjenih za uporabo v gradbenih objektih, in okoljski izjavi proizvodov, ki služi za izračun okoljske učinkovitosti stavb</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ŠT.: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Ciljna javnost:</w:t>
      </w:r>
      <w:r>
        <w:rPr>
          <w:rFonts w:ascii="Times New Roman" w:hAnsi="Times New Roman"/>
          <w:i/>
          <w:sz w:val="24"/>
        </w:rPr>
        <w:t xml:space="preserve"> registracijski zavezanci, ki imajo dolžnosti v zvezi z gradbenimi in dekorativnimi izdelki ter električno in elektronsko opremo ter klimatskimi napravami, ki se upoštevajo pri izračunu okoljske učinkovitosti stavb.</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Namen:</w:t>
      </w:r>
      <w:r>
        <w:rPr>
          <w:rFonts w:ascii="Times New Roman" w:hAnsi="Times New Roman"/>
          <w:i/>
          <w:sz w:val="24"/>
        </w:rPr>
        <w:t xml:space="preserve"> opredelitev uporabe členov R. 412-49 do R. 412-57 Zakonika o varstvu potrošnikov in členov R. 111-20-24 do R. 111-20-30 Zakonika o gradbeništvu in stanovanjih.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Začetek veljavnosti:</w:t>
      </w:r>
      <w:r>
        <w:rPr>
          <w:rFonts w:ascii="Times New Roman" w:hAnsi="Times New Roman"/>
          <w:i/>
          <w:sz w:val="24"/>
        </w:rPr>
        <w:t xml:space="preserve"> besedilo začne veljati 1. januarja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Obvestilo:</w:t>
      </w:r>
      <w:r>
        <w:rPr>
          <w:rFonts w:ascii="Times New Roman" w:hAnsi="Times New Roman"/>
          <w:i/>
          <w:sz w:val="24"/>
        </w:rPr>
        <w:t xml:space="preserve"> Namen odredbe je opredeliti uporabo členov R. 412-49 do R. 412-57 Zakonika o varstvu potrošnikov in členov R. 111-20-24 do R. 111-20-30 Zakonika o gradbeništvu in stanovanjih.</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Odredba določa:</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vsebino okoljskih izjav gradbenih in dekorativnih izdelkov ter električne, elektronske opreme in klimatskih naprav, ki so namenjeni za uporabo v gradbenih objektih, in okoljskih izjav gradbenih in dekorativnih izdelkov, pa tudi električne, elektronske opreme in klimatskih naprav, ki se uporabljajo za izračun okoljske učinkovitosti stavb;</w:t>
      </w:r>
    </w:p>
    <w:p w14:paraId="25B1EABC" w14:textId="77777777"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metodologijo za ocenjevanje in izračun informacij iz okoljske izjave;</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vsa dokazila v zvezi z informacijami, vsebovanimi v okoljski izjavi, ki se dajo na voljo programu za okoljske izjave in nadzornim organom ali njihovim predstavnikom;</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naslov podatkovne zbirke ali podatkovnih zbirk, preko katerih so okoljske izjave iz R. 111-20-25 Zakonika o gradnji in stanovanjih dane na voljo javnosti;</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pogoje za pripravo skupnih okoljskih izjav v zvezi z gradbenimi ali dekorativnimi izdelki ali opremo, ki jih pripravi več registracijskih zavezancev;</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t>— pogoje za pripravo prenosljivih izjav v zvezi z gradbenimi ali dekorativnimi izdelki ali opremo.</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Sklicevanje:</w:t>
      </w:r>
      <w:r>
        <w:rPr>
          <w:rFonts w:ascii="Times New Roman" w:hAnsi="Times New Roman"/>
          <w:i/>
          <w:sz w:val="24"/>
        </w:rPr>
        <w:t xml:space="preserve"> besedila, ki so nastala na podlagi te odredbe ali so spremenjena na podlagi nje, so v končni obliki, ki izhaja iz teh sprememb, dostopna na spletni strani Légifrance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lastRenderedPageBreak/>
        <w:t>Minister za ekološki prehod, sodelujoči minister, pristojen za stanovanja, skupaj z ministrom za ekološki prehod,</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ob upoštevanju Direktive (EU) 2015/1535 Evropskega parlamenta in Sveta z dne 9. septembra 2015 o določitvi postopka za zbiranje informacij na področju tehničnih predpisov in pravil za storitve informacijske družbe (kodificirano besedilo) ter zlasti uradnega obvestila št. </w:t>
      </w:r>
      <w:r>
        <w:rPr>
          <w:rFonts w:ascii="Times New Roman" w:hAnsi="Times New Roman"/>
          <w:sz w:val="24"/>
          <w:highlight w:val="yellow"/>
          <w:shd w:val="clear" w:color="auto" w:fill="FFFFFF"/>
        </w:rPr>
        <w:t>[leto]/XXX/F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ob upoštevanju Zakonika o varstvu potrošnikov, zlasti členov L. 412-1 in R. 412-49 do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ob upoštevanju Zakonika o gradnji in stanovanjih, zlasti členov L. 111-9-2 in R. 111-20-24 do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ob upoštevanju pripomb, danih med javnim posvetovanjem, izvedenim od </w:t>
      </w:r>
      <w:r>
        <w:rPr>
          <w:rFonts w:ascii="Times New Roman" w:hAnsi="Times New Roman"/>
          <w:sz w:val="24"/>
          <w:highlight w:val="yellow"/>
        </w:rPr>
        <w:t xml:space="preserve">[...] </w:t>
      </w:r>
      <w:r>
        <w:rPr>
          <w:rFonts w:ascii="Times New Roman" w:hAnsi="Times New Roman"/>
          <w:sz w:val="24"/>
        </w:rPr>
        <w:t xml:space="preserve"> do </w:t>
      </w:r>
      <w:r>
        <w:rPr>
          <w:rFonts w:ascii="Times New Roman" w:hAnsi="Times New Roman"/>
          <w:sz w:val="24"/>
          <w:highlight w:val="yellow"/>
        </w:rPr>
        <w:t>[...]</w:t>
      </w:r>
      <w:r>
        <w:rPr>
          <w:rFonts w:ascii="Times New Roman" w:hAnsi="Times New Roman"/>
          <w:sz w:val="24"/>
        </w:rPr>
        <w:t xml:space="preserve"> v skladu s členom L. 120-1 Okoljskega zakonika;</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ob upoštevanju mnenja visokega sveta za gradbeništvo in energetsko učinkovitost z dne 13. aprila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Odreja:</w:t>
      </w:r>
    </w:p>
    <w:p w14:paraId="36B5C6AB" w14:textId="5A8F9966" w:rsidR="008F5FB3" w:rsidRPr="005D260E" w:rsidRDefault="008F5FB3" w:rsidP="007F6637">
      <w:pPr>
        <w:pStyle w:val="Titre2FDES"/>
      </w:pPr>
      <w:r>
        <w:t>Člen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(Opredelitve)</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Za namene te odredbe se uporabljajo naslednje opredelitve pojmov: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„kazalnik“: merljiva vrednost, povezana z okoljskimi vidiki; </w:t>
      </w:r>
    </w:p>
    <w:p w14:paraId="7CB46E4F" w14:textId="4E4C0FD1" w:rsidR="008F5FB3" w:rsidRPr="005D260E" w:rsidRDefault="00CF19F7" w:rsidP="00CD009F">
      <w:pPr>
        <w:pStyle w:val="NormalWeb"/>
        <w:jc w:val="both"/>
      </w:pPr>
      <w:r>
        <w:t xml:space="preserve">beseda ‚registracijski zavezanec‘ pomeni „oseba odgovorna za dajanje v promet“ v smislu člena R. 412-49 Zakonika o varstvu potrošnikov oz. se razume kot „registracijski zavezanec“ v smislu člena R. 111-20-24 Zakonika o gradbeništvu in stanovanjih;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„funkcionalna enota“: količinsko opredeljena zmogljivost sistema proizvodov, namenjena za uporabo kot referenčna enota v analizi življenjskega cikla;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„priglašena enota“: količina opreme, če je določena, gradbenega ali dekorativnega proizvoda, namenjena za uporabo kot referenčna enota v analizi življenjskega cikla poleg funkcionalne enote;</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„referenčna življenjska doba gradbenega ali dekorativnega proizvoda ali opreme“: življenjska doba, ki se lahko pričakuje za gradbeni ali dekorativni proizvod ali opremo v skladu s sklopom referenčnih pogojev za uporabo in ki se lahko uporabi kot podlaga za ocenjevanje življenjske dobe pod drugimi pogoji uporabe;</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t>„dopolnilni proizvod“: splošni izraz za vsak proizvod, ki mora biti nujno povezan z gradbeno, dekorativno ali primarno opremo v vsaki fazi izvajanja in v praksi;</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„izjava o namembnosti“: okoljska izjava s pravili za prilagoditev v njej navedenih informacij, ki ustrezajo določenemu izdelku, in računalniško orodje za uporabo teh pravil;</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lastRenderedPageBreak/>
        <w:t>v naslednjih členih se izraz „proizvodi“ razume kot „gradbeni proizvodi“, „izdelki za dekoracijo“ in „električna in elektronska oprema ter klimatske naprave“, kot je opredeljeno v členu R. 111-20-24 Zakonika o gradbeništvu in stanovanjih.</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Člen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(Področje uporabe)</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Določbe te odredbe se uporabljajo za proizvode, navedene v členu R. 412-50 Zakonika o varstvu potrošnikov in členu R. 111-20-24 Zakonika o gradbeništvu in stanovanjih.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Člen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(Vsebina okoljske izjave)</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Okoljska izjava iz člena R. 412-51 Zakonika o varstvu potrošnikov in člena R. 111-20-25 Zakonika o gradbeništvu in stanovanjih mora vsebovati naslednje informacije: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Vrednosti za fazo proizvodnje, fazo gradbenega postopka, fazo uporabe, fazo izrabljenosti in vsoto teh faz, za naslednje kazalnike: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 vplivov na okolje: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globalno segrevanje (emisije toplogrednih plinov);</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tanjšanje ozonske plasti;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zakisljevanje tal in vode;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evtrofikacija;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nastanek fotokemičnega ozona;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2D2CE41C"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izčrpavanje abiotskih virov – elementov;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izčrpavanje abiotskih virov – fosilnih goriv;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 uporabe virov: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obnovljive primarne energije, razen obnovljivih virov primarne energije, ki se uporabljajo kot surovine;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obnovljivih virov primarne energije, ki se uporabljajo kot surovine;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skupna uporaba obnovljivih virov primarne energije (primarna energija in viri primarne energije, ki se uporabljajo kot surovine);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neobnovljive primarne energije, razen neobnovljivih primarnih virov energije, ki se uporabljajo kot surovine;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neobnovljivih primarnih virov energije, ki se uporabljajo kot surovine;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skupna uporaba neobnovljivih primarnih virov energije (primarna energija in viri primarne energije, ki se uporabljajo kot surovine);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sekundarnega materiala;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obnovljivih sekundarnih goriv;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uporaba neobnovljivih sekundarnih goriv;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neto uporaba sveže vode;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 kategorij odpadkov: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nevarni odpadki, ki se odstranjujejo;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nenevarni odpadki, ki se odstranjujejo;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radioaktivni odpadki, ki se odstranjujejo;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 izhodnih tokov: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sestavni deli, namenjeni za ponovno uporabo;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materiali, namenjeni za recikliranje;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materiali, namenjeni za energetsko predelavo;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energija, dobavljena na prostem;</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Od 1. januarja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navedbo uporabe materialov iz obnovljivih virov, vključenih v proizvod, izraženo s kazalnikom količine ogljika iz ozračja, shranjenega v gradbenem ali dekorativnem proizvodu;</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vrednosti kazalnikov iz točke 1 za vsako od podfaz faze uporabe, tj. za naslednje podfaze: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uporaba ali raba, razen zahtev glede energije in vode iz obratovalne faze stavbe;</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vzdrževanje;</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popravilo;</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zamenjava;</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sanacija;</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poraba energije med uporabo;</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poraba vode med uporabo;</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 primeru okoljske izjave, na katero vplivajo zahteve 9. člena te odredbe, razpone variacij (največjih in najmanjših vrednosti) kontrolnih kazalnikov, opredeljenih v členu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Za okoljske izjave, potrjene od 1. oktobra 2022 dalje:</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navedbo uporabe materialov iz obnovljivih virov, vključenih v proizvod, izraženo s kazalnikom količine ogljika iz ozračja, shranjenega v opremi;</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vrednosti kazalnikov koristi in izdatkov v zvezi z vrednotenjem ob koncu življenjske dobe;</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Od 1. januarja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vrednosti kazalnikov koristi in izdatkov v zvezi z vrednotenjem ob koncu življenjske dobe;</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Funkcionalno enoto ali priglašeno enoto proizvoda;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Referenčno življenjsko dobo proizvoda;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Opis proizvodov, ki sestavljajo funkcionalno enoto ali priglašeno enoto (količina glavnega proizvoda, količina embalaže, količina dopolnilnih proizvodov v zvezi z izvajanjem ali življenjsko dobo v praksi);</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Področje uporabe izdelka;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Naslednje informacije o izdelku, ki jih zajema okoljska izjava: skupina, opis(-i) ali trgovska(-e) oznaka(-e), ime(-na) ali poimenovanje registracijskega(-kih) zavezanca(-cev);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Datum okoljske izjave;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Potrdilo o preverjanju in kontaktni podatki revizorja, ki je opravil neodvisno preverjanje s strani tretje osebe iz člena R. 412-55 Zakonika o varstvu potrošnikov in člena R. 111-20-27 Zakonika o gradnji in stanovanjih;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Podatke registracijskega zavezanca;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Naslov spletne strani, na kateri so te informacije brezplačno na voljo.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Člen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(Zagotavljanje podpornih dokazov s strani registracijskega zavezanca)</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Registracijski zavezanec ima na voljo program okoljske izjave in upravne organe, pristojne za preglede, ali njihove zastopnike, vse proizvode in kontaktne podatke fizičnih ali pravnih oseb, ki imajo te proizvode, s čimer lahko utemelji informacije iz okoljske izjave, zlasti: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poreklo surovin, materialov in sestavnih delov izdelka;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opredelitev vhodnih podatkov, ki niso vključeni v popis življenjskega cikla v skladu s presečnim pravilom;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skupno maso vnosov, ki niso vključeni v popis življenjskega cikla zaradi presečnega pravila;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rezultate izračunov zalog;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dokazila o referenčni življenjski dobi proizvoda;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če je treba uporabiti splošne podatke, ki izvirajo iz javnih ali zasebnih zbirk podatkov, dokumentacijo o tem, kako tehnološko, geografsko in časovno reprezentativno so uporabljeni splošni podatki, sklici na podatkovne zbirke, iz katerih izvirajo, in sklici na uporabljene podatkovne module;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scenarije, na katerih temelji popis življenjskega cikla;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proizvodni(-e) obrat(-e), zajet(-e) v okoljsko izjavo;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proizvodnjo vsakega obrata, izraženo z enoto količine, določeno v funkcionalni enoti;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kadar se uporablja metoda vzorčenja, dokaze, da je uporabljeni vzorec reprezentativen, zlasti z geografskega, časovnega in tehnološkega vidika proizvodnje proizvoda;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sestavne elemente okvira veljavnosti okoljskih izjav, na katere se nanašajo zahteve člena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sestavne elemente prenosljive izjave iz člena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Člen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(Enote)</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Oblike funkcionalnih enot za vsako kategorijo gradbenih proizvodov ali izdelkov za dekoracijo so opredeljene v Prilogi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Oblike funkcionalnih enot ali enot, priglašenih za opremo, so opredeljene v Prilogi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Člen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(Metode vrednotenja in izračunavanja)</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Za metode vrednotenja in izračunavanja informacij iz člena 3 in zlasti kazalnikov veljajo vsi naslednji pogoji:</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Ne vodijo k opustitvi postopkov, ki skupaj predstavljajo več kot 5 % vrednosti vsake od navedenih postavk informacij.</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Ne vodijo v odobritev proizvoda, za katerega velja okoljska izjava o ugodnostih, dodeljenih drugim proizvodom pri izračunu navedenih postavk informacij, razen kazalnikov v zvezi s koristmi in izdatki, povezanimi z vrednotenjem ob koncu življenjske dobe.</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Ustrezajo standardu NF EN 15804 + A1: 2014-04 ali standardu </w:t>
      </w:r>
      <w:r>
        <w:rPr>
          <w:rFonts w:ascii="Times New Roman" w:hAnsi="Times New Roman"/>
          <w:sz w:val="24"/>
          <w:shd w:val="clear" w:color="auto" w:fill="FFFFFF"/>
        </w:rPr>
        <w:t>XP C08-100-1: 2016-12 ali standardu EN 50693: 2019-08 ali kateremu koli enakovrednemu standardu.</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Upoštevajo metodo izračunavanja koristi in izdatkov v zvezi z vrednotenjem ob koncu življenjske dobe, kot je opredeljeno v Prilogi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Poleg tega morajo za okoljske izjave, potrjene od 1. oktobra 2022, kadar okoljska izjava zajema različne načine namestitve proizvoda, ki ga zadeva, biti metode ocenjevanja in izračunavanja navedenih informacij v skladu z naslednjimi pravili:</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Za vsakega od teh načinov namestitve se ocenijo naslednji kontrolni kazalniki: </w:t>
      </w:r>
      <w:r>
        <w:rPr>
          <w:rFonts w:ascii="Times New Roman" w:hAnsi="Times New Roman"/>
          <w:snapToGrid w:val="0"/>
          <w:sz w:val="24"/>
        </w:rPr>
        <w:t>popolno segrevanje podnebja, skupna raba neobnovljive primarne energije, nenevarni odpadki, ki se odstranjujejo.</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Za vsakega od teh kontrolnih kazalnikov se največja vrednost, dobljena za vsoto korakov iz člena 3, primerja s povprečjem dobljenih vrednosti (tj. povprečnega vpliva različnih načinov namestitve). Če je največja vrednost za enega od teh kazalnikov večja od 1,1-kratne povprečne vrednosti, je treba za vsakega od kazalnikov, navedenih v okoljski izjavi, navesti največjo vrednost (tj. največji učinek glede na različne načine namestitve). V nasprotnem primeru se lahko za vsak kazalnik navede povprečna vrednost.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Člen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(Vložitev v podatkovno(-e) zbirko(-e))</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Registracijski zavezanec vloži preverjeno okoljsko izjavo v podatkovne zbirke, navedene v sporazumu, ki ga podpišeta minister, pristojen za gradnjo, in pravna oseba, ki je pooblaščena za program za okoljske izjave.</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Naslov baze podatkov in naslovi podatkovnih baz so na voljo na spletni strani ministra, pristojnega za gradnjo.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Člen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(Posodobljena okoljska izjava)</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Okoljska izjava se posodobi z vsako bistveno spremembo proizvoda, če je to potrebno zaradi upoštevanja tehnološkega razvoja ali drugih okoliščin, ki bi lahko vplivale na vsebino ali točnost okoljske izjave, in sicer najmanj vsakih pet let.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Člen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(Zbirni okoljski podatki)</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Okoljska izjava lahko temelji na skupni okoljski izjavi podobnih proizvodov, ki jo predloži več registracijskih zavezancev.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Ta skupna okoljska izjava mora izpolnjevati naslednje pogoje: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zadeva „standardni proizvod“;</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določi se pod pogoji iz prejšnjih členov;</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zagotoviti je treba homogenost parametrov, ki pomembno vplivajo na vrednost vsakega kazalnika; v ta namen skupna okoljska izjava vsebuje okvir veljavnosti, opredeljen v Prilogi IV, v katerem so zbrane naslednje informacije:</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lastRenderedPageBreak/>
        <w:t>opredelitev vplivnih parametrov z navedbo, ali so dopolnjeni s splošnimi ali specifičnimi podatki;</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obdobja veljavnosti teh parametrov.</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Registracijski zavezanec, ki je predložil skupno okoljsko izjavo, je odgovoren za informacije, ki jih ta vsebuje, vključno s seznamom zadevnih proizvodov in pogoji, pod katerimi se lahko proizvodi po potrebi povežejo z njo.</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Registracijski zavezanci proizvodov, zajetih v tej skupni okoljski izjavi, morajo izpolnjevati naslednje pogoje: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Odgovorni so za informacije, ki jih posredujejo navedenemu registracijskemu zavezancu.</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Spoštujejo okvir veljavnosti skupne okoljske izjave.</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Predložijo potrdilo o skladnosti z okvirom veljavnosti skupne okoljske izjave.</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Zagotavljajo, da so inšpekcijskim organom na voljo ustrezna dokazila o skladnosti z okvirom veljavnosti.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Neodvisno preverjanje tretjih oseb iz člena R. 412-55 Zakonika o varstvu potrošnikov in člena R. 111-20-27 Zakonika o gradnji in stanovanjih za proizvode, na katera se nanaša skupna okoljska izjava, je sestavljeno iz neodvisnega preverjanja skupne okoljske izjave s strani neodvisne tretje osebe.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Kontrolni kazalniki, ki jih je treba upoštevati, so najmanj:</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skupno globalno segrevanje;</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skupna poraba neobnovljive primarne energije;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nenevarni odpadki, ki se odlagajo.</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Skupne okoljske izjave morajo izpolnjevati naslednje zahteve:</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kadar je največja vrednost vsakega kontrolnega kazalnika, dobljena za vsoto korakov iz člena 3 in z izračunom variabilnosti iz Priloge IV, manjša ali enaka povprečni vrednosti kazalnika, pomnoženi z mejno vrednostjo, se lahko vrednosti kazalnikov izračunajo s pomočjo poprečnih vrednosti občutljivih parametrov. V nasprotnem primeru je treba navesti zgornji prag (največja vrednost, ki jo lahko doseže kazalnik).</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Za skupne okoljske izjave, sestavljene od 1. oktobra 2022 dalje, je zgoraj navedena mejna vrednost ‚1,4’, zgoraj navedeni izračun variabilnosti pa mora zajemati vsaj tiste občutljive parametre, ki se nanašajo na:</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sestavo proizvoda: količino in vrsto materialov;</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količine embalaže;</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lastRenderedPageBreak/>
        <w:t>proizvodne procese, razen pridobivanja in predelave surovin (stopnji A2 in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Za skupne okoljske izjave, sestavljene od 1. oktobra 2022, je zgoraj navedena mejna vrednost ‚1,3’, zgoraj navedeni izračun variabilnosti pa mora zajemati vsaj tiste občutljive parametre, ki se nanašajo na:</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sestavo proizvoda: količino in vrsto materialov;</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količine embalaže;</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proizvodne procese, razen pridobivanja in predelave surovin (stopnji A2 in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prevoz do lokacije (faza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Člen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(Razpon okoljskih podatkov)</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Okoljska izjava lahko temelji na podobnih proizvodih istega registracijskega zavezanca. Te okoljske izjave morajo izpolnjevati zahteve za skupne okoljske izjave iz člena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Člen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(Prenosljivi okoljski podatki)</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Okoljska izjava lahko temelji na prenosljivi izjavi.</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Ta prenosljiva izjava mora izpolnjevati naslednje pogoje: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zadeva „standardni proizvod“;</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določi se pod pogoji iz prejšnjih členov;</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vsebuje sklop pravil za izračun, s katerimi se na podlagi spremenljivih parametrov navedene informacije prilagodijo proizvodu, ki je podoben standardnemu proizvodu, vendar se njegove dimenzije, sestava ali nekateri postopki življenjskega cikla razlikujejo;</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omogočeno mora biti preverjanje vrednosti spremenljivih parametrov, navedenih zgoraj, ob dobavi stavbe;</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vsebuje okvir veljavnosti, ki opredeljuje vrednosti, ki jih je mogoče prevzeti glede na zgoraj navedene spremenljive parametre, in značilnosti, ki jih mora izpolnjevati zgoraj naveden podoben proizvod.</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Vsaki prenosljivi izjavi, potrjeni po 1. oktobru 2022, se priloži računalniško orodje za izračun, ki služi za uporabo zgoraj navedenih pravil izračunavanja in za izvoz informacij, zahtevanih v členu 3, skupaj s seznamom zgoraj navedenih spremenljivih parametrov in njihovih vrednosti. Vse te informacije se izvozijo kot računalniška datoteka v obliki, ki je določena na spletni strani ministrstva, pristojnega za gradnjo.</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Neodvisno preverjanje tretjih oseb iz člena R. 412-55 Zakonika o varstvu potrošnikov iz člena R. 111-20-27 Zakonika o gradbeništvu in stanovanjih mora zajemati, v primeru prenosljive izjave, tudi pravila za izračun iz tega člena in računalniško orodje za izračun iz prejšnjega odstavka.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Člen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(Potrdilo)</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Šteje se, da je potrdilo o okoljskih lastnostih iz člena R. 412-53 Zakonika o varstvu potrošnikov skladno, če izpolnjuje vse zahteve standarda NF EN ISO 14024: 2018-03. To potrdilo o gradbenih proizvodih ali opremi izda organizacija, ki jo je v za namen pooblastila francoska akreditacijska komisija (COFRAC) ali drug akreditacijski organ, ki je podpisnik večstranskih sporazumov o vzajemnem priznavanju.</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Ta oddelek se ne uporablja za okoljske izjave, ki se uporabljajo pri izračunu okoljske učinkovitosti stavb.</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Člen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Odredba z dne 23. decembra 2013 o okoljski izjavi gradbenih in dekorativnih izdelkov za uporabo v gradbenih objektih se razveljavi.</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Odredba z dne 31. avgusta 2015 o okoljski izjavi električne in elektronske opreme in klimatskih naprav za uporabo v gradbenih objektih se razveljavi.</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Člen 14</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Za izvajanje te odredbe, ki se objavi v </w:t>
      </w:r>
      <w:r>
        <w:rPr>
          <w:rFonts w:ascii="Times New Roman" w:hAnsi="Times New Roman"/>
          <w:i/>
          <w:sz w:val="24"/>
        </w:rPr>
        <w:t>Uradnem listu Francoske republike</w:t>
      </w:r>
      <w:r>
        <w:rPr>
          <w:rFonts w:ascii="Times New Roman" w:hAnsi="Times New Roman"/>
          <w:sz w:val="24"/>
        </w:rPr>
        <w:t>, je odgovoren direktor službe za stanovanja, urbani razvoj in krajine.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Sodelujoči minister za stanovanjske zadeve v sodelovanju z ministrom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 ekološki prehod</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 ministra in v njegovem imenu: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Direktor službe za stanovanja, urbani razvoj in krajine,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lastRenderedPageBreak/>
        <w:t>Minister za ekološki prehod,</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Za ministra in v njegovem imenu:</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Direktor službe za stanovanja, urbani razvoj in krajine,</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777B646B" w14:textId="77777777" w:rsidR="0071672C" w:rsidRDefault="0071672C">
      <w:pPr>
        <w:rPr>
          <w:rFonts w:ascii="Times New Roman" w:hAnsi="Times New Roman"/>
          <w:b/>
          <w:sz w:val="24"/>
        </w:rPr>
      </w:pPr>
      <w:r>
        <w:rPr>
          <w:rFonts w:ascii="Times New Roman" w:hAnsi="Times New Roman"/>
          <w:b/>
          <w:sz w:val="24"/>
        </w:rPr>
        <w:br w:type="page"/>
      </w:r>
    </w:p>
    <w:p w14:paraId="4A1A9D13" w14:textId="173F6E69"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Priloge:</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Priloga I</w:t>
      </w:r>
    </w:p>
    <w:p w14:paraId="6761F1F1" w14:textId="57464D42" w:rsidR="001308A1" w:rsidRPr="005D260E" w:rsidRDefault="00C51AA3" w:rsidP="00F76954">
      <w:pPr>
        <w:pStyle w:val="Titre2FDES"/>
        <w:jc w:val="left"/>
      </w:pPr>
      <w:r>
        <w:t>Oblike funkcionalnih enot za vsako kategorijo gradbenih proizvodov ali dekorativnih izdelkov</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Št.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FUNKCIJA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KATEGORIJA: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OBLIKA ENOTE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funkcionalno v enotah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mednarodnega sistema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Ceste, razna omrežja (vključno z notranjimi omrežji)</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Rezervoarji in zalogovniki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Enota danega volumna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Kanalizacijska in sanitarna omrežja (deževna voda in odpadna voda)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povprečno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Vodovodna omrežja (notranja in zunanja)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povprečno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Omrežja za oskrbo s plinom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povprečno</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Drenažni sistemi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povprečno</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Ceste in zunanje površine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površin za določeno uporabo (zunanja terasa, nizko prometne ceste, parkirišča itd.)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Ograje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ograje</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Cevi/vodi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Struktura, zidarstvo, večja dela, ogrodje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Dimni bloki in dimne cevi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danega notranjega odseka voda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Estrihi/plavajoči estrihi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za dano debelino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Ogrodja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pokrita površina ali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Opornice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opornic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Plošče in montažne plošče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Vodoravni nosilni elementi (trami, nosilci, izolacija, plošče z votlim jedrom, votle plošče, preklade)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nosilnega elementa (navedite obseg in odsek) ali m² (za površinski element)</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Navpični nosilni elementi (koli/stolpi/stebri)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elementa (navedite odsek)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Stopnice (notranja in zunanja)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Enota za določeno višino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Temelji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Majhne zidane komponente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(navedite toplotno odpornost)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Tla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talnih oblog (navedite dopustno obremenitev)</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Stene (arhitekturni elementi)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(navedite debelino)</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Fasade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Obloge (obloge, obloge za zašito pred vremenskimi vplivi, premazi)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fasade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Obešene fasade in strešna okna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fasade (navedite odstotek neprepustne površine)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Zunanja površina fasad (vključno </w:t>
            </w:r>
            <w:r>
              <w:rPr>
                <w:rFonts w:ascii="Times New Roman" w:hAnsi="Times New Roman"/>
                <w:sz w:val="24"/>
              </w:rPr>
              <w:lastRenderedPageBreak/>
              <w:t xml:space="preserve">s sestavljenimi zunanjimi toplotno izolacijskimi sistemi)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fasade (navedite toplotno odpornost, </w:t>
            </w:r>
            <w:r>
              <w:rPr>
                <w:rFonts w:ascii="Times New Roman" w:hAnsi="Times New Roman"/>
                <w:sz w:val="24"/>
              </w:rPr>
              <w:lastRenderedPageBreak/>
              <w:t>če je ustrezno)</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Strešna kritina/tesnitev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Veliki strešni elementi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pokritosti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Majhni strešni elementi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pokritosti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Izdelki za hidroizolacijo in tesnjenje za zakopane stene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pokritosti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Izdelki za tesnjenje strehe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pokritosti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Zeleni strešni elementi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pokritosti (navedite vrsto podprte vegetacije in toplotne značilnosti, če je ustrezno)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Notranje in zunanje stavbno pohištvo, zapirala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Okna, francoska okna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stavbnega pohištva (odprta površina pred namestitvijo) (navedite vrednost U, solarni faktor, odpornost na zrak, vodo in veter ter prepustnost)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Varovalne ograje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varovalnih ograj</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Vrata (notranja, zunanja, vhodni portali itd.) </w:t>
            </w:r>
          </w:p>
          <w:p w14:paraId="49074EDD" w14:textId="1FC62C2F" w:rsidR="00F301F5" w:rsidRPr="0071672C" w:rsidRDefault="00F301F5" w:rsidP="00F301F5">
            <w:pPr>
              <w:widowControl w:val="0"/>
              <w:autoSpaceDE w:val="0"/>
              <w:autoSpaceDN w:val="0"/>
              <w:adjustRightInd w:val="0"/>
              <w:spacing w:after="0" w:line="240" w:lineRule="auto"/>
              <w:rPr>
                <w:rFonts w:ascii="Times New Roman" w:hAnsi="Times New Roman" w:cs="Times New Roman"/>
                <w:sz w:val="24"/>
                <w:szCs w:val="24"/>
                <w:lang w:val="fi-FI"/>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(odprta površina pred namestitvijo)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Rolete, žaluzije, rešetke, senčila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neprozorne/zaščitene površine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Strešna okna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stavbnega pohištva (odprta površina pred namestitvijo) (navedite vrednost U, solarni faktor, odpornost na zrak, vodo in veter ter prepustnost)</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Izolacija</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Dekorativne plošče, strešne plošče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(navedite toplotno odpornost)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Sistemi za obloge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(navedite toplotno odpornost)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Dodatna izolacija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(navedite toplotno odpornost)</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Votle plošče, izolacijske plošče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(navedite toplotno odpornost)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Izolatorji za toplotno in zvočno izolacijo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(navedite odpornost na toploto in zvok)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Toplotni n zvočni izolatorji za podstrešje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(navedite odpornost na toploto in zvok)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Toplotna in zvočna izolacija v razsutem stanju</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(navedite odpornost na toploto in zvok)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Toplotni in zvočni izolatorji za strešne terase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izolacije (navedite odpornost na toploto in zvok)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Toplotna in zvočna izolacija pod estrih</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(navedite odpornost na toploto in zvok)</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Porazdeljena izolacija brez nosilnosti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(navedite odpornost na toploto in zvok, če je ustrezno)</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Toplotni in zvočni izolatorji za </w:t>
            </w:r>
            <w:r>
              <w:rPr>
                <w:rFonts w:ascii="Times New Roman" w:hAnsi="Times New Roman"/>
                <w:sz w:val="24"/>
              </w:rPr>
              <w:lastRenderedPageBreak/>
              <w:t>stene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izolacije (navedite odpornost na </w:t>
            </w:r>
            <w:r>
              <w:rPr>
                <w:rFonts w:ascii="Times New Roman" w:hAnsi="Times New Roman"/>
                <w:sz w:val="24"/>
              </w:rPr>
              <w:lastRenderedPageBreak/>
              <w:t>toploto in zvok)</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Zvočni izolatorji za predelne stene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(navedite odpornost na toploto in zvok)</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Toplotna in zvočna izolacija pod ploščami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(navedite odpornost na toploto in zvok)</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Izolacija pod tlakovnimi in talnimi ploščami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izolacije (navedite odpornost na toploto in zvok)</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Pregrade, spuščeni stropi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Pregrade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pregrade (navedite zvočno učinkovitost, če je ustrezno)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Viseči stropi, vpenjalne strehe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visečega stropa (navedite zvočno učinkovitost)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Talne in stenske obloge, barve, izdelki za dekoracijo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Barve, sredstva za barvanje in laki, ometi (brez nasičenih materialov)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pokrite površine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Obzidne letve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obzidnih letev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Stenski in stropni premazi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premaza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Trde talne obloge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premaza (navedite razred uporabe UPEC ali klasifikacijo odpornosti proti obrabi in udarcu, obnašanja vode in odpornosti proti kemičnim dejavnikom ali enakovrednega)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Mehke talne obloge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premaza (navedite razred uporabe UPEC ali klasifikacijo odpornosti proti obrabi in udarcu, obnašanja vode in odpornosti proti kemičnim dejavnikom ali enakovrednega)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Zvočni izdelki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premaza (navedite razred uporabe UPEC ali klasifikacijo odpornosti proti obrabi in udarcu, obnašanja vode in odpornosti proti kemičnim dejavnikom ali enakovrednega)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Nasičevalci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pokrite površine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Proizvodi za pripravo in izvajanje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Tesarska lepila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(navedite gostoto)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Popravila in montaža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(navedite gostoto)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Tla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lepila na tla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Malta za zidanje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(navedite gostoto)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Ploščice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ploščic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Dekoracija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(navedite gostoto)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Mastiksi in poliuretanske pene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(navedite linearno maso)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Kemijski proizvodi za gradbeništvo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(navedite gostoto)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Izdelki za beton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(navedite gostoto)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Sintetične smole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(navedite gostoto)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Razno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Sanitarna in kopalniška oprema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Pipe in stebrni sistemi za prho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Enota (navedite vrsto)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Kad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Enota (navedite prostornino v litrih in obliko)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Plitve kadi za prho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Enota (navedite mere: širina in dolžina)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Kuhinjska korita</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Enota (navedite mere: širina, dolžina in število prekatov)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Pralno korito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Enota (navedite mere: širina, dolžina in število prekatov)</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stranišče – školjka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Enota (navedite mere: širina in dolžina)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Drugo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Priloga II</w:t>
      </w:r>
    </w:p>
    <w:p w14:paraId="1E7210AD" w14:textId="4609938E" w:rsidR="001308A1" w:rsidRPr="005D260E" w:rsidRDefault="00C51AA3" w:rsidP="007F6637">
      <w:pPr>
        <w:pStyle w:val="Titre2FDES"/>
      </w:pPr>
      <w:r>
        <w:t>Oblike funkcionalnih enot ali enot, priglašenih za objekte</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Št.</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Funkcija</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Kategorija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Funkcionalna enota</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Priglašena enota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Skupina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Rešitev</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Objekt za namestitev elektroenergetskih in komunikacijskih omrežij</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Stenska armatura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Avtomatizirani sistemi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Senzorji gibanja</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Termostati</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Zatemnitvena stikala</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Omarice za naprave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 suhe stene</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 zidane stene</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Upravljanje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Stikala</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Pritisni gumbi</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Drugo: Prezračevalni kanal, rolete itd.</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Plošče in nosilci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Stenske naprave – podsklopi</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Vtičnice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Nizko tokovne vtičnice</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Visoko tokovne vtičnice</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Različne vtičnice (TV, zvočnik, IT itd.)</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Signalne naprave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Avdio izhod: zvočnik</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Avdio izhod: zvonec in glasovni signal</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Svetlobni indikatorji</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Dodatki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Daljinski upravljalniki, polkna, pritrdilne enote</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Modularna oprema za ograjene prostore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Splošna zaščitna oprema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Povezave</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Prekinjevalci tokokroga</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Prekinjevalci tokokrogov za omrežne povezave</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Stikala/izolatorji</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Pretvorniki vira</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Diferencialni releji</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Zaščita pred strelo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Strelovodi</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Telekomunikacijski strelovodi</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Zaščita linije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Prekinjevalci tokokroga</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Oddelčni prekinjevalci tokokroga</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Prekinjevalci tokokroga motorja</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Varovalke</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Zaščitna stikala kvarnega toka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Diferencialni bloki</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Odklopniki tokokrogov RCD</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Stikala RCD</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Upravljanje </w:t>
            </w:r>
            <w:r>
              <w:rPr>
                <w:rFonts w:ascii="Times New Roman" w:hAnsi="Times New Roman"/>
                <w:sz w:val="24"/>
              </w:rPr>
              <w:lastRenderedPageBreak/>
              <w:t>razsvetljave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Stikala za fotocelice</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Upravljanje s sončno energijo</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Zatemnitvena stikala</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Upravljanje z energijo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Sistemi za zmanjšanje obremenitve</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Upravljavci z energijo</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Upravljanje zaslonk in zaklopk</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Upravljanje zaslonk in zaklopk</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Časovno upravljanje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Presečni časovni razporedi</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Časovniki</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Releji časovnika</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Toplotno upravljanje (ogrevanje, prezračevanje)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Termostati</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Meritve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Merilniki energije</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Dežni, sončni senzorji itd.</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Voltmetri, ampermetri</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Krmilne naprave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Pritisni gumbi</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Kontaktorji</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Stikala, pretvorniki, komutatorji itd.</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Daljinska impulzna stikala</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Signalizacijske naprave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Zvonci in zvonjenje</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Svetlobni indikatorji</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Avtomatizacija doma in komunikacijski sistemi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Večpredstavnostna omrežja in VDI (Voice Data Image)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Modularna oprema za avtomatizacijo doma</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Terminalska oprema za avtomatizacijo doma</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Distributerji signalizacije/zaznavanja</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Dostopne točke Wi-Fi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Zaprti prostori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Omarice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Omarice iz poliestra</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Kovinske omarice</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Povezave</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omarice</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Ohišja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Pokrovi terminalov</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Ohišja za pritrditev splakovanja</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Vodotesna ohišja</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Izbočena ohišja škatle</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Ohišja VDI</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Priključna polja</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Drugo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Pulti, upravljanje s toploto v zaprtih prostorih</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Rešitve za napeljavo kablov</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Meter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Sistemi za kabelske napeljave in stojala za kable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Kanali za žične kable</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Pokriti kanali za kable</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Stojala za kable</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Kanalski sistemi in </w:t>
            </w:r>
            <w:r>
              <w:rPr>
                <w:rFonts w:ascii="Times New Roman" w:hAnsi="Times New Roman"/>
                <w:sz w:val="24"/>
              </w:rPr>
              <w:lastRenderedPageBreak/>
              <w:t>vodi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Vodi</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Profilirani vodi</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Toge cevi in vodi</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Napajalni vodi</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Talni vodi</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Vgradni vodi</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Profilne in obrobne letve</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Drugi točkovni izdelki za upravljanje s kabli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Tehnična ohišja za vgradnjo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Talni vodi</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Razdelilniki in navpični montažni stebri</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Kabelska korita za omarice</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Drugo in dodatki</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Drugo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Povezave/spoji (zunaj zaprte omarice)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Spojni bloki</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Konektorji</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Industrijske vtičnice</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Napajalniki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Transformatorji</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Centralni viri</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Mobilna električna oprema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Luč za video nadzor</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Vtičnice z več priključki, vtičnice za telefonski razdelilnik, drugo</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Motor za odpiranje lopute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Motorizacija vrat, dvoriščnih vrat itd.</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Motorizacija roletnih žaluzij</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Žice in kabli</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Električna omrežja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Srednjenapetostni kabli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Nizkonapetostni kabli &lt;1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Dodatki za električno omrežje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Prenos elektrike in podatkov v stavbi</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Energetske žice in kabli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Bakreni in optični komunikacijski kabli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Dodatki v stavbi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Druge žice in kabli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Neizolirani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Ogrevalni kabli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Varnost posameznikov in nadzor dostopa</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Odkrivanje dostopa in nadzor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 za odkrivanje vsiljivcev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odkrivanje vsiljivcev</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nadzor (tipkovnica, daljinski upravljalnik itd.)</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Alarmne konzole</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Oprema za signalizacijo </w:t>
            </w:r>
            <w:r>
              <w:rPr>
                <w:rFonts w:ascii="Times New Roman" w:hAnsi="Times New Roman"/>
                <w:sz w:val="24"/>
              </w:rPr>
              <w:lastRenderedPageBreak/>
              <w:t>(sirena, oddajnik itd.)</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 za nadzor dostopa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Avdio sistemi za vhodna vrata</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Video sistemi za vhodna vrata</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Videonadzor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 video nadzora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zajemanje slik (kamere)</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upravljanje s slikami</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Medsebojne povezave</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Varnost stavbe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 varnostne razsvetljave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Okolica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Samozadostne zasilne svetlobne enote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Svetlobna napeljava za osrednji vir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Enote za reflektorje</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Evakuacija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Samozadostne zasilne svetlobne enote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Neodvisne stanovanjske svetlobne enote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Dvojna funkcionalna enota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Svetlobna napeljava za osrednji vir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(svetlobna naprava)</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(nadgrajena identifikacijska naprava)</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Zasilna razsvetljava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Neodvisne stanovanjske svetlobne enote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Dvojna funkcionalna enota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Intervencija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Prenosne samostojne intervencijske enote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Dobava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Osrednji vir za vgradnjo zasilne svetlobne napeljave</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Požarna varnost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Požarna varnost in tehnični alarm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Neodvisni detektorji dima/alarmi</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Tehnični alarmi in detektorji (izliv vode, uhajanje plina itd.)</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Samostojni detektorji ogljikovega monoksida</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Tehnični alarmi in detektorji</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Oprema za HVAC</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Ogrevanje in/ali hlajenje in/ali preskrba s toplo vodo v gospodinjstvih</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Kotel (samo ogrevanje)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Kotel na plin</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Kotel na kurilno olje</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Hibridni kotel</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Kotel na biomaso</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Mešani kotel (ogrevanje in topla voda za gospodinjstvo)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Kotel na plin</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Kotel na kurilno olje</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Neodvisne naprave na biomaso</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Toplotna črpalka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Električna tlačna toplotna črpalka</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Hibridna toplotna črpalka</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Črpalka za kroženje vode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Ogrevano stojalo za brisače</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Neposredno električno ogrevanje prek vidne fiksne enote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Grelec</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Sevalo</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s sekundarno funkcijo kot ogrevano stojalo za brisače</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Proizvodnja tople vode za gospodinjstva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Liter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Individualni zalogovnik in grelnik vode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Električni grelnik vode</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Termodinamični grelnik vode</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Plinski grelnik vode</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Samostojni sončni grelnik vode</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Končne enote udobja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Ventilatorski grelniki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Ventilatorski grelniki</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Klimatizacijske grede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Pasivne klimatizacijske grede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Aktivne klimatizacijske grede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Dinamični radiatorji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Dinamični radiatorji</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Vodi in omrežni dodatki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voda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Gibljivi vodi</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Togi vodi</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Zavoji in dodatki</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Difuzija zraka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ali</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Pasivni terminali</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Difuzorji</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Vhodne odprtine za zrak</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Odprtine za odzračevalnike in ventilatorje</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Čiščenje zraka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Naprava za čiščenje zraka</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Enota z dvojnim pretokom</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Zračni filtri</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Prezračevalna omarica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Mehansko krmiljeno prezračevanje s sistemom </w:t>
            </w:r>
            <w:r>
              <w:rPr>
                <w:rFonts w:ascii="Times New Roman" w:hAnsi="Times New Roman"/>
                <w:sz w:val="24"/>
              </w:rPr>
              <w:lastRenderedPageBreak/>
              <w:t>enega toka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Mehansko krmiljeno prezračevanje s sistemom dvojnega toka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Prezračevalna omarica</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Hlajenje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Enota za proizvodnjo ledene vode</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Hladilni stolp</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Naprave za hlajenje zraka</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Lokalna proizvodnja električne energije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Generator električne energije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Fotonapetostni moduli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Kristalni silicij (monokristalni ali polikristalni)</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Tanke plasti</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Vetrne turbine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Vodoravne</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Navpične</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Pretvorba in reguliranje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Pretvorba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Sinhroni inverterji</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Avtonomni inverterji</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DC/DC pretvornik</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AC/DC pretvornik</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Reguliranje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Regulator obremenitve</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Skladiščenje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Elektrokemična baterija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Svinec – kislina</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Litij – ion</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Drugo</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Nadzor</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Nadzor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nadzor</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Oprema za razsvetljavo</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Oprema za notranjo razsvetljavo in napajalniki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Vgradna razsvetljava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Linearna notranja podometna pisarniška razsvetljava</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Nelinearna notranja vgradna pisarniška razsvetljava</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Notranja vgradna točkovna razsvetljava (točke)</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Luči, nameščene na površino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Stropne svetilke, linearne notranje viseče napeljave za pisarniško ali industrijsko razsvetljavo</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Funkcionalna notranja linearna pritrjena stenska razsvetljava</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Stropne luči, pritrjena stenska razsvetljava, dekorativna notranja viseča napeljava</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Notranje odprtine</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Notranje svetlobne letve (brez optičnih naprav, v nasprotju z linearnimi izdelki)</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Notranji reflektorji, stenski ali letveni ali obešeni, za točkovno razsvetljavo</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Vodoodporne notranje svetlobne napeljave</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Fleksibilni drogovi in letve z LED (vključno z napajanjem)</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Viseče napeljave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Industrijske napeljave</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Strukture za industrijsko ali komercialno razsvetljavo neprekinjeno povezane z omrežjem</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Pritrdilni in sidrni elementi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Letve za napajanje reflektorjev</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Oprema za zunanjo razsvetljavo in napajalnike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Reflektorji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Reflektorji za športne in večje površine</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Zunanji reflektorji za dekorativno razsvetljavo</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Oprema za zunanjo razsvetljavo, razen reflektorjev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dekorativno razsvetljavo</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funkcionalno razsvetljavo</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Oprema za periodično osvetlitev</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Vgradni reflektorji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Zunanji reflektorji, ki se vgradijo v tla ali stene</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Vgradna razsvetljava za orientacijo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Zunanja razsvetljava za orientacijo, ki se vgradi v tla ali stene</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Stebri in stolpci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Okrasni zunanji terminali</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Okrasni zunanji svetlobni stebri</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Vodoodporna svetila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Stenske luči za vsidranje v steno in vodoodporna ohišja</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Podvodna vgradna razsvetljava za bazene ali fontane</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Podvodni reflektorji za bazene ali fontane</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enota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Drogovi in sidrni elementi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Drogovi</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Tečaji</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Razni sidrni elementi za zunanjo razsvetljavo</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Drugo</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Razno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Priloga III</w:t>
      </w:r>
    </w:p>
    <w:p w14:paraId="67517A54" w14:textId="77777777" w:rsidR="00C51AA3" w:rsidRPr="005D260E" w:rsidRDefault="003C68D4" w:rsidP="008837F2">
      <w:pPr>
        <w:pStyle w:val="Titre2FDES"/>
        <w:jc w:val="left"/>
      </w:pPr>
      <w:r>
        <w:t xml:space="preserve">Izračun koristi in izdatkov, povezanih z vrednotenjem ob koncu življenjske dobe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Rezultat prikaza pozitivne vrednosti je neto obremenitev, rezultat prikaza negativne vrednosti pa neto korist.</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Pri recikliranju se za dani pretok recikliranih odpadkov (in s tem danega materiala lambda) uporablja naslednja formula: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Neto odhodki recikliranje = MSval (Isval - IVval)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pri čemer je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masa (kg) sekundarnega materiala, dejansko pridobljenega iz mase zbranih zalog (lambda komponenta materiala v toku „materialov, namenjenih za recikliranje“);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proizvodni inventar (na kg) materiala (ali mešanice), katerega nadomesti reciklirani sekundarni material lambda v dobavnem sistemu, kjer se uporablja (torej ne proizvodni inventar končnega proizvoda, temveč proizvodni material inventarja, ki sestavlja ta dobavni proizvod);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inventar (na kg) proizvodnega sekundarnega materiala, pripravljenega za uporabo, v dobavnem sistemu iz zaloge;</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masa (kg) sekundarnega materiala, vključenega v proizvod, za katerega velja izjava pri proizvodnji (lambda komponenta materiala za tok „uporabe sekundarnih materialov“);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proizvodni inventar (na kg) neobdelanega materiala, ki se uporablja za proizvodnjo proizvoda, na katerega se nanaša izjava, če se material ne reciklira;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inventar (na kg) proizvodnje sekundarnega materiala, pripravljenega za uporabo, ki se uporablja za proizvodnjo proizvoda, na katerega se nanaša izjava.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Pri rekuperaciji energije se za dani tok recikliranih odpadkov uporablja naslednja formula: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Zaračunavanje neto valorizacije 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pri čemer je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masa (v kg) sekundarnega materiala, ki je dejansko pridobljen iz zbrane mase zaloge (lambda komponenta(-e) toka snovi „materialov za rekuperacijo energije“);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proizvodni inventar (na kg) energije, za katero se energija, pridobljena z energetskim recikliranjem sekundarnih materialov, nadomesti nižje v dobavnem sistemu (torej ne proizvodni inventar dobavnega sistema, h kateremu bo prispeval sekundarni material, temveč proizvodni inventar energije, porabljene v dobavnem sistemu, izražen v dobavljenem MJ);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inventar (na kg) energetskega recikliranja sekundarnega materiala iz zaloge, za katerega je referenčni tok količina recikliranega sekundarnega materiala;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PCISval = IBD (MJ/kg) pridobljenega sekundarnega materiala;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izhodna energija v obratu za recikliranje energije predelanega sekundarnega materiala.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Skupna korist za priglašeni proizvod se nato pridobi kot vsota vseh skupnih koristi, izračunanih za vsak material/tok.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Priloga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Okvir za veljavnost skupnih okoljskih izjav za proizvode</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Homogenost</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Analiza življenjskega cikla (AŽC) vključuje veliko podatkov za različne situacije. Nekateri podatki se zbirajo na kraju samem, nekateri so izračunani, nekateri pa so ocenjeni. Podatki, ki omogočajo AŽC, so torej podani z določeno stopnjo negotovosti. Rezultat AŽC je torej precej občutljiv na spremembe vhodnih podatkov.</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Člen 9 Odredbe zahteva, da je vpliv na okolje tistih registracijskih zavezancev, ki uporabljajo isto skupno okoljsko izjavo, homogen. Tako bo skupna okoljska izjava zajemala okoljsko homogene proizvode, če bo mogoče zagotoviti, da so pri vseh zajetih proizvodih vplivi na okolje pod mejno vrednostjo, če so skladni z okvirom veljavnosti, ki se nanaša na skupno okoljsko izjavo.</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Sprejemljivo je, da se to homogenost dokazuje le za nekatere kontrolne kazalnike.</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Za kazalnike AŽC se prikaz homogenosti izvaja z analizo občutljivosti negotovih parametrov in parametrov, ki se razlikujejo od enega registracijskega zavezanca do drugega. Izrecno se priporoča, da se ta analiza izvede že na začetku postopka AŽC in da se na podlagi te analize oblikuje skupna okoljska izjava.</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Analiza občutljivosti</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Analiza občutljivosti AŽC mora vključevati naslednje faze:</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izbira kontrolnih kazalnikov;</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opredelitev občutljivih parametrov: študija vseh vključenih za opredelitev tistih vhodnih parametrov, ki najbolje prispevajo k pojasnjevanju vrednosti kontrolnih kazalnikov (rezultati AŽC);</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določitev razponov variacij za občutljive parametre (mejni parametri in kakršna koli statistična porazdelitev);</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parametrske simulacije na podlagi faz b in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Analiza občutljivosti je lahko iterativna. Rezultat analize občutljivosti mora biti:</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seznam dejavnikov, ki vplivajo na rezultate AŽC (občutljivi parametri) in njihova odobrena polja variacije (ta seznam predstavlja polje veljavnosti);</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za vsak kontrolni kazalnik verjetni variacijski interval (95-odstotni interval zaupanja) vrednosti kazalnika, dobljene s simulacijami parametrov.</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Faza 1: izbor kontrolnih kazalnikov</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Izbor kontrolnih kazalnikov mora biti smiseln. Izbirajo se lahko med tistimi iz člena 3 Odredbe za vsak primer posebej. Izbor mora biti upravičen. Preučiti je treba vsaj naslednje kazalnike:</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globalno segrevanje,</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uporaba neobnovljive primarne energije, razen neobnovljivih primarnih virov energije, ki se uporabljajo kot surovine,</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nenevarni odpadki, ki se odlagajo.</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Faza 2: opredelitev občutljivih parametrov</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Za vsak kontrolni kazalnik je treba izvesti analizo občutljivih parametrov. V ta namen se predlaga, da se kot začetni pristop učinki razdelijo glede na postopke, ki so del življenjskega cikla. Ta analiza bi morala temeljiti na referenčnem scenariju, opisanem v analizi občutljivosti.</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Priporoča se, da se v osnovnem scenariju upoštevajo vsi postopki, ki prispevajo k prikazu več kot 5 %. Nato je treba identificirati parametre modela AŽC (vstop ali izstop iz postopka, parameter notranjega modeliranja procesov itd.), ki spremenijo ta prispevek. To so parametri, ki veljajo za občutljive.</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Na koncu te analize bo imel registracijski zavezanec seznam postopkov, ki najizraziteje prispevajo h kontrolnim kazalnikom skozi celoten življenjski cikel, in seznam občutljivih parametrov.</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Faza 3: opredelitev razponov variacij občutljivih parametrov</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Ta faza je sestavljena iz opredelitve razpona variacije za vsak občutljiv parameter. Ta razpon je nato treba v obliki intervalov predlagati kot minimalen pogoj. Če je znan, se lahko določi zakon za porazdelitev parametrov v zgoraj navedene intervale.</w:t>
      </w:r>
      <w:r>
        <w:rPr>
          <w:rFonts w:ascii="Times New Roman" w:hAnsi="Times New Roman"/>
          <w:sz w:val="24"/>
        </w:rPr>
        <w:br/>
        <w:t>Po tej fazi je vsak občutljiv parameter povezan z določenim razponom variacij.</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Faza 4: izračun variabilnosti kazalnikov</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Na podlagi faz 2 in 3 ta faza vključuje uporabo ustrezne matematične metode za določitev razponov variacij kazalnikov (največje vrednosti, srednje vrednosti in najmanjše vrednosti), v primeru, da je model AŽC podvržen spremembam občutljivih parametrov.</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Rezultat faze 4 je niz razponov vrednosti glede na vsak kazalnik, ki je zajet v analizi občutljivosti.</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Izračun spremenljivosti kazalnikov mora zajemati vsaj občutljive parametre, ki se nanašajo na elemente iz člena 9 te odredbe.</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Fazi 3 in 4 se lahko izvedeta na podlagi iteracije, da se razpon občutljivih parametrov prilagodi zahtevanim pogojem homogenosti.</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Poročilo o analizi občutljivosti</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Poročilo mora vsebovati postavke, ki ustrezajo štirim fazam analize občutljivosti in končnemu rezultatu analize občutljivosti, vključno z obsegom veljavnosti skupne okoljske izjave in obsegom variacije kontrolnih kazalnikov.</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Priglasitev analize občutljivosti in okoljskih vrednosti</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Rezultati analize občutljivosti pogojujejo okoljske vrednosti, navedene v skupni okoljski izjavi, kot je določeno v oddelku 9 te odredbe.</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Ko je največja vrednost (ali največ 95-odstotno zaupanje, če se uporabi statistični pristop) razpona variacij vsakega kazalnika nadzora vplivov na okolje</w:t>
      </w:r>
      <w:r>
        <w:rPr>
          <w:rFonts w:ascii="Times New Roman" w:hAnsi="Times New Roman"/>
          <w:sz w:val="24"/>
        </w:rPr>
        <w:t xml:space="preserve"> manjša ali enaka srednji vrednosti kazalnika, pomnoženi z mejno vrednostjo (kot je določeno v členu 9 te odredbe)</w:t>
      </w:r>
      <w:r>
        <w:rPr>
          <w:rFonts w:ascii="Times New Roman" w:hAnsi="Times New Roman"/>
          <w:sz w:val="24"/>
          <w:shd w:val="clear" w:color="auto" w:fill="FFFFFF"/>
        </w:rPr>
        <w:t>, se vrednosti priglašenih kazalnikov vplivov na okolje izračunajo s povprečnimi vrednostmi občutljivih parametrov.</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V nasprotnem primeru, torej če ima vsaj eden od kazalnikov za nadzor vplivov na okolje največjo vrednost, večjo od </w:t>
      </w:r>
      <w:r>
        <w:rPr>
          <w:rFonts w:ascii="Times New Roman" w:hAnsi="Times New Roman"/>
          <w:sz w:val="24"/>
        </w:rPr>
        <w:t>povprečne vrednosti kazalnika, pomnožene z mejno vrednostjo (kot je določeno v členu 9 te odredbe)</w:t>
      </w:r>
      <w:r>
        <w:rPr>
          <w:rFonts w:ascii="Times New Roman" w:hAnsi="Times New Roman"/>
          <w:sz w:val="24"/>
          <w:shd w:val="clear" w:color="auto" w:fill="FFFFFF"/>
        </w:rPr>
        <w:t>, potem je treba priglasiti zgornjo mejno vrednost. Ta zgornja mejna vrednost ustreza vrednosti kazalnikov, dobljenih pri uporabi najvišjih vrednosti (ali maksimalnih z verjetnostjo 95 %, če se uporabi statistični pristop) občutljivih parametrov.</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Natančna identifikacija proizvodov, zajetih v izjavi</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Za ugotovitev, ali je verjetno, da bo proizvod zajet v skupni okoljski izjavi, je treba ugotoviti, ali je proizvod podoben standardnemu zajetemu proizvodu in ali je registracijski zavezanec za dani proizvod pooblaščen za uporabo te skupne okoljske izjave.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Identifikacija standardnega proizvoda</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Standardni proizvod mora biti pravilno opredeljen in opisan z namenom lažje uskladitve med opisom danega proizvoda in opisom standardnega proizvoda. Opis standardnega proizvoda mora vsebovati najmanj naslednje:</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seznam glavnih sestavnih delov ali prevladujočih materialov,</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informacije o funkcionalnosti ali stopnji učinkovitosti.</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Ta identifikacija mora zadostovati, da se hitro in nedvoumno ugotovi, ali je določen proizvod lahko zajet v skupni izjavi.</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Identifikacija registracijskih zavezancev, ki lahko uporabljajo skupno okoljsko izjavo</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Ker je skupna okoljska izjava lastnina in odgovornost skupnosti, se lahko skupnost odloči, da to skupno okoljsko izjavo smejo uporabiti samo nekateri registracijski zavezanci.</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Predložiti je treba seznam registracijskih zavezancev, ki imajo dovoljenje za uporabo posamezne skupne okoljske izjave:</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bodisi v obliki izčrpnega seznama imen;</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ali v obliki pogojev za članstvo v kolektivnem subjektu (združenje, sindikat, podpisniki listine dobrih praks itd.). V tem primeru mora biti seznam članov takšne skupnosti javno dostopen.</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Vsebina okvira veljavnosti</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Okvir veljavnosti mora vsebovati najmanj:</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identifikacijo standardnega proizvoda (obvezno);</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proizvode, zajete v skupni okoljski izjavi;</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opredelitev registracijskih zavezancev, ki smejo uporabiti skupno okoljsko izjavo;</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poročilo o študiji občutljivosti, ki vključuje razpon veljavnosti in zagotavlja dokaze, da so navedene vrednosti kazalnikov homogene.</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Uporaba okvira veljavnosti</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 bi registracijski zavezanec lahko uporabil skupno okoljsko izjavo za svoj proizvod, mora predložiti naslednja dokazila:</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 je njihov proizvod skladen s „standardnim proizvodom“, ki je zajet v skupni okoljski izjavi;</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 je na seznamu registracijskih zavezancev, ki so upravičeni za uporabo dane skupne okoljske izjave;</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 je v skladu z obsegom veljavnosti zadevne skupne okoljske izjave.</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385B" w14:textId="77777777" w:rsidR="00CF2955" w:rsidRDefault="00CF2955" w:rsidP="00F76954">
      <w:pPr>
        <w:spacing w:after="0" w:line="240" w:lineRule="auto"/>
      </w:pPr>
      <w:r>
        <w:separator/>
      </w:r>
    </w:p>
  </w:endnote>
  <w:endnote w:type="continuationSeparator" w:id="0">
    <w:p w14:paraId="3E52BB4F" w14:textId="77777777" w:rsidR="00CF2955" w:rsidRDefault="00CF2955"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Stran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od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AF87" w14:textId="77777777" w:rsidR="00CF2955" w:rsidRDefault="00CF2955" w:rsidP="00F76954">
      <w:pPr>
        <w:spacing w:after="0" w:line="240" w:lineRule="auto"/>
      </w:pPr>
      <w:r>
        <w:separator/>
      </w:r>
    </w:p>
  </w:footnote>
  <w:footnote w:type="continuationSeparator" w:id="0">
    <w:p w14:paraId="07646E8C" w14:textId="77777777" w:rsidR="00CF2955" w:rsidRDefault="00CF2955"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9"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0"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3"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6"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0"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1"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4"/>
  </w:num>
  <w:num w:numId="6">
    <w:abstractNumId w:val="56"/>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6"/>
  </w:num>
  <w:num w:numId="14">
    <w:abstractNumId w:val="17"/>
  </w:num>
  <w:num w:numId="15">
    <w:abstractNumId w:val="66"/>
  </w:num>
  <w:num w:numId="16">
    <w:abstractNumId w:val="26"/>
  </w:num>
  <w:num w:numId="17">
    <w:abstractNumId w:val="47"/>
  </w:num>
  <w:num w:numId="18">
    <w:abstractNumId w:val="29"/>
  </w:num>
  <w:num w:numId="19">
    <w:abstractNumId w:val="30"/>
  </w:num>
  <w:num w:numId="20">
    <w:abstractNumId w:val="37"/>
  </w:num>
  <w:num w:numId="21">
    <w:abstractNumId w:val="12"/>
  </w:num>
  <w:num w:numId="22">
    <w:abstractNumId w:val="43"/>
  </w:num>
  <w:num w:numId="23">
    <w:abstractNumId w:val="23"/>
  </w:num>
  <w:num w:numId="24">
    <w:abstractNumId w:val="39"/>
  </w:num>
  <w:num w:numId="25">
    <w:abstractNumId w:val="63"/>
  </w:num>
  <w:num w:numId="26">
    <w:abstractNumId w:val="65"/>
  </w:num>
  <w:num w:numId="27">
    <w:abstractNumId w:val="50"/>
  </w:num>
  <w:num w:numId="28">
    <w:abstractNumId w:val="57"/>
  </w:num>
  <w:num w:numId="29">
    <w:abstractNumId w:val="9"/>
  </w:num>
  <w:num w:numId="30">
    <w:abstractNumId w:val="45"/>
  </w:num>
  <w:num w:numId="31">
    <w:abstractNumId w:val="42"/>
  </w:num>
  <w:num w:numId="32">
    <w:abstractNumId w:val="59"/>
  </w:num>
  <w:num w:numId="33">
    <w:abstractNumId w:val="52"/>
  </w:num>
  <w:num w:numId="34">
    <w:abstractNumId w:val="55"/>
  </w:num>
  <w:num w:numId="35">
    <w:abstractNumId w:val="31"/>
  </w:num>
  <w:num w:numId="36">
    <w:abstractNumId w:val="13"/>
  </w:num>
  <w:num w:numId="37">
    <w:abstractNumId w:val="48"/>
  </w:num>
  <w:num w:numId="38">
    <w:abstractNumId w:val="11"/>
  </w:num>
  <w:num w:numId="39">
    <w:abstractNumId w:val="60"/>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0"/>
  </w:num>
  <w:num w:numId="51">
    <w:abstractNumId w:val="62"/>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49"/>
  </w:num>
  <w:num w:numId="59">
    <w:abstractNumId w:val="20"/>
  </w:num>
  <w:num w:numId="60">
    <w:abstractNumId w:val="10"/>
  </w:num>
  <w:num w:numId="61">
    <w:abstractNumId w:val="41"/>
  </w:num>
  <w:num w:numId="62">
    <w:abstractNumId w:val="16"/>
  </w:num>
  <w:num w:numId="63">
    <w:abstractNumId w:val="24"/>
  </w:num>
  <w:num w:numId="64">
    <w:abstractNumId w:val="16"/>
  </w:num>
  <w:num w:numId="65">
    <w:abstractNumId w:val="61"/>
  </w:num>
  <w:num w:numId="66">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8"/>
  </w:num>
  <w:num w:numId="69">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1"/>
  </w:num>
  <w:num w:numId="72">
    <w:abstractNumId w:val="64"/>
  </w:num>
  <w:num w:numId="73">
    <w:abstractNumId w:val="53"/>
  </w:num>
  <w:num w:numId="74">
    <w:abstractNumId w:val="21"/>
  </w:num>
  <w:num w:numId="75">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2FD4"/>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672C"/>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sl-SI"/>
    </w:rPr>
  </w:style>
  <w:style w:type="character" w:styleId="FootnoteReference">
    <w:name w:val="footnote reference"/>
    <w:uiPriority w:val="99"/>
    <w:semiHidden/>
    <w:rsid w:val="003D011E"/>
    <w:rPr>
      <w:noProof/>
      <w:position w:val="6"/>
      <w:sz w:val="18"/>
      <w:vertAlign w:val="baseline"/>
      <w:lang w:val="sl-SI"/>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sl-SI"/>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sl-SI"/>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sl-SI"/>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sl-SI"/>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sl-SI"/>
    </w:rPr>
  </w:style>
  <w:style w:type="character" w:styleId="PageNumber">
    <w:name w:val="page number"/>
    <w:uiPriority w:val="99"/>
    <w:rsid w:val="003D011E"/>
    <w:rPr>
      <w:noProof/>
      <w:lang w:val="sl-SI"/>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sl-SI"/>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6887</Words>
  <Characters>39256</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16</cp:revision>
  <dcterms:created xsi:type="dcterms:W3CDTF">2021-04-28T07:24:00Z</dcterms:created>
  <dcterms:modified xsi:type="dcterms:W3CDTF">2021-05-13T11:51:00Z</dcterms:modified>
</cp:coreProperties>
</file>