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Despacho de 14 de dezembro de 2021 Relativo à declaração ambiental dos produtos destinados a ser utilizados em obras de construção e à declaração ambiental dos produtos utilizados no cálculo do desempenho ambiental dos edifícios</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n.º 0296 de 21 de dezembro de 2021</w:t>
      </w:r>
      <w:r>
        <w:rPr>
          <w:rFonts w:ascii="Times New Roman" w:hAnsi="Times New Roman"/>
          <w:sz w:val="24"/>
        </w:rPr>
        <w:br/>
        <w:t>Texto n.º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06845229" w14:textId="1632FBD4"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Público-alvo afetado: registantes afetados por produtos de construção e decoração, bem como equipamentos elétricos, eletrónicos e de engenharia climática destinados para utilização na construção de edifícios ou utilizados para calcular o desempenho ambiental dos edifícios. </w:t>
      </w:r>
      <w:r>
        <w:rPr>
          <w:rFonts w:ascii="Times New Roman" w:hAnsi="Times New Roman"/>
          <w:sz w:val="24"/>
        </w:rPr>
        <w:br/>
        <w:t xml:space="preserve">Objetivo: especificar a aplicação dos artigos R. 171-14 a R. 171-22 e dos artigos R. 171-23 a R. 171-31 do Código da Construção e da Habitação. </w:t>
      </w:r>
      <w:r>
        <w:rPr>
          <w:rFonts w:ascii="Times New Roman" w:hAnsi="Times New Roman"/>
          <w:sz w:val="24"/>
        </w:rPr>
        <w:br/>
        <w:t xml:space="preserve">Entrada em vigor: o texto entra em vigor a 1 de janeiro de 2022. </w:t>
      </w:r>
      <w:r>
        <w:rPr>
          <w:rFonts w:ascii="Times New Roman" w:hAnsi="Times New Roman"/>
          <w:sz w:val="24"/>
        </w:rPr>
        <w:br/>
        <w:t xml:space="preserve">Nota: o objetivo do Despacho passa por especificar a aplicação dos artigos R. 171-14 a R. 171-22 e dos artigos R. 171-23 a R. 171-31 do Código da Construção e da Habitação. </w:t>
      </w:r>
      <w:r>
        <w:rPr>
          <w:rFonts w:ascii="Times New Roman" w:hAnsi="Times New Roman"/>
          <w:sz w:val="24"/>
        </w:rPr>
        <w:br/>
        <w:t xml:space="preserve">O Despacho estabelece: </w:t>
      </w:r>
      <w:r>
        <w:rPr>
          <w:rFonts w:ascii="Times New Roman" w:hAnsi="Times New Roman"/>
          <w:sz w:val="24"/>
        </w:rPr>
        <w:br/>
      </w:r>
      <w:r w:rsidR="006C1C16">
        <w:rPr>
          <w:rFonts w:ascii="Times New Roman" w:hAnsi="Times New Roman"/>
          <w:sz w:val="24"/>
        </w:rPr>
        <w:t>-</w:t>
      </w:r>
      <w:r>
        <w:rPr>
          <w:rFonts w:ascii="Times New Roman" w:hAnsi="Times New Roman"/>
          <w:sz w:val="24"/>
        </w:rPr>
        <w:t xml:space="preserve"> informações pormenorizadas sobre as informações referidas no artigo R. 171-17 do Código da Construção e da Habitação; </w:t>
      </w:r>
      <w:r>
        <w:rPr>
          <w:rFonts w:ascii="Times New Roman" w:hAnsi="Times New Roman"/>
          <w:sz w:val="24"/>
        </w:rPr>
        <w:br/>
      </w:r>
      <w:r w:rsidR="006C1C16">
        <w:rPr>
          <w:rFonts w:ascii="Times New Roman" w:hAnsi="Times New Roman"/>
          <w:sz w:val="24"/>
        </w:rPr>
        <w:t>-</w:t>
      </w:r>
      <w:r>
        <w:rPr>
          <w:rFonts w:ascii="Times New Roman" w:hAnsi="Times New Roman"/>
          <w:sz w:val="24"/>
        </w:rPr>
        <w:t xml:space="preserve"> os métodos de cálculo dos indicadores referidos no artigo R. 171-17 do Código da Construção e da Habitação; </w:t>
      </w:r>
      <w:r>
        <w:rPr>
          <w:rFonts w:ascii="Times New Roman" w:hAnsi="Times New Roman"/>
          <w:sz w:val="24"/>
        </w:rPr>
        <w:br/>
      </w:r>
      <w:r w:rsidR="006C1C16">
        <w:rPr>
          <w:rFonts w:ascii="Times New Roman" w:hAnsi="Times New Roman"/>
          <w:sz w:val="24"/>
        </w:rPr>
        <w:t>-</w:t>
      </w:r>
      <w:r>
        <w:rPr>
          <w:rFonts w:ascii="Times New Roman" w:hAnsi="Times New Roman"/>
          <w:sz w:val="24"/>
        </w:rPr>
        <w:t xml:space="preserve"> os elementos, referidos no artigo R. 171-21 do Código da Construção e da Habitação, que justificam as informações contidas na declaração ambiental; </w:t>
      </w:r>
      <w:r>
        <w:rPr>
          <w:rFonts w:ascii="Times New Roman" w:hAnsi="Times New Roman"/>
          <w:sz w:val="24"/>
        </w:rPr>
        <w:br/>
      </w:r>
      <w:r w:rsidR="006C1C16">
        <w:rPr>
          <w:rFonts w:ascii="Times New Roman" w:hAnsi="Times New Roman"/>
          <w:sz w:val="24"/>
        </w:rPr>
        <w:t>-</w:t>
      </w:r>
      <w:r>
        <w:rPr>
          <w:rFonts w:ascii="Times New Roman" w:hAnsi="Times New Roman"/>
          <w:sz w:val="24"/>
        </w:rPr>
        <w:t xml:space="preserve"> quando o endereço da(s) base(s) de dados em que as declarações ambientais referidas no artigo R. 171-17 do Código da Construção e da Habitação, na posse de um certificado de verificação, referido no artigo R. 171-18 do Código da Construção e da Habitação, disponibilizadas ao público é preenchido; </w:t>
      </w:r>
      <w:r>
        <w:rPr>
          <w:rFonts w:ascii="Times New Roman" w:hAnsi="Times New Roman"/>
          <w:sz w:val="24"/>
        </w:rPr>
        <w:br/>
      </w:r>
      <w:r w:rsidR="006C1C16">
        <w:rPr>
          <w:rFonts w:ascii="Times New Roman" w:hAnsi="Times New Roman"/>
          <w:sz w:val="24"/>
        </w:rPr>
        <w:t>-</w:t>
      </w:r>
      <w:r>
        <w:rPr>
          <w:rFonts w:ascii="Times New Roman" w:hAnsi="Times New Roman"/>
          <w:sz w:val="24"/>
        </w:rPr>
        <w:t xml:space="preserve"> as condições para a elaboração de declarações ambientais coletivas relativas a produtos de construção ou decoração ou equipamentos por parte de vários registantes; </w:t>
      </w:r>
      <w:r>
        <w:rPr>
          <w:rFonts w:ascii="Times New Roman" w:hAnsi="Times New Roman"/>
          <w:sz w:val="24"/>
        </w:rPr>
        <w:br/>
      </w:r>
      <w:r w:rsidR="006C1C16">
        <w:rPr>
          <w:rFonts w:ascii="Times New Roman" w:hAnsi="Times New Roman"/>
          <w:sz w:val="24"/>
        </w:rPr>
        <w:t>-</w:t>
      </w:r>
      <w:r>
        <w:rPr>
          <w:rFonts w:ascii="Times New Roman" w:hAnsi="Times New Roman"/>
          <w:sz w:val="24"/>
        </w:rPr>
        <w:t xml:space="preserve"> as condições para a elaboração de declarações atribuíveis relativas a produtos de construção ou decoração ou equipamentos. </w:t>
      </w:r>
      <w:r>
        <w:rPr>
          <w:rFonts w:ascii="Times New Roman" w:hAnsi="Times New Roman"/>
          <w:sz w:val="24"/>
        </w:rPr>
        <w:br/>
        <w:t xml:space="preserve">Referências: os textos criados ou modificados por este Despacho podem ser consultados, na sua redação resultante desta alteração, no site da Légifrance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da Transição Ecológica e o Ministro-adjunto responsável pela habitação, adjunto do Ministro da Transição Ecológica,</w:t>
      </w:r>
      <w:r>
        <w:rPr>
          <w:rFonts w:ascii="Times New Roman" w:hAnsi="Times New Roman"/>
          <w:sz w:val="24"/>
        </w:rPr>
        <w:br/>
        <w:t xml:space="preserve">Tendo em conta a Diretiva (UE) 2015/1535 do Parlamento Europeu e do Conselho, de 9 de setembro de 2015, relativa a um procedimento de informação no domínio das </w:t>
      </w:r>
      <w:r>
        <w:rPr>
          <w:rFonts w:ascii="Times New Roman" w:hAnsi="Times New Roman"/>
          <w:sz w:val="24"/>
        </w:rPr>
        <w:lastRenderedPageBreak/>
        <w:t>regulamentações técnicas e das regras relativas aos serviços da sociedade da informação e a Notificação n.º 2021/257/F dirigida à Comissão Europeia em 28 de abril de 2021 acompanhada pela resposta de 29 de julho de 2021;</w:t>
      </w:r>
      <w:r>
        <w:rPr>
          <w:rFonts w:ascii="Times New Roman" w:hAnsi="Times New Roman"/>
          <w:sz w:val="24"/>
        </w:rPr>
        <w:br/>
        <w:t>Tendo em conta o Código do Consumidor, nomeadamente o ponto 10 do artigo L. 412-1;</w:t>
      </w:r>
      <w:r>
        <w:rPr>
          <w:rFonts w:ascii="Times New Roman" w:hAnsi="Times New Roman"/>
          <w:sz w:val="24"/>
        </w:rPr>
        <w:br/>
        <w:t>Tendo em conta o Código da Construção e da Habitação, nomeadamente os artigos R. 171-14 a R. 171-31;</w:t>
      </w:r>
      <w:r>
        <w:rPr>
          <w:rFonts w:ascii="Times New Roman" w:hAnsi="Times New Roman"/>
          <w:sz w:val="24"/>
        </w:rPr>
        <w:br/>
        <w:t>Tendo em conta o parecer do Alto Conselho para a Construção e Eficiência Energética, de 13 de abril de 2021;</w:t>
      </w:r>
      <w:r>
        <w:rPr>
          <w:rFonts w:ascii="Times New Roman" w:hAnsi="Times New Roman"/>
          <w:sz w:val="24"/>
        </w:rPr>
        <w:br/>
        <w:t>Tendo em conta as observações efetuadas durante a consulta pública realizada de 18 de maio a 8 de junho de 2021, nos termos do artigo L. 123-19-1 do Código do Ambiente;</w:t>
      </w:r>
      <w:r>
        <w:rPr>
          <w:rFonts w:ascii="Times New Roman" w:hAnsi="Times New Roman"/>
          <w:sz w:val="24"/>
        </w:rPr>
        <w:br/>
        <w:t>Decretam o seguinte: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1.º</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As disposições do presente Despacho aplicam-se aos produtos de construção, aos produtos de decoração e aos equipamentos elétricos, eletrónicos e de engenharia climática, referidos no artigo R. 171-14 do Código da Construção e da Habitação e no artigo R. 171-23 do Código da Construção e da Habitação.</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2.º</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Para efeitos do presente despacho são aplicáveis as seguintes definições:</w:t>
      </w:r>
      <w:r>
        <w:rPr>
          <w:rFonts w:ascii="Times New Roman" w:hAnsi="Times New Roman"/>
          <w:sz w:val="24"/>
        </w:rPr>
        <w:br/>
        <w:t>«Declaração atribuível»: declaração ambiental com regras para adaptar as informações nela mencionadas de modo a corresponder a um determinado produto e a uma ferramenta informática que vise aplicar essas regras.</w:t>
      </w:r>
      <w:r>
        <w:rPr>
          <w:rFonts w:ascii="Times New Roman" w:hAnsi="Times New Roman"/>
          <w:sz w:val="24"/>
        </w:rPr>
        <w:br/>
        <w:t>Nos artigos seguintes, o termo «declarante» é entendido como «declarante», tal como definido no artigo R. 171-15 do Código da Construção e da Habitação ou como «responsável pela colocação no mercado» tal como definido no artigo R. 171-24 do Código da Construção e da Habitação.</w:t>
      </w:r>
      <w:r>
        <w:rPr>
          <w:rFonts w:ascii="Times New Roman" w:hAnsi="Times New Roman"/>
          <w:sz w:val="24"/>
        </w:rPr>
        <w:br/>
        <w:t>Nos artigos seguintes, o termo «produto» deve ser entendido como «produtos de construção», «produtos de decoração» e «equipamentos elétricos, eletrónicos e de engenharia climática» tal como definido no artigo R. 171-15 do Código da Construção e da Habitação.</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3.º</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declaração ambiental deve conter a informação referida no artigo R. 171-17 do Código da Construção e da Habitação.</w:t>
      </w:r>
      <w:r>
        <w:rPr>
          <w:rFonts w:ascii="Times New Roman" w:hAnsi="Times New Roman"/>
          <w:sz w:val="24"/>
        </w:rPr>
        <w:br/>
        <w:t>Nos termos do ponto 1 do artigo R. 171-17 do Código da Construção e da Habitação, a declaração ambiental deve conter, para a fase de produção, a fase do processo de construção, a fase de utilização, a fase de fim de vida e a soma destas fases, os valores dos seguintes indicadores:</w:t>
      </w:r>
    </w:p>
    <w:p w14:paraId="1B8C0EF8" w14:textId="6A2B562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referentes aos impactos ambientais: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aquecimento global (emissões de gases com efeito de estufa);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empobrecimento da camada de ozono;</w:t>
      </w:r>
      <w:r>
        <w:rPr>
          <w:rFonts w:ascii="Times New Roman" w:hAnsi="Times New Roman"/>
          <w:sz w:val="24"/>
        </w:rPr>
        <w:br/>
      </w:r>
      <w:r w:rsidR="006C1C16">
        <w:rPr>
          <w:rFonts w:ascii="Times New Roman" w:hAnsi="Times New Roman"/>
          <w:sz w:val="24"/>
        </w:rPr>
        <w:lastRenderedPageBreak/>
        <w:t xml:space="preserve">- </w:t>
      </w:r>
      <w:r>
        <w:rPr>
          <w:rFonts w:ascii="Times New Roman" w:hAnsi="Times New Roman"/>
          <w:sz w:val="24"/>
        </w:rPr>
        <w:t>acidificação do solo e da água;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eutrofização;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formação fotoquímica de ozono;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redução de recursos abióticos – elementos;</w:t>
      </w:r>
      <w:r>
        <w:rPr>
          <w:rFonts w:ascii="Times New Roman" w:hAnsi="Times New Roman"/>
          <w:sz w:val="24"/>
        </w:rPr>
        <w:br/>
        <w:t>- esgotamento de recursos abióticos – combustíveis fósseis.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referentes à utilização de recursos: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de energia primária renovável, excluindo os recursos de energia primária renovável utilizados como matérias-primas;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de recursos de energia primária renovável utilizados como matérias-primas;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total de recursos de energia primária renovável (energia primária e recursos de energia primária utilizados como matérias-primas);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de energia primária não renovável, excluindo os recursos de energia primária não renovável utilizados como matérias-primas;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de recursos de energia primária não renovável utilizados como matérias-primas;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total de recursos de energia primária não renovável (energia primária e recursos de energia primária utilizados como matérias-primas);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de material secundário;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de combustíveis secundários renováveis;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de combustíveis secundários não renováveis;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utilização líquida de água doce.</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referentes às categorias de resíduos: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resíduos perigosos eliminados;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resíduos não perigosos eliminados;</w:t>
      </w:r>
      <w:r>
        <w:rPr>
          <w:rFonts w:ascii="Times New Roman" w:hAnsi="Times New Roman"/>
          <w:sz w:val="24"/>
        </w:rPr>
        <w:br/>
        <w:t>- resíduos radioativos eliminados.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referentes aos fluxos de saída: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componentes destinados a reutilização;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materiais destinados a reciclagem;</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materiais destinados à recuperação de energia;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energia fornecida ao ar livre.</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Nos termos do ponto 4 do artigo R. 171-17 do Código da Construção e da Habitação, em caso de declaração ambiental afetada pelos requisitos do artigo 8.º do presente despacho, a declaração ambiental deve conter os intervalos de variação (valores máximos e mínimos) dos indicadores de controlo definidos no artigo 8.º do presente despacho.</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4.º</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 registante manterá à disposição das autoridades de inspeção e da entidade jurídica responsável pela implementação de um programa de declaração ambiental, tal como referido no artigo R. 171-21 do Código da Construção e da Habitação e no artigo R. 171-26 do Código da Construção e da Habitação, todos os elementos, ou dados de contacto das pessoas singulares ou coletivas que os possuam, a fim de justificar as informações contidas na declaração ambiental.</w:t>
      </w:r>
      <w:r>
        <w:rPr>
          <w:rFonts w:ascii="Times New Roman" w:hAnsi="Times New Roman"/>
          <w:sz w:val="24"/>
        </w:rPr>
        <w:br/>
        <w:t>Os elementos acima referidos são os seguintes:</w:t>
      </w:r>
    </w:p>
    <w:p w14:paraId="4D6FBAE8" w14:textId="0E59E41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a origem das matérias-primas, dos materiais e dos componentes do produto;</w:t>
      </w:r>
      <w:r>
        <w:rPr>
          <w:rFonts w:ascii="Times New Roman" w:hAnsi="Times New Roman"/>
          <w:sz w:val="24"/>
        </w:rPr>
        <w:br/>
      </w:r>
      <w:r w:rsidR="006C1C16">
        <w:rPr>
          <w:rFonts w:ascii="Times New Roman" w:hAnsi="Times New Roman"/>
          <w:sz w:val="24"/>
        </w:rPr>
        <w:lastRenderedPageBreak/>
        <w:t xml:space="preserve">- </w:t>
      </w:r>
      <w:r>
        <w:rPr>
          <w:rFonts w:ascii="Times New Roman" w:hAnsi="Times New Roman"/>
          <w:sz w:val="24"/>
        </w:rPr>
        <w:t>a identificação dos dados não incluídos no inventário do ciclo de vida de acordo com a regra de corte;</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a massa total de entradas não incluídas no inventário do ciclo de vida devido à regra de corte;</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os resultados dos cálculos do inventário;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elementos comprovativos do período de vida de referência do produto;</w:t>
      </w:r>
      <w:r>
        <w:rPr>
          <w:rFonts w:ascii="Times New Roman" w:hAnsi="Times New Roman"/>
          <w:sz w:val="24"/>
        </w:rPr>
        <w:br/>
        <w:t>- documentação relativa à representatividade tecnológica, geográfica e temporal dos dados genéricos utilizados, referências das bases de dados de que são originárias e referências dos módulos de dados utilizados, no caso de terem de ser utilizados dados genéricos originários de bases de dados públicas ou privadas;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os cenários em que se baseia o inventário do ciclo de vida;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as instalações de produção abrangidas pela declaração ambiental;</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a produção de cada instalação, expressa na unidade de quantidade definida na unidade funcional;</w:t>
      </w:r>
      <w:r>
        <w:rPr>
          <w:rFonts w:ascii="Times New Roman" w:hAnsi="Times New Roman"/>
          <w:sz w:val="24"/>
        </w:rPr>
        <w:br/>
        <w:t>- os elementos que comprovam que a amostra utilizada é representativa da produção do produto, nomeadamente em termos geográficos, temporais e tecnológicos, no caso de ser utilizado um método de amostragem;</w:t>
      </w:r>
      <w:r>
        <w:rPr>
          <w:rFonts w:ascii="Times New Roman" w:hAnsi="Times New Roman"/>
          <w:sz w:val="24"/>
        </w:rPr>
        <w:br/>
        <w:t>- os elementos constitutivos do quadro de validade das declarações ambientais afetadas pelos requisitos do artigo 8.º do presente despacho;</w:t>
      </w:r>
      <w:r>
        <w:rPr>
          <w:rFonts w:ascii="Times New Roman" w:hAnsi="Times New Roman"/>
          <w:sz w:val="24"/>
        </w:rPr>
        <w:br/>
        <w:t>- os elementos constitutivos da declaração atribuível a que se refere o artigo 10.º do presente despacho.</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5.º</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Os formatos das unidades funcionais, tal como definido no artigo R. 171-15 do Código da Construção e da Habitação, de cada categoria de produtos de construção e decoração são definidos no anexo I do presente despacho.</w:t>
      </w:r>
      <w:r>
        <w:rPr>
          <w:rFonts w:ascii="Times New Roman" w:hAnsi="Times New Roman"/>
          <w:sz w:val="24"/>
        </w:rPr>
        <w:br/>
        <w:t>Os formatos das unidades funcionais ou unidades declaradas, tal como definido no artigo R. 171-15 do Código da Construção e da Habitação, dos equipamentos elétricos, eletrónicos e de engenharia climática são definidos no anexo II do presente despacho.</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6.º</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Presume-se que os métodos de avaliação, cálculo das informações e da determinação dos indicadores referidos nos pontos 1, 2, 3, 14 e 15 do artigo R. 171-17 do Código da Construção e da Habitação e especificados no artigo 3.º do presente despacho, satisfazem os requisitos do mesmo se cumprirem todas as seguintes condições:</w:t>
      </w:r>
    </w:p>
    <w:p w14:paraId="616E0A2A" w14:textId="48CC82A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Não resultam em omissão de processos que representem um total superior a 5% do valor de cada elemento de informação referido;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Não resultam na concessão de benefícios a um produto sujeito à declaração ambiental, os quais são atribuídos a outros produtos aquando do cálculo dos elementos de informação referidos, com exceção dos indicadores relativos aos lucros e despesas associados à avaliação em fim de vida;</w:t>
      </w:r>
      <w:r>
        <w:rPr>
          <w:rFonts w:ascii="Times New Roman" w:hAnsi="Times New Roman"/>
          <w:sz w:val="24"/>
        </w:rPr>
        <w:br/>
        <w:t>- estão em conformidade com a norma NF EN 15804 + A1: 2014-04 ou a norma XP C08-100-1: 2016-12 ou as normas XP C08-100-1: 2016-12 e EN 50693: normas 2019-08, ou qualquer norma equivalente;</w:t>
      </w:r>
      <w:r>
        <w:rPr>
          <w:rFonts w:ascii="Times New Roman" w:hAnsi="Times New Roman"/>
          <w:sz w:val="24"/>
        </w:rPr>
        <w:br/>
      </w:r>
      <w:r>
        <w:rPr>
          <w:rFonts w:ascii="Times New Roman" w:hAnsi="Times New Roman"/>
          <w:sz w:val="24"/>
        </w:rPr>
        <w:lastRenderedPageBreak/>
        <w:t>- devem respeitar o método de cálculo da avaliação dos lucros e despesas relacionados com a avaliação em fim de vida, tal como definido no anexo III deste despacho.</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Além disso, no que respeita às declarações ambientais na posse de um certificado de conformidade depois de 1 de outubro de 2022, em que a declaração ambiental abrange diferentes formas de apresentação do produto abrangido pela mesma, os métodos de avaliação e cálculo das informações referidas devem respeitar as seguintes regras:</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são avaliados os seguintes indicadores de controlo para cada um destes modos de instalação: aquecimento climático, utilização de energia primária não renovável, com exceção dos recursos energéticos primários não renováveis utilizados como matérias-primas, resíduos não perigosos eliminados;</w:t>
      </w:r>
      <w:r>
        <w:rPr>
          <w:rFonts w:ascii="Times New Roman" w:hAnsi="Times New Roman"/>
          <w:sz w:val="24"/>
        </w:rPr>
        <w:br/>
        <w:t>- para cada um destes indicadores de controlo, o valor máximo obtido para a soma das etapas referidas no artigo 3.º deste despacho deve ser comparado à média dos valores obtidos (ou seja, o impacto médio dos diferentes modos de instalação). Se o valor máximo de um destes indicadores for superior a 1,1 vezes em relação ao valor médio, nesse caso, deve ser comunicado o pior valor de cada um dos indicadores definidos na declaração ambiental (ou seja, os piores valores dos diferentes modos de apresentação). Caso contrário, pode ser comunicado o valor médio de cada indicador.</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7.º</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O(s) endereço(s) da(s) base(s) de dados, referido(s) no artigo R. 171-20 do Código da Construção e da Habitação, onde estão disponíveis os dados ambientais do serviço e os dados ambientais por defeito, tal como definidos no artigo R. 171-16 do Código da Construção e da Habitação, bem como as declarações ambientais, estão disponíveis no site do Ministério responsável pela construção.</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8.º</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declaração ambiental pode basear-se numa declaração ambiental coletiva de produtos similares de vários registantes.</w:t>
      </w:r>
      <w:r>
        <w:rPr>
          <w:rFonts w:ascii="Times New Roman" w:hAnsi="Times New Roman"/>
          <w:sz w:val="24"/>
        </w:rPr>
        <w:br/>
        <w:t>1. Esta declaração ambiental coletiva satisfaz as seguintes condições:</w:t>
      </w:r>
    </w:p>
    <w:p w14:paraId="7E91553F" w14:textId="6B58E03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Diz respeito a um «produto normalizado»;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Deve ser estabelecida ao abrigo das condições referidas nos artigos anteriores;</w:t>
      </w:r>
      <w:r>
        <w:rPr>
          <w:rFonts w:ascii="Times New Roman" w:hAnsi="Times New Roman"/>
          <w:sz w:val="24"/>
        </w:rPr>
        <w:br/>
        <w:t>- deve ser assegurada a homogeneidade dos parâmetros que influenciam significativamente o valor de cada indicador; para o efeito, a declaração ambiental coletiva deve conter um quadro de validade, tal como definido no anexo IV deste despacho, que reúna as seguintes informações: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A identificação dos parâmetros determinantes, especificando se estão devidamente preenchidos com dados genéricos ou específicos;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Os períodos de validade dos referidos parâmetros.</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2. O registante que tiver apresentado a declaração ambiental coletiva é responsável pelas informações nela contidas, incluindo uma lista dos produtos em causa e as condições em que os produtos podem estar associados à mesma, se necessário;</w:t>
      </w:r>
      <w:r>
        <w:rPr>
          <w:rFonts w:ascii="Times New Roman" w:hAnsi="Times New Roman"/>
          <w:sz w:val="24"/>
        </w:rPr>
        <w:br/>
        <w:t>3. Os registantes dos produtos abrangidos pela presente declaração ambiental coletiva devem satisfazer as seguintes condições:</w:t>
      </w:r>
    </w:p>
    <w:p w14:paraId="5C7B5DE1" w14:textId="60FD8DAD"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São responsáveis pelas informações que transmitirem ao registante supramencionado;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Devem respeitar o quadro de validade da declaração ambiental coletiva;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Devem apresentar um certificado que indique a conformidade com o quadro de validade da declaração ambiental coletiva;</w:t>
      </w:r>
      <w:r>
        <w:rPr>
          <w:rFonts w:ascii="Times New Roman" w:hAnsi="Times New Roman"/>
          <w:sz w:val="24"/>
        </w:rPr>
        <w:br/>
        <w:t>- devem manter à disposição das autoridades de inspeção e da entidade jurídica responsável pela implementação de um programa de declaração ambiental, os elementos comprovativos do cumprimento do quadro de validade.</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A declaração ambiental coletiva está em conformidade com os requisitos de verificação da verificação independente de terceiros definida no artigo R. 171-18 do Código da Construção e da Habitação e referida no artigo R. 171-29 do Código da Construção e da Habitação.</w:t>
      </w:r>
      <w:r>
        <w:rPr>
          <w:rFonts w:ascii="Times New Roman" w:hAnsi="Times New Roman"/>
          <w:sz w:val="24"/>
        </w:rPr>
        <w:br/>
        <w:t>5. Os indicadores de controlo a considerar devem ser, no mínimo: aquecimento climático, utilização de energia primária não renovável, com exceção dos recursos energéticos primários não renováveis utilizados como matérias-primas, resíduos não perigosos eliminados;</w:t>
      </w:r>
      <w:r>
        <w:rPr>
          <w:rFonts w:ascii="Times New Roman" w:hAnsi="Times New Roman"/>
          <w:sz w:val="24"/>
        </w:rPr>
        <w:br/>
        <w:t>6. As declarações ambientais coletivas devem satisfazer os seguintes requisitos:</w:t>
      </w:r>
      <w:r>
        <w:rPr>
          <w:rFonts w:ascii="Times New Roman" w:hAnsi="Times New Roman"/>
          <w:sz w:val="24"/>
        </w:rPr>
        <w:br/>
        <w:t>Sempre que o valor máximo de cada indicador de controlo, obtido para a soma das etapas referidas no artigo 3.º deste despacho e através do cálculo da variabilidade descrito no anexo IV deste despacho, for igual ou inferior ao valor médio do indicador multiplicado por um valor-limite, os valores dos indicadores podem ser calculados com recurso aos valores médios dos parâmetros sensíveis. Caso contrário, deve ser declarado o limiar menos favorável (o valor máximo que o indicador pode atingir se refletir uma despesa e o valor mínimo se refletir um lucro).</w:t>
      </w:r>
      <w:r>
        <w:rPr>
          <w:rFonts w:ascii="Times New Roman" w:hAnsi="Times New Roman"/>
          <w:sz w:val="24"/>
        </w:rPr>
        <w:br/>
        <w:t>No caso das declarações ambientais coletivas com um certificado de conformidade antes de 1 de outubro de 2022, o valor-limite acima referido é de «1,4» e o cálculo da variabilidade acima mencionado deve abranger, pelo menos, os parâmetros sensíveis relativos:</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à composição do produto: massa e tipo de materiais;</w:t>
      </w:r>
      <w:r>
        <w:rPr>
          <w:rFonts w:ascii="Times New Roman" w:hAnsi="Times New Roman"/>
          <w:sz w:val="24"/>
        </w:rPr>
        <w:br/>
        <w:t>- às massas de embalagem;</w:t>
      </w:r>
      <w:r>
        <w:rPr>
          <w:rFonts w:ascii="Times New Roman" w:hAnsi="Times New Roman"/>
          <w:sz w:val="24"/>
        </w:rPr>
        <w:br/>
        <w:t>- aos processos de fabrico para além da extração e transformação de matérias-primas (fases A2 e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No caso das declarações ambientais coletivas com um certificado de conformidade depois de 1 de outubro de 2022, o valor-limite acima referido é de «1,35» e o cálculo da variabilidade acima mencionado deve abranger, pelo menos, os parâmetros sensíveis relativos:</w:t>
      </w:r>
    </w:p>
    <w:p w14:paraId="40F7CD3B"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à composição do produto: massa e tipo de materiais;</w:t>
      </w:r>
      <w:r>
        <w:rPr>
          <w:rFonts w:ascii="Times New Roman" w:hAnsi="Times New Roman"/>
          <w:sz w:val="24"/>
        </w:rPr>
        <w:br/>
        <w:t>- às massas de embalagem;</w:t>
      </w:r>
      <w:r>
        <w:rPr>
          <w:rFonts w:ascii="Times New Roman" w:hAnsi="Times New Roman"/>
          <w:sz w:val="24"/>
        </w:rPr>
        <w:br/>
        <w:t>aos processos de fabrico para além da extração e transformação de matérias-primas (fases A2 e A3);</w:t>
      </w:r>
      <w:r>
        <w:rPr>
          <w:rFonts w:ascii="Times New Roman" w:hAnsi="Times New Roman"/>
          <w:sz w:val="24"/>
        </w:rPr>
        <w:br/>
        <w:t>ao transporte para o local (fase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9.º</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declaração ambiental pode basear-se em produtos similares do mesmo registante. Estas declarações ambientais devem satisfazer os requisitos aplicáveis às declarações ambientais coletivas definidas no artigo 8.º deste despacho.</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10.º</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declaração ambiental pode basear-se numa declaração atribuível.</w:t>
      </w:r>
      <w:r>
        <w:rPr>
          <w:rFonts w:ascii="Times New Roman" w:hAnsi="Times New Roman"/>
          <w:sz w:val="24"/>
        </w:rPr>
        <w:br/>
        <w:t>Esta declaração atribuível satisfaz as seguintes condições:</w:t>
      </w:r>
    </w:p>
    <w:p w14:paraId="6A4F1CB3" w14:textId="41558309"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Diz respeito a um «produto normalizado»;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Deve ser estabelecida ao abrigo das condições referidas nos artigos anteriores;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Deve conter um conjunto de regras de cálculo para adaptar, com base em parâmetros variáveis, as informações nela mencionadas de modo a corresponder a um produto similar ao produto normalizado, mas cujas dimensões, composição ou determinados processos do ciclo de vida diferem;</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O valor dos parâmetros variáveis acima referidos deve poder ser verificado aquando da entrega de um edifício;</w:t>
      </w:r>
      <w:r>
        <w:rPr>
          <w:rFonts w:ascii="Times New Roman" w:hAnsi="Times New Roman"/>
          <w:sz w:val="24"/>
        </w:rPr>
        <w:br/>
        <w:t>- contém um quadro de conformidade que define os valores que podem ser assumidos pelos parâmetros variáveis acima mencionados e as características a satisfazer pelo produto similar acima mencionado.</w:t>
      </w:r>
    </w:p>
    <w:p w14:paraId="780CDE8F" w14:textId="0890B668"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Qualquer declaração atribuível com um certificado de conformidade depois de 1 de outubro de 2022 deve ser acompanhada por uma ferramenta informática de cálculo para aplicação das regras de cálculo acima referidas e para exportação das informações exigidas ao abrigo do artigo R. 171-17 do Código da Construção e da Habitação e do artigo 3.º deste despacho, juntamente com a lista dos parâmetros variáveis acima referidos e dos seus valores associados. Todas estas informações são exportadas num ficheiro informático de acordo com o formato definido no site do Ministério responsável pela construção.</w:t>
      </w:r>
      <w:r>
        <w:rPr>
          <w:rFonts w:ascii="Times New Roman" w:hAnsi="Times New Roman"/>
          <w:sz w:val="24"/>
        </w:rPr>
        <w:br/>
        <w:t>A verificação independente de terceiros definida no artigo R. 171-18 do Código da Construção e da Habitação e mencionada no artigo R. 171-29 do Código da Construção e da Habitação deve igualmente abranger, no caso de uma declaração atribuível, as regras de cálculo referidas no presente artigo e a ferramenta informática de cálculo referida no número anterior.</w:t>
      </w:r>
    </w:p>
    <w:p w14:paraId="32B267DC" w14:textId="77777777" w:rsidR="006C1C16" w:rsidRPr="00B77F10" w:rsidRDefault="006C1C16" w:rsidP="00B77F10">
      <w:pPr>
        <w:spacing w:before="100" w:beforeAutospacing="1" w:after="100" w:afterAutospacing="1" w:line="240" w:lineRule="auto"/>
        <w:ind w:left="450"/>
        <w:rPr>
          <w:rFonts w:ascii="Times New Roman" w:eastAsia="Times New Roman" w:hAnsi="Times New Roman" w:cs="Times New Roman"/>
          <w:sz w:val="24"/>
          <w:szCs w:val="24"/>
        </w:rPr>
      </w:pP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Artigo 11.º</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Presume-se que a certificação das características ambientais a que se refere o artigo R. 171-27 do Código da Construção e da Habitação seja conforme se tiver em conta todos os requisitos da norma NF EN ISO 14024: 2018-03. A presente certificação de produtos de construção ou decoração ou equipamentos é emitida por uma organização acreditada para o efeito pelo Comité Francês de Acreditação (COFRAC) ou por outro organismo de acreditação signatário de acordos multilaterais de reconhecimento mútuo.</w:t>
      </w:r>
      <w:r>
        <w:rPr>
          <w:rFonts w:ascii="Times New Roman" w:hAnsi="Times New Roman"/>
          <w:sz w:val="24"/>
        </w:rPr>
        <w:br/>
        <w:t>A presente secção não se aplica às declarações ambientais utilizadas no cálculo do desempenho ambiental de edifícios.</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12.º</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É revogado o despacho de 23 de dezembro de 2013 relativo à declaração ambiental dos produtos de construção e decoração destinados a ser utilizados em obras de construção.</w:t>
      </w:r>
      <w:r>
        <w:rPr>
          <w:rFonts w:ascii="Times New Roman" w:hAnsi="Times New Roman"/>
          <w:sz w:val="24"/>
        </w:rPr>
        <w:br/>
        <w:t>É revogado o despacho de 31 de agosto de 2015 relativo à declaração ambiental dos equipamentos elétricos, eletrónicos e de engenharia climática destinados a ser utilizados em obras de construção.</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13.º</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As disposições do presente despacho entram em vigor em 1 de janeiro de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14.º</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 Diretor da Habitação, do Desenvolvimento Urbano e da Paisagem será responsável pela execução do presente despacho, que será publicado no Jornal Oficial da República Francesa.</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Artigo</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ANEXOS</w:t>
      </w:r>
      <w:r>
        <w:rPr>
          <w:rFonts w:ascii="Times New Roman" w:hAnsi="Times New Roman"/>
          <w:sz w:val="24"/>
        </w:rPr>
        <w:br/>
        <w:t>ANEXO I</w:t>
      </w:r>
      <w:r>
        <w:rPr>
          <w:rFonts w:ascii="Times New Roman" w:hAnsi="Times New Roman"/>
          <w:sz w:val="24"/>
        </w:rPr>
        <w:br/>
        <w:t>FORMATOS DAS UNIDADES FUNCIONAIS DE CADA CATEGORIA DE PRODUTOS DE CONSTRUÇÃO OU DECORAÇÃO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
        <w:gridCol w:w="3134"/>
        <w:gridCol w:w="2849"/>
        <w:gridCol w:w="2544"/>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N.º</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FORMATO DA UNIDADE</w:t>
            </w:r>
            <w:r>
              <w:rPr>
                <w:rFonts w:ascii="Times New Roman" w:hAnsi="Times New Roman"/>
                <w:b/>
                <w:sz w:val="24"/>
              </w:rPr>
              <w:br/>
              <w:t>funcional em unidades</w:t>
            </w:r>
            <w:r>
              <w:rPr>
                <w:rFonts w:ascii="Times New Roman" w:hAnsi="Times New Roman"/>
                <w:b/>
                <w:sz w:val="24"/>
              </w:rPr>
              <w:br/>
              <w:t>do sistema internacional</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Estradas, redes diversas (incluindo redes internas)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Tanques e reservatórios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Uma unidade de um determinado volume</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Redes de drenagem e saneamento (água da chuva e águas residuais)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médio</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Redes de abastecimento de água (interior e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médio</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Redes de abastecimento de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médio</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Sistema de drenagem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médio</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Estradas e superfícies exteriores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superfície para um determinado uso (terraços exteriores, estradas de baixo tráfego, parques, etc.)</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Vedação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vedação</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Revestimentos/condutas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Estrutura, alvenaria, trabalho principal, quadro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Condutas interiores e tubos de exaustão de chaminés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conduta para uma determinada secção interna</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Mestra/mestra para reboco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para uma determinada espessura</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Quadros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área coberta ou m</w:t>
            </w:r>
            <w:r>
              <w:rPr>
                <w:rFonts w:ascii="Times New Roman" w:hAnsi="Times New Roman"/>
                <w:sz w:val="24"/>
                <w:vertAlign w:val="superscript"/>
              </w:rPr>
              <w:t>3</w:t>
            </w:r>
            <w:r>
              <w:rPr>
                <w:rFonts w:ascii="Times New Roman" w:hAnsi="Times New Roman"/>
                <w:sz w:val="24"/>
              </w:rPr>
              <w:t xml:space="preserve"> ou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Contraventamento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contraventamento ou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Placas de cimento e placas de cimento pré-moldadas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horizontais de suporte (vigas, traves, isolamento, placas de cimento ocas, placas de cimento vazias, vergas)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elemento de suporte de carga (especificar escopo e secção) ou m² (para elemento de superfície) ou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verticais de suporte de carga (postes/colunas/pilares)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elemento (especificar secção) ou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Escadas (interiores e exteriores)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Uma unidade para uma determinada elevação de altura</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Fundações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Pequenos componentes de alvenaria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(especificar resistência térmica)</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pavimento (especificar carga suportada)</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Paredes (elementos arquitetónicos)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(especificar espessura)</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Fachadas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Revestimentos (preparação, lambrins, revestimentos)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fachada</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Divisórias e claraboias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fachada (especificar percentagem de superfície opaca)</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Superfície exterior de fachada (incluindo sistemas de isolamento térmico externos compostos)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fachada (especificar resistência térmica, se necessário)</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Cobertura/impermeabilização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de cobertura de grandes dimensões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de cobertura de pequenas dimensões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Produtos de impermeabilização e vedação para paredes enterradas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Produtos para impermeabilização de coberturas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de cobertura verde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 (especificar tipo de vegetação suportada e características térmicas, se necessário)</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Carpintaria interior e exterior, dispositivos de fecho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Janelas, janelas francesas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marcenaria (área de superfície aberta antes da montagem) (especificar valor U, fator solar, classificação do vento, da água, do ar e transmissão de luz)</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Guardas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guardas de segurança</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Portas (interiores, exteriores, portais,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(área de superfície aberta antes da instalação)</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Persianas, estores, grelhas, quebra-sóis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área de superfície opaca/protegida</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Claraboias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marcenaria (área de superfície aberta antes da montagem) (especificar valor U, fator solar, classificação do vento, da água, do ar e transmissão de luz)</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Caixas de viga, painéis de teto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térmica)</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Sistemas de revestimento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térmica)</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adicional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térmica)</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Placas de cimento ocas, painéis de isolamento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térmica)</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Isoladores de parede térmica e acústica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 ou desempenho do som)</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Isoladores térmicos e acústicos para sótãos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térmico e acústico, a granel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Isoladores de calor e som para terraços cobertos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térmico e acústico debaixo do revestimento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 ou desempenho do som)</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distribuído não portador de carga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Isoladores de calor e som para paredes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Isoladores de som para divisórias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desempenho do som)</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térmico e acústico sob placas de cimento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 ou desempenho do som)</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sob lajes de pavimento e pisos ao nível do solo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isolamento (especificar resistência ao calor)</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Divisórias interiores, tetos falsos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Divisórias interiores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divisórias interiores (especificar desempenho acústico, se necessário)</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Tetos falsos, tetos tensos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teto falso (especificar desempenho acústico)</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Revestimentos para pavimentos e paredes, tintas, produtos de decoração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Tintas, corantes e vernizes, camadas de reboco (sem saturadores)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área coberta</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Rodapés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rodapés</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Revestimentos para paredes e tetos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revestimento</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Revestimentos para pavimentos duros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revestimento (especificar classe de utilização ou classificação de resistência ao desgaste e à punção, comportamento da água e resistência a agentes químicos, ou equivalente)</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Revestimentos para pavimentos macios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revestimento (especificar classe de utilização ou classificação de resistência ao desgaste e à punção, comportamento da água e resistência a agentes químicos, ou equivalente)</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Produtos acústicos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revestimento (especificar classe de utilização ou classificação de resistência ao desgaste e à punção, comportamento da água e resistência a agentes químicos, ou equivalente)</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Saturadores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área coberta</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Produtos de preparação e implementação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Colas de carpintaria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densidade)</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Reparações e montagem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densidade)</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Solo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colas para o chão</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Argamassas de alvenaria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densidade)</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Mosaicos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área em mosaico</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Decoração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densidade)</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Mástiques e espumas de poliuretano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(especificar massa linear)</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Química da construção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densidade)</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Produtos para betão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densidade)</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Resinas sintéticas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(especificar densidade)</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Equipamentos sanitários e de casa de banho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Torneiras e colunas de duche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Unidade (especificar tipo)</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Banheira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Unidade (especificar volume da capacidade em litros e forma)</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Base de duche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Unidade (especificar dimensões: largura e comprimento)</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Unidade (especificar dimensões: largura, comprimento e número de cubas)</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Lavatório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Unidade (especificar dimensões: largura, comprimento e número de cubas)</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Retrete – Sanita – Latrina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Unidade (especificar dimensões: largura e comprimento)</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Outro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Artigo</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 II</w:t>
      </w:r>
      <w:r>
        <w:rPr>
          <w:rFonts w:ascii="Times New Roman" w:hAnsi="Times New Roman"/>
          <w:sz w:val="24"/>
        </w:rPr>
        <w:br/>
        <w:t>Formatos das unidades funcionais ou unidades declaradas das instalações.</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
        <w:gridCol w:w="1370"/>
        <w:gridCol w:w="1690"/>
        <w:gridCol w:w="1051"/>
        <w:gridCol w:w="1104"/>
        <w:gridCol w:w="1863"/>
        <w:gridCol w:w="2385"/>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N.º</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Unidade funcional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Unidade declarada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Solução</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Instalação das redes de eletricidade e comunicação</w:t>
            </w:r>
            <w:r>
              <w:rPr>
                <w:rFonts w:ascii="Times New Roman" w:hAnsi="Times New Roman"/>
                <w:sz w:val="24"/>
              </w:rPr>
              <w:br/>
              <w:t>≤ 63 Amp.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 para paredes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Sistemas automatizados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Sensores de movimento</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Termostatos</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Reguladores de intensidade</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Caixas de equipamento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 placas de gesso</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 alvenaria</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Controlos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Botões de pressão</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Outros: Ventilação por conduta, estores, etc.</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Placas e suportes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Subconjunto de equipamento de parede</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Tomadas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Tomadas de baixa tensão</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Tomadas de alta tensão</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Várias tomadas (TV, altifalante, TI, etc.)</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Sinalização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Saída de áudio: altifalante</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Saída de áudio: campainhas e sinos</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Luzes indicadoras</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Telecomandos, persianas, dispositivos de travamento</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Equipamento modular de compartimentos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Equipamento de proteção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Ligações</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Disjuntores de circuitos</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Disjuntores de ligação de rede</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Interruptores/isoladores</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Conversores de origem</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Relés diferenciais</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Proteção contra raios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Para-raios</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Para-raios de telecomunicações</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Proteção das linhas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Disjuntores de circuitos</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Disjuntores de corte</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Disjuntores de motor</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Fusíveis</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Proteção contra falhas de isolamento à terra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Blocos de diferenciais</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Disjuntores RCD</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RCD</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Gestão da iluminação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de células fotográficas</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Gestão solar</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Reguladores de intensidade</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Gestão da energia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Limitadores de carga</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Gestores energéticos</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Gestão de estores e persianas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Gestão de estores e persianas</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Gestão do tempo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Horários de interseção</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Temporizadores</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Relés de temporização</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Gestão térmica (aquecimento, ventilação)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Termostatos</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Medição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Contadores de energia</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Chuva, sensores solares, etc.</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Voltímetros, amperímetros</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Dispositivos de controlo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Botões de pressão</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Conjuntores</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conversores, comutadores, etc.</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de impulso remoto</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Dispositivos de sinalização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Sinos e toques</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Luzes indicadoras</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Automação doméstica e sistemas de comunicação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Redes multimédia e VDI (Voice Data Image)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Equipamentos modulares para automação doméstica</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de terminal de automação doméstica</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Distribuidores de sinalização/deteção</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Pontos de acesso Wi-Fi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Compartimentos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Armários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Armários em poliéster</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Armários em metal</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Ligações</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para armários</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Caixas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Coberturas de terminais</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Caixas encastradas</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Caixas estanques</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Caixas salientes</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Caixas VDI</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Caixas de junção</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Outro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Mesas, gestão de temperatura dos compartimentos</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Soluções para roteamento de cabos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Metro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Sistemas de roteamento de cabos e caminhos de cabos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Caminhos de cabos de arame</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Suportes para cabos em mosaico</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Caminhos de cabos</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Condutas e sistemas de calhas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 perfiladas</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Tubos rígidos e condutas</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 de abastecimento</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 para o chão</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 de instalação</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Molduras e rodapés</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Outros produtos pontuais para gestão de cabos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 de instalação técnica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 para o chão</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Caixas de distribuição e colunas de instalação vertical</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Sistema de calhas para armários</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Outro e acessórios</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Outro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Conexão/junção (compartimento externo)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Blocos de distribuição</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Conectores</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Tomadas industriais</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Fontes de alimentação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Transformadores</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Fontes centrais</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Equipamento elétrico móvel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Luz de inspeção</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Blocos de adaptadores de tomadas múltiplas, tomadas de divisores de telefone, outro</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Motor de abertura de válvula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Motorização de portas, portões, etc.</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Motorização de estores</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Fios e cabos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Redes elétricas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Cabos de média tensão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Cabos de baixa tensão &lt; 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 de rede elétrica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Transferência de eletricidade e dados no interior do edifício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Fios e cabos de energia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Cabos de comunicação de cobre e fibra ótica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 no interior do edifício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Outros fios e cabos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Sem isolamento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Cabos de aquecimento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Segurança dos indivíduos e controlo de acessos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Deteção e controlo de acessos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de deteção de intrusos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de deteção de intrusos</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de controlo (teclado, telecomando, etc.)</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Consolas de alarme</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de sinalização (sirene, transmissor, etc.)</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de controlo de acessos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Entrada da porta de áudio</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Entrada da porta de vídeo</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Videovigilância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de videovigilância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de captura de imagens (câmaras)</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de gestão de imagens</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Interconexões</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Segurança do edifício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de iluminação de segurança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Áreas adjacentes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autónomas de iluminação de emergência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Foco luminoso para fonte central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Projetores para iluminação</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Evacuação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autónomas de iluminação de emergência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independentes de iluminação residencial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 de dupla função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Foco luminoso para fonte central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(dispositivo de iluminação)</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(dispositivo de identificação avançado)</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Iluminação de emergência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independentes de iluminação residencial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 de dupla função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autónomas de intervenção portáteis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Fornecimento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Fonte central para foco </w:t>
            </w:r>
            <w:r>
              <w:rPr>
                <w:rFonts w:ascii="Times New Roman" w:hAnsi="Times New Roman"/>
                <w:sz w:val="24"/>
              </w:rPr>
              <w:lastRenderedPageBreak/>
              <w:t>luminoso de emergência</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Segurança contra incêndios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Segurança contra incêndios e alarme técnico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Alarmes/detetores independentes de fumo</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Alarmes técnicos e detetores (inundação, gás, etc.)</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Detetores autónomos de monóxido de carbono</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Alarmes técnicos e detetores</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Equipamento de climatização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Aquecimento e/ou arrefecimento e/ou produção de água quente para uso doméstico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Caldeira (aquecimento isolado)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Caldeira a gás</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Caldeira de óleo combustível</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Caldeira híbrida</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Caldeira de biomassa</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Caldeira mista (aquecimento e água quente para uso doméstico)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Caldeira a gás</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Caldeira de óleo combustível</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Aparelhos independentes de biomassa</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Bomba de calor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Bomba de calor de compressão elétrica</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Bomba de calor híbrida</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Bomba de circulação de água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Radiador</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Toalheiro aquecido</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Aquecimento elétrico direto através de uma unidade fixa visível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Convetor</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Radiação</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Radiador</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com função secundária como toalheiro aquecido</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Produção de água quente para uso doméstico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Termoacumulador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Aquecedor tipo elétrico de água</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Aquecedor de água termodinâmico</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Aquecedor de água a gás</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Aquecedor de água solar individual</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Unidades de conforto final</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Aquecedores com ventilador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Aquecedores com ventilador</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ou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Vigas refrigeradas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Vigas refrigeradas passivas</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Vigas refrigeradas ativas</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Radiadores dinâmicos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Radiadores dinâmicos</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 de rede e condutas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Dobras e acessórios</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 flexíveis</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Condutas rígidas</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Difusão do ar</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Entradas de ar</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Terminais passivos</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Difusores</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Filtro de ar</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Aberturas do exaustor e ventilador</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Tratamento do ar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Estação de tratamento de ar</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 de fluxo duplo</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Caixa de ventilação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Ventilação controlada mecanicamente (VMC) de fluxo único</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Ventilação controlada mecanicamente (VMC) de fluxo duplo</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 de ventilação</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Refrigeração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 de produção de água gelada</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Torre de arrefecimento</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Refrigeradores de ar</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Extrator de fumos mecânico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Torre, ventoinha</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Válvula de borboleta contra incêndios ou firewall, amortecedor, obturador</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Caixa de relé</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Produção local de eletricidade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Gerador de eletricidade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Módulos fotovoltaicos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Silício cristalino (monocristalino ou policristalino)</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Camadas finas</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Turbina eólica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Horizontal</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Vertical</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Conversão e regulamentação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Conversores rotativos</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Conversores autónomos</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Conversor CC/CC</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Conversor CA/CC</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Regulamentação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Controlador de carga</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Armazenamento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Bateria eletroquímica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Chumbo – ácido</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Lítio – iões</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Outro</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Monitorização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Equipamento de monitorização</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Equipamento de iluminação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Equipamento para iluminação interior e fontes de alimentação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Lúmen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Iluminação embutida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Iluminação linear de encastrar de espaços interiores para iluminação de escritório</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Iluminação não linear embutida em espaços interiores para iluminação de escritório</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Iluminação embutida </w:t>
            </w:r>
            <w:r>
              <w:rPr>
                <w:rFonts w:ascii="Times New Roman" w:hAnsi="Times New Roman"/>
                <w:sz w:val="24"/>
              </w:rPr>
              <w:lastRenderedPageBreak/>
              <w:t>de realce de espaços interiores (focos)</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Luzes montadas em superfícies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Luzes de teto, acessórios lineares suspensos de espaços interiores para iluminação de escritório ou industrial</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Iluminação linear funcional de parede para espaços interiores montada em superfícies</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Luzes de teto, iluminação de parede montada em superfícies, acessórios suspensos de decoração de espaços interiores</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Vigias interiores</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Barras de iluminação de espaços interiores (sem dispositivos óticos, em contraste com produtos lineares)</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Holofotes interiores, suspensos ou montados em paredes ou calhas, para iluminação de realce</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Acessórios de iluminação de espaços interiores resistentes à água</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Barras e fitas flexíveis LED (incluindo fonte de alimentação)</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 suspensos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Acessórios industriais</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Estruturas online contínuas para iluminação de espaços industriais ou comerciais</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Montagem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Calhas de abastecimento de holofotes</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Equipamento para iluminação de espaços exteriores e fontes de alimentação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Lúmen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Holofotes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Holofotes para desportos e grandes áreas</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Holofotes em espaços exteriores para iluminação decorativa</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 luminosos para iluminação de espaços exteriores, exceto holofotes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Acessórios luminosos para iluminação decorativa</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Acessórios luminosos para iluminação funcional</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Iluminação periódica</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Holofotes embutidos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Holofotes em espaços exteriores a embutir em pavimentos ou paredes</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Iluminação embutida para orientação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Dispositivos de iluminação para orientação em espaços exteriores a embutir em pavimentos ou paredes</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Postes e colunas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Terminais de espaços exteriores para decoração</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Colunas de iluminação de espaços exteriores para decoração</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Acessórios de iluminação resistentes à água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Luzes de parede montadas em superfícies e vigias à prova de água</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Iluminação embutida submersível para piscinas ou fontes</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Holofotes submersíveis para piscinas ou fontes</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Pilares e montagem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Pilares</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Toros</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Vários tipos de montagem para acessórios de iluminação de espaços exteriores</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Outro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Artigo</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Anexo III</w:t>
      </w:r>
      <w:r>
        <w:rPr>
          <w:rFonts w:ascii="Times New Roman" w:hAnsi="Times New Roman"/>
          <w:caps/>
          <w:sz w:val="24"/>
        </w:rPr>
        <w:br/>
        <w:t>Cálculo dos lucros e despesas relacionados com a avaliação em fim de vida.</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A apresentação de um valor positivo resulta numa carga líquida e um valor negativo resulta num lucro líquido.</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Em caso de reciclagem, para um determinado fluxo de resíduos reciclados (e, por conseguinte, um determinado material lambda), aplica-se a seguinte fórmula:</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em que</w:t>
      </w:r>
      <w:r>
        <w:rPr>
          <w:rFonts w:ascii="Times New Roman" w:hAnsi="Times New Roman"/>
          <w:sz w:val="24"/>
        </w:rPr>
        <w:br/>
      </w:r>
      <w:r>
        <w:rPr>
          <w:rFonts w:ascii="Times New Roman" w:hAnsi="Times New Roman"/>
          <w:sz w:val="24"/>
        </w:rPr>
        <w:lastRenderedPageBreak/>
        <w:t>MSval = massa (kg) de material secundário efetivamente recuperado a partir da massa de existências recolhidas (componente lambda de material no fluxo «materiais destinados à reciclagem»);</w:t>
      </w:r>
      <w:r>
        <w:rPr>
          <w:rFonts w:ascii="Times New Roman" w:hAnsi="Times New Roman"/>
          <w:sz w:val="24"/>
        </w:rPr>
        <w:br/>
        <w:t>IVval = inventário de produção (por kg) de material (ou mistura) pelo qual o material secundário lambda reciclado é substituído no sistema a jusante que utiliza o mesmo (ou seja, não se refere ao inventário de produção do produto a jusante, mas ao material do inventário de produção que constitui o produto a jusante);</w:t>
      </w:r>
      <w:r>
        <w:rPr>
          <w:rFonts w:ascii="Times New Roman" w:hAnsi="Times New Roman"/>
          <w:sz w:val="24"/>
        </w:rPr>
        <w:br/>
        <w:t>ISval = inventário (por kg) de produção de material secundário pronto a usar no sistema a jusante a partir das existências recolhidas;</w:t>
      </w:r>
      <w:r>
        <w:rPr>
          <w:rFonts w:ascii="Times New Roman" w:hAnsi="Times New Roman"/>
          <w:sz w:val="24"/>
        </w:rPr>
        <w:br/>
        <w:t>MS = massa (kg) de material secundário incorporado no produto a que se aplica a declaração no processo de fabrico (componente lambda de material no fluxo «utilização de materiais secundários»);</w:t>
      </w:r>
      <w:r>
        <w:rPr>
          <w:rFonts w:ascii="Times New Roman" w:hAnsi="Times New Roman"/>
          <w:sz w:val="24"/>
        </w:rPr>
        <w:br/>
        <w:t>IV = inventário de produção (por kg) de material virgem utilizado para produzir o produto a que se aplica a declaração, na ausência de qualquer tipo de reciclagem do material;</w:t>
      </w:r>
      <w:r>
        <w:rPr>
          <w:rFonts w:ascii="Times New Roman" w:hAnsi="Times New Roman"/>
          <w:sz w:val="24"/>
        </w:rPr>
        <w:br/>
        <w:t>Is = inventário (por kg) de produção do material secundário pronto a usar utilizado para efeitos de produção do produto a que se aplica a declaração.</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No caso da recuperação de energia, para um determinado fluxo de resíduos reciclados, aplica-se a seguinte fórmula:</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em que</w:t>
      </w:r>
      <w:r>
        <w:rPr>
          <w:rFonts w:ascii="Times New Roman" w:hAnsi="Times New Roman"/>
          <w:sz w:val="24"/>
        </w:rPr>
        <w:br/>
        <w:t>MSval = massa (em kg) de material secundário efetivamente recuperado a partir da massa de existências recolhidas (componentes lambda de material no fluxo «materiais de recuperação de energia»);</w:t>
      </w:r>
      <w:r>
        <w:rPr>
          <w:rFonts w:ascii="Times New Roman" w:hAnsi="Times New Roman"/>
          <w:sz w:val="24"/>
        </w:rPr>
        <w:br/>
        <w:t>IVval = inventário de produção (por kg) de energia pela qual a energia recuperada pela reciclagem de energia dos materiais secundários é substituída no sistema a jusante (ou seja, não se refere ao inventário de produção do sistema a jusante para o qual o material secundário irá contribuir, mas ao inventário de produção de energia consumida pelo sistema a jusante, expressa em MJ fornecidos);</w:t>
      </w:r>
      <w:r>
        <w:rPr>
          <w:rFonts w:ascii="Times New Roman" w:hAnsi="Times New Roman"/>
          <w:sz w:val="24"/>
        </w:rPr>
        <w:br/>
        <w:t>ISval = inventário (por kg) de reciclagem de energia do material secundário recuperado a partir das existências recolhidas, de acordo com o qual o fluxo de referência consiste na massa de material secundário reciclado;</w:t>
      </w:r>
      <w:r>
        <w:rPr>
          <w:rFonts w:ascii="Times New Roman" w:hAnsi="Times New Roman"/>
          <w:sz w:val="24"/>
        </w:rPr>
        <w:br/>
        <w:t>PCISval = IBD (MJ/kg) de material secundário recuperado;</w:t>
      </w:r>
      <w:r>
        <w:rPr>
          <w:rFonts w:ascii="Times New Roman" w:hAnsi="Times New Roman"/>
          <w:sz w:val="24"/>
        </w:rPr>
        <w:br/>
        <w:t>REval = saída de energia da instalação de reciclagem de energia de material secundário recuperado.</w:t>
      </w:r>
      <w:r>
        <w:rPr>
          <w:rFonts w:ascii="Times New Roman" w:hAnsi="Times New Roman"/>
          <w:sz w:val="24"/>
        </w:rPr>
        <w:br/>
        <w:t>Finalmente, o benefício global obtido para o produto declarado resulta da soma de todos os benefícios coletivos calculados para cada um dos materiais/fluxos.</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Artigo</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 IV</w:t>
      </w:r>
      <w:r>
        <w:rPr>
          <w:rFonts w:ascii="Times New Roman" w:hAnsi="Times New Roman"/>
          <w:sz w:val="24"/>
        </w:rPr>
        <w:br/>
        <w:t>QUADRO DE VALIDADE DAS DECLARAÇÕES AMBIENTAIS COLETIVAS DOS PRODUTOS</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1. Homogeneidade</w:t>
      </w:r>
      <w:r>
        <w:rPr>
          <w:rFonts w:ascii="Times New Roman" w:hAnsi="Times New Roman"/>
          <w:sz w:val="24"/>
        </w:rPr>
        <w:br/>
        <w:t>Uma análise do ciclo de vida (ACV) envolve uma grande quantidade de dados e inúmeros cenários. Alguns dados são recolhidos no local, uns são calculados e outros são estimados. Os dados de uma ACV são, por isso, dados que apresentam um determinado nível de incerteza. Assim, o resultado de uma ACV é bastante sensível a eventuais variações nos dados de entrada.</w:t>
      </w:r>
      <w:r>
        <w:rPr>
          <w:rFonts w:ascii="Times New Roman" w:hAnsi="Times New Roman"/>
          <w:sz w:val="24"/>
        </w:rPr>
        <w:br/>
        <w:t>O artigo 8.º deste Despacho exige que os impactos ambientais dos registantes que utilizam a mesma declaração ambiental coletiva sejam homogéneos. Desta forma, uma declaração ambiental coletiva irá abranger produtos homogéneos do ponto de vista ambiental no caso de ser possível assegurar que todos os produtos abrangidos declaram impactos ambientais abaixo de um valor-limite se cumprirem o quadro de validade associado à presente declaração ambiental coletiva.</w:t>
      </w:r>
      <w:r>
        <w:rPr>
          <w:rFonts w:ascii="Times New Roman" w:hAnsi="Times New Roman"/>
          <w:sz w:val="24"/>
        </w:rPr>
        <w:br/>
        <w:t>Admite-se que esta homogeneidade só deve ser demonstrada para determinados indicadores de controlo.</w:t>
      </w:r>
      <w:r>
        <w:rPr>
          <w:rFonts w:ascii="Times New Roman" w:hAnsi="Times New Roman"/>
          <w:sz w:val="24"/>
        </w:rPr>
        <w:br/>
        <w:t>No que toca aos indicadores da ACV, a demonstração de homogeneidade é obtida através de uma análise de sensibilidade de parâmetros incertos e parâmetros que variam de um registante para outro. Recomenda-se vivamente que a análise seja realizada no início do processo de ACV e que a declaração ambiental coletiva seja elaborada com base na mesma.</w:t>
      </w:r>
      <w:r>
        <w:rPr>
          <w:rFonts w:ascii="Times New Roman" w:hAnsi="Times New Roman"/>
          <w:sz w:val="24"/>
        </w:rPr>
        <w:br/>
        <w:t>2. Análise de sensibilidade</w:t>
      </w:r>
      <w:r>
        <w:rPr>
          <w:rFonts w:ascii="Times New Roman" w:hAnsi="Times New Roman"/>
          <w:sz w:val="24"/>
        </w:rPr>
        <w:br/>
        <w:t>Uma análise de sensibilidade da ACV deve envolver as seguintes fases:</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Seleção dos indicadores de controlo;</w:t>
      </w:r>
      <w:r>
        <w:rPr>
          <w:rFonts w:ascii="Times New Roman" w:hAnsi="Times New Roman"/>
          <w:sz w:val="24"/>
        </w:rPr>
        <w:br/>
        <w:t>b) Identificação dos parâmetros sensíveis: estudo da contribuição que visa identificar os parâmetros de entrada que mais contribuem para explicar o valor dos indicadores de controlo (resultados da ACV);</w:t>
      </w:r>
      <w:r>
        <w:rPr>
          <w:rFonts w:ascii="Times New Roman" w:hAnsi="Times New Roman"/>
          <w:sz w:val="24"/>
        </w:rPr>
        <w:br/>
        <w:t>c) Definição dos intervalos de variação dos parâmetros sensíveis (parâmetros-limite e eventuais distribuições estatísticas);</w:t>
      </w:r>
      <w:r>
        <w:rPr>
          <w:rFonts w:ascii="Times New Roman" w:hAnsi="Times New Roman"/>
          <w:sz w:val="24"/>
        </w:rPr>
        <w:br/>
        <w:t>d) Simulações parametrizadas com base nas fases b) e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análise de sensibilidade pode ser iterativa. O resultado da análise de sensibilidade deve representar:</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Uma lista de fatores que influenciam os resultados da ACV (parâmetros sensíveis) e os respetivos campos de variação autorizados (a lista representa o campo de validade);</w:t>
      </w:r>
      <w:r>
        <w:rPr>
          <w:rFonts w:ascii="Times New Roman" w:hAnsi="Times New Roman"/>
          <w:sz w:val="24"/>
        </w:rPr>
        <w:br/>
        <w:t>b) Para cada indicador de controlo, um intervalo de variação possível (intervalo de confiança de 95%) referente aos valores dos indicadores obtidos pela simulação dos parâmetros.</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Fase 1: seleção dos indicadores de controlo</w:t>
      </w:r>
      <w:r>
        <w:rPr>
          <w:rFonts w:ascii="Times New Roman" w:hAnsi="Times New Roman"/>
          <w:sz w:val="24"/>
        </w:rPr>
        <w:br/>
        <w:t>A seleção dos indicadores de controlo deve ser razoável. Podem ser escolhidos caso a caso entre os indicadores referidos no artigo 3.º deste despacho. A respetiva seleção deve ser justificada. No mínimo, devem ser estudados os seguintes indicadores:</w:t>
      </w:r>
    </w:p>
    <w:p w14:paraId="3EA16B40" w14:textId="484D541C"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r>
      <w:r w:rsidR="006C1C16">
        <w:rPr>
          <w:rFonts w:ascii="Times New Roman" w:hAnsi="Times New Roman"/>
          <w:sz w:val="24"/>
        </w:rPr>
        <w:t xml:space="preserve">- </w:t>
      </w:r>
      <w:r>
        <w:rPr>
          <w:rFonts w:ascii="Times New Roman" w:hAnsi="Times New Roman"/>
          <w:sz w:val="24"/>
        </w:rPr>
        <w:t>o aquecimento global;</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a utilização de energia primária não renovável, excluindo os recursos de energia primária não renovável utilizados como matérias-primas;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os resíduos não perigosos eliminados.</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Fase 2: identificação dos parâmetros sensíveis</w:t>
      </w:r>
      <w:r>
        <w:rPr>
          <w:rFonts w:ascii="Times New Roman" w:hAnsi="Times New Roman"/>
          <w:sz w:val="24"/>
        </w:rPr>
        <w:br/>
        <w:t>Deve ser efetuada uma análise dos parâmetros sensíveis para cada indicador de controlo. Para tal, propõe-se que, como abordagem inicial, os impactos sejam divididos de acordo com os processos incluídos no ciclo de vida. Esta análise deve ter por base o cenário de referência descrito na análise de sensibilidade.</w:t>
      </w:r>
      <w:r>
        <w:rPr>
          <w:rFonts w:ascii="Times New Roman" w:hAnsi="Times New Roman"/>
          <w:sz w:val="24"/>
        </w:rPr>
        <w:br/>
        <w:t>Recomenda-se que seja tomado em consideração todos os processos que:</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contribuam com mais de 5% para um dos indicadores de controlo no cenário de base;</w:t>
      </w:r>
      <w:r>
        <w:rPr>
          <w:rFonts w:ascii="Times New Roman" w:hAnsi="Times New Roman"/>
          <w:sz w:val="24"/>
        </w:rPr>
        <w:br/>
        <w:t>- ou impactos cumulativos que representem, pelo menos, 80 % dos impactos de um dos indicadores de controlo.</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Os parâmetros do modelo de ACV (entrada ou saída do processo, parâmetro interno de modelação do processo, etc.) que alteram a referida contribuição devem então ser identificados. Estes são os parâmetros considerados sensíveis.</w:t>
      </w:r>
      <w:r>
        <w:rPr>
          <w:rFonts w:ascii="Times New Roman" w:hAnsi="Times New Roman"/>
          <w:sz w:val="24"/>
        </w:rPr>
        <w:br/>
        <w:t>No final da análise, o registante terá uma lista dos processos que mais contribuem para os indicadores de controlo ao longo de todo o ciclo de vida, bem como uma lista de parâmetros sensíveis.</w:t>
      </w:r>
      <w:r>
        <w:rPr>
          <w:rFonts w:ascii="Times New Roman" w:hAnsi="Times New Roman"/>
          <w:sz w:val="24"/>
        </w:rPr>
        <w:br/>
        <w:t>Fase 3: definição dos intervalos de variação dos parâmetros sensíveis</w:t>
      </w:r>
      <w:r>
        <w:rPr>
          <w:rFonts w:ascii="Times New Roman" w:hAnsi="Times New Roman"/>
          <w:sz w:val="24"/>
        </w:rPr>
        <w:br/>
        <w:t>Esta fase consiste na definição do intervalo de variação de cada parâmetro sensível. Este intervalo deve ser proposto como valor mínimo no formato dos intervalos. Caso seja conhecida, pode ser apresentada uma lei para distribuição do parâmetro no intervalo acima definido.</w:t>
      </w:r>
      <w:r>
        <w:rPr>
          <w:rFonts w:ascii="Times New Roman" w:hAnsi="Times New Roman"/>
          <w:sz w:val="24"/>
        </w:rPr>
        <w:br/>
        <w:t>No final desta fase, cada parâmetro sensível fica associado a um intervalo de variação.</w:t>
      </w:r>
      <w:r>
        <w:rPr>
          <w:rFonts w:ascii="Times New Roman" w:hAnsi="Times New Roman"/>
          <w:sz w:val="24"/>
        </w:rPr>
        <w:br/>
        <w:t>Fase 4: Cálculo da variabilidade dos indicadores</w:t>
      </w:r>
      <w:r>
        <w:rPr>
          <w:rFonts w:ascii="Times New Roman" w:hAnsi="Times New Roman"/>
          <w:sz w:val="24"/>
        </w:rPr>
        <w:br/>
        <w:t>Com base nas fases 2 e 3, esta fase implica a utilização de um método matemático adequado que vise determinar os intervalos de variação dos indicadores (valores máximos, valores médios e valores mínimos) ao submeter o modelo de ACV a variações ao nível dos parâmetros sensíveis.</w:t>
      </w:r>
      <w:r>
        <w:rPr>
          <w:rFonts w:ascii="Times New Roman" w:hAnsi="Times New Roman"/>
          <w:sz w:val="24"/>
        </w:rPr>
        <w:br/>
        <w:t>O resultado da fase 4 consiste num conjunto de intervalos de valores assumidos por cada um dos indicadores abrangidos pela análise de sensibilidade.</w:t>
      </w:r>
      <w:r>
        <w:rPr>
          <w:rFonts w:ascii="Times New Roman" w:hAnsi="Times New Roman"/>
          <w:sz w:val="24"/>
        </w:rPr>
        <w:br/>
        <w:t>O cálculo da variabilidade dos indicadores deve abranger, pelo menos, os parâmetros sensíveis relativos aos elementos referidos no artigo 8.º do presente despacho.</w:t>
      </w:r>
      <w:r>
        <w:rPr>
          <w:rFonts w:ascii="Times New Roman" w:hAnsi="Times New Roman"/>
          <w:sz w:val="24"/>
        </w:rPr>
        <w:br/>
        <w:t>As fases 3 e 4 podem ser realizadas por iteração de modo a adaptar o intervalo de parâmetros sensíveis às condições de homogeneidade exigidas.</w:t>
      </w:r>
      <w:r>
        <w:rPr>
          <w:rFonts w:ascii="Times New Roman" w:hAnsi="Times New Roman"/>
          <w:sz w:val="24"/>
        </w:rPr>
        <w:br/>
        <w:t>Relatório da análise de sensibilidade</w:t>
      </w:r>
      <w:r>
        <w:rPr>
          <w:rFonts w:ascii="Times New Roman" w:hAnsi="Times New Roman"/>
          <w:sz w:val="24"/>
        </w:rPr>
        <w:br/>
        <w:t>O relatório deve conter os elementos correspondentes às quatro fases da análise de sensibilidade, bem como o resultado final da análise de sensibilidade, incluindo o âmbito de validade da declaração ambiental coletiva e os intervalos de variação dos indicadores de controlo.</w:t>
      </w:r>
      <w:r>
        <w:rPr>
          <w:rFonts w:ascii="Times New Roman" w:hAnsi="Times New Roman"/>
          <w:sz w:val="24"/>
        </w:rPr>
        <w:br/>
        <w:t>3. Análise de sensibilidade e valores ambientais declarados</w:t>
      </w:r>
      <w:r>
        <w:rPr>
          <w:rFonts w:ascii="Times New Roman" w:hAnsi="Times New Roman"/>
          <w:sz w:val="24"/>
        </w:rPr>
        <w:br/>
      </w:r>
      <w:r>
        <w:rPr>
          <w:rFonts w:ascii="Times New Roman" w:hAnsi="Times New Roman"/>
          <w:sz w:val="24"/>
        </w:rPr>
        <w:lastRenderedPageBreak/>
        <w:t>Os resultados da análise de sensibilidade condicionam os valores ambientais apresentados na declaração ambiental coletiva, conforme especificado no artigo 8.º do presente despacho.</w:t>
      </w:r>
      <w:r>
        <w:rPr>
          <w:rFonts w:ascii="Times New Roman" w:hAnsi="Times New Roman"/>
          <w:sz w:val="24"/>
        </w:rPr>
        <w:br/>
        <w:t>Quando o valor máximo (ou o intervalo de confiança máximo de 95%, no caso de ser utilizada uma abordagem estatística) do intervalo de variação de cada indicador de controlo de impacto ambiental for igual ou inferior ao valor médio do indicador multiplicado por um valor-limite (especificado no artigo 8.º do presente despacho), os valores dos indicadores de impacto ambiental declarados devem ser calculados de acordo com os valores médios dos parâmetros sensíveis. Caso contrário, ou seja, se pelo menos um dos indicadores de controlo de impacto ambiental apresentar um valor máximo superior ao valor médio do indicador multiplicado por um valor-limite (especificado no artigo 8.º do presente despacho), então o limite menos favorável deve ser declarado (o valor máximo que o indicador pode atingir se refletir uma despesa e o valor mínimo se refletir um lucro). Se o indicador reflete uma despesa, este limite corresponde ao valor dos indicadores obtidos nos casos em que são utilizados os valores máximos dos parâmetros sensíveis (ou o intervalo máximo com uma probabilidade de 95%, caso seja utilizada uma abordagem estatística).</w:t>
      </w:r>
      <w:r>
        <w:rPr>
          <w:rFonts w:ascii="Times New Roman" w:hAnsi="Times New Roman"/>
          <w:sz w:val="24"/>
        </w:rPr>
        <w:br/>
        <w:t>4. Identificação precisa dos produtos abrangidos por uma declaração</w:t>
      </w:r>
      <w:r>
        <w:rPr>
          <w:rFonts w:ascii="Times New Roman" w:hAnsi="Times New Roman"/>
          <w:sz w:val="24"/>
        </w:rPr>
        <w:br/>
        <w:t>Para determinar se um produto é suscetível de ser abrangido por uma declaração ambiental coletiva, é necessário determinar se o produto é similar ao produto normalizado abrangido e se o registante do referido produto está autorizado a utilizar a declaração ambiental coletiva.</w:t>
      </w:r>
      <w:r>
        <w:rPr>
          <w:rFonts w:ascii="Times New Roman" w:hAnsi="Times New Roman"/>
          <w:sz w:val="24"/>
        </w:rPr>
        <w:br/>
        <w:t>Identificação do produto normalizado</w:t>
      </w:r>
      <w:r>
        <w:rPr>
          <w:rFonts w:ascii="Times New Roman" w:hAnsi="Times New Roman"/>
          <w:sz w:val="24"/>
        </w:rPr>
        <w:br/>
        <w:t>O produto normalizado deve ser corretamente definido e descrito, a fim de facilitar a conciliação entre a descrição de um produto e a descrição do produto normalizado. A descrição do produto normalizado deve incluir, pelo menos, os seguintes elementos:</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Uma lista dos principais componentes ou dos materiais predominantes;</w:t>
      </w:r>
      <w:r>
        <w:rPr>
          <w:rFonts w:ascii="Times New Roman" w:hAnsi="Times New Roman"/>
          <w:sz w:val="24"/>
        </w:rPr>
        <w:br/>
        <w:t>b) Informações em termos de funcionalidade ou nível de desempenho.</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Esta identificação deve ser suficiente para determinar de forma rápida e inequívoca se um determinado produto pode ser abrangido pela declaração coletiva.</w:t>
      </w:r>
      <w:r>
        <w:rPr>
          <w:rFonts w:ascii="Times New Roman" w:hAnsi="Times New Roman"/>
          <w:sz w:val="24"/>
        </w:rPr>
        <w:br/>
        <w:t>Identificação dos registantes que podem utilizar a declaração ambiental coletiva</w:t>
      </w:r>
      <w:r>
        <w:rPr>
          <w:rFonts w:ascii="Times New Roman" w:hAnsi="Times New Roman"/>
          <w:sz w:val="24"/>
        </w:rPr>
        <w:br/>
        <w:t>Como a declaração ambiental coletiva é propriedade e responsabilidade de uma comunidade, esta pode decidir que a referida declaração só pode ser utilizada por alguns registantes.</w:t>
      </w:r>
      <w:r>
        <w:rPr>
          <w:rFonts w:ascii="Times New Roman" w:hAnsi="Times New Roman"/>
          <w:sz w:val="24"/>
        </w:rPr>
        <w:br/>
        <w:t>Desta forma, é necessário apresentar uma lista de registantes autorizados a utilizar uma determinada declaração ambiental coletiva:</w:t>
      </w:r>
    </w:p>
    <w:p w14:paraId="2AB81917" w14:textId="73212569"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quer sob a forma de uma lista exaustiva de nomes;</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quer sob a forma de condição de membro de uma entidade coletiva (associação, sindicato, signatários de uma carta de boas práticas, etc.). Neste caso, a lista de membros da comunidade deve ser disponibilizada publicamente.</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Conteúdo do quadro de validade</w:t>
      </w:r>
      <w:r>
        <w:rPr>
          <w:rFonts w:ascii="Times New Roman" w:hAnsi="Times New Roman"/>
          <w:sz w:val="24"/>
        </w:rPr>
        <w:br/>
        <w:t>O quadro de validade contém, no mínimo, as seguintes informações:</w:t>
      </w:r>
    </w:p>
    <w:p w14:paraId="76B32132" w14:textId="1231FB5E"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r>
      <w:r w:rsidR="006C1C16">
        <w:rPr>
          <w:rFonts w:ascii="Times New Roman" w:hAnsi="Times New Roman"/>
          <w:sz w:val="24"/>
        </w:rPr>
        <w:t xml:space="preserve">- </w:t>
      </w:r>
      <w:r>
        <w:rPr>
          <w:rFonts w:ascii="Times New Roman" w:hAnsi="Times New Roman"/>
          <w:sz w:val="24"/>
        </w:rPr>
        <w:t>Identificação do produto normalizado (obrigatório);</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Produtos abrangidos pela declaração ambiental coletiva;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Identificação dos registantes autorizados a utilizar a declaração ambiental coletiva;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O relatório do estudo de sensibilidade, incluindo o intervalo de validade e elementos comprovativos da homogeneidade dos valores dos indicadores declarados.</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Utilização do quadro de validade</w:t>
      </w:r>
      <w:r>
        <w:rPr>
          <w:rFonts w:ascii="Times New Roman" w:hAnsi="Times New Roman"/>
          <w:sz w:val="24"/>
        </w:rPr>
        <w:br/>
        <w:t>Para que um registante possa utilizar uma declaração ambiental coletiva para o respetivo produto, deve apresentar provas de que:</w:t>
      </w:r>
    </w:p>
    <w:p w14:paraId="0B262F36" w14:textId="5CD5833F"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O produto em causa está em conformidade com o «produto normalizado» abrangido pela declaração ambiental coletiva;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Consta da lista de registantes autorizados a utilizar a referida declaração ambiental coletiva;</w:t>
      </w:r>
      <w:r>
        <w:rPr>
          <w:rFonts w:ascii="Times New Roman" w:hAnsi="Times New Roman"/>
          <w:sz w:val="24"/>
        </w:rPr>
        <w:br/>
      </w:r>
      <w:r w:rsidR="006C1C16">
        <w:rPr>
          <w:rFonts w:ascii="Times New Roman" w:hAnsi="Times New Roman"/>
          <w:sz w:val="24"/>
        </w:rPr>
        <w:t xml:space="preserve">- </w:t>
      </w:r>
      <w:r>
        <w:rPr>
          <w:rFonts w:ascii="Times New Roman" w:hAnsi="Times New Roman"/>
          <w:sz w:val="24"/>
        </w:rPr>
        <w:t>Respeita o intervalo de validade da declaração ambiental coletiva em causa.</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Feito em 14 de dezembro de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Delegado junto do Ministro da Transição Ecológica, responsável pela habitação,</w:t>
      </w:r>
      <w:r>
        <w:rPr>
          <w:rFonts w:ascii="Times New Roman" w:hAnsi="Times New Roman"/>
          <w:sz w:val="24"/>
        </w:rPr>
        <w:br/>
        <w:t>pelo Ministro e por delegação:</w:t>
      </w:r>
      <w:r>
        <w:rPr>
          <w:rFonts w:ascii="Times New Roman" w:hAnsi="Times New Roman"/>
          <w:sz w:val="24"/>
        </w:rPr>
        <w:br/>
        <w:t>O Diretor da Habitação, do Desenvolvimento Urbano e da Paisagem,</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Ministro da Transição Ecológica,</w:t>
      </w:r>
      <w:r>
        <w:rPr>
          <w:rFonts w:ascii="Times New Roman" w:hAnsi="Times New Roman"/>
          <w:sz w:val="24"/>
        </w:rPr>
        <w:br/>
        <w:t>pelo Ministro e por delegação:</w:t>
      </w:r>
      <w:r>
        <w:rPr>
          <w:rFonts w:ascii="Times New Roman" w:hAnsi="Times New Roman"/>
          <w:sz w:val="24"/>
        </w:rPr>
        <w:br/>
        <w:t>O Diretor da Habitação, do Desenvolvimento Urbano e da Paisagem,</w:t>
      </w:r>
      <w:r>
        <w:rPr>
          <w:rFonts w:ascii="Times New Roman" w:hAnsi="Times New Roman"/>
          <w:sz w:val="24"/>
        </w:rPr>
        <w:br/>
        <w:t>F. Adam</w:t>
      </w:r>
    </w:p>
    <w:p w14:paraId="60DBE7FC" w14:textId="77777777" w:rsidR="003F2E4D" w:rsidRDefault="003F2E4D"/>
    <w:sectPr w:rsidR="003F2E4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FBF2" w14:textId="77777777" w:rsidR="007D0970" w:rsidRDefault="007D0970" w:rsidP="006C1C16">
      <w:pPr>
        <w:spacing w:after="0" w:line="240" w:lineRule="auto"/>
      </w:pPr>
      <w:r>
        <w:separator/>
      </w:r>
    </w:p>
  </w:endnote>
  <w:endnote w:type="continuationSeparator" w:id="0">
    <w:p w14:paraId="67AFCBE4" w14:textId="77777777" w:rsidR="007D0970" w:rsidRDefault="007D0970" w:rsidP="006C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9DB2" w14:textId="77777777" w:rsidR="006C1C16" w:rsidRDefault="006C1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DF8B" w14:textId="77777777" w:rsidR="006C1C16" w:rsidRDefault="006C1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8BEC" w14:textId="77777777" w:rsidR="006C1C16" w:rsidRDefault="006C1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7E05" w14:textId="77777777" w:rsidR="007D0970" w:rsidRDefault="007D0970" w:rsidP="006C1C16">
      <w:pPr>
        <w:spacing w:after="0" w:line="240" w:lineRule="auto"/>
      </w:pPr>
      <w:r>
        <w:separator/>
      </w:r>
    </w:p>
  </w:footnote>
  <w:footnote w:type="continuationSeparator" w:id="0">
    <w:p w14:paraId="04B56BFB" w14:textId="77777777" w:rsidR="007D0970" w:rsidRDefault="007D0970" w:rsidP="006C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4E05" w14:textId="77777777" w:rsidR="006C1C16" w:rsidRDefault="006C1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43AE" w14:textId="77777777" w:rsidR="006C1C16" w:rsidRDefault="006C1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C9E2" w14:textId="77777777" w:rsidR="006C1C16" w:rsidRDefault="006C1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62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6C1C16"/>
    <w:rsid w:val="007D0970"/>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6C1C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1C16"/>
  </w:style>
  <w:style w:type="paragraph" w:styleId="Footer">
    <w:name w:val="footer"/>
    <w:basedOn w:val="Normal"/>
    <w:link w:val="FooterChar"/>
    <w:uiPriority w:val="99"/>
    <w:unhideWhenUsed/>
    <w:rsid w:val="006C1C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7420</Words>
  <Characters>43036</Characters>
  <Application>Microsoft Office Word</Application>
  <DocSecurity>0</DocSecurity>
  <Lines>3912</Lines>
  <Paragraphs>827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2022-05-05T06:01:00Z</dcterms:created>
  <dcterms:modified xsi:type="dcterms:W3CDTF">2022-05-05T06:01:00Z</dcterms:modified>
</cp:coreProperties>
</file>