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7DE0A" w14:textId="77777777" w:rsidR="006D6021" w:rsidRPr="008E5B84" w:rsidRDefault="00311339">
      <w:pPr>
        <w:pStyle w:val="Ttulo4"/>
        <w:widowControl w:val="0"/>
        <w:spacing w:after="120" w:line="360" w:lineRule="auto"/>
        <w:ind w:firstLine="0"/>
        <w:jc w:val="both"/>
        <w:outlineLvl w:val="9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DL nr XX/2020</w:t>
      </w:r>
      <w:r>
        <w:rPr>
          <w:sz w:val="24"/>
          <w:rFonts w:ascii="Garamond" w:hAnsi="Garamond"/>
        </w:rPr>
        <w:t xml:space="preserve"> </w:t>
      </w:r>
    </w:p>
    <w:p w14:paraId="5D0DF49B" w14:textId="77777777" w:rsidR="006D6021" w:rsidRPr="008E5B84" w:rsidRDefault="00311339">
      <w:pPr>
        <w:pStyle w:val="Ttulo4"/>
        <w:widowControl w:val="0"/>
        <w:spacing w:after="120" w:line="360" w:lineRule="auto"/>
        <w:ind w:firstLine="0"/>
        <w:jc w:val="both"/>
        <w:outlineLvl w:val="9"/>
        <w:rPr>
          <w:sz w:val="24"/>
          <w:szCs w:val="24"/>
          <w:rFonts w:ascii="Garamond" w:hAnsi="Garamond"/>
        </w:rPr>
      </w:pPr>
      <w:bookmarkStart w:id="0" w:name="_Hlk61623095"/>
      <w:r>
        <w:t xml:space="preserve">Dekret z mocą ustawy nr 102-D/2020 z dnia 10 grudnia</w:t>
      </w:r>
      <w:bookmarkEnd w:id="0"/>
      <w:r>
        <w:t xml:space="preserve"> uaktualniono </w:t>
      </w:r>
      <w:hyperlink r:id="rId8" w:tooltip="Dekret z mocą ustawy nr 152-D/2017" w:history="1">
        <w:r>
          <w:rPr>
            <w:sz w:val="24"/>
            <w:rFonts w:ascii="Garamond" w:hAnsi="Garamond"/>
          </w:rPr>
          <w:t xml:space="preserve">Dekret z mocą ustawy nr 152-D/2017</w:t>
        </w:r>
      </w:hyperlink>
      <w:r>
        <w:t xml:space="preserve"> z dnia 11 grudnia, transponujący do prawa wewnętrznego </w:t>
      </w:r>
      <w:hyperlink r:id="rId9" w:tooltip="Link do dyrektywy Unii Europejskiej" w:history="1">
        <w:r>
          <w:rPr>
            <w:sz w:val="24"/>
            <w:rFonts w:ascii="Garamond" w:hAnsi="Garamond"/>
          </w:rPr>
          <w:t xml:space="preserve">Dyrektywę 94/62/WE</w:t>
        </w:r>
      </w:hyperlink>
      <w:r>
        <w:t xml:space="preserve"> Parlamentu Europejskiego i Rady z dnia 20 grudnia 1994 r. w sprawie opakowań i odpadów opakowaniowych, zmienioną dyrektywą Parlamentu Europejskiego i Rady (UE) </w:t>
      </w:r>
      <w:hyperlink r:id="rId10" w:tooltip="Link do dyrektywy Unii Europejskiej" w:history="1">
        <w:r>
          <w:rPr>
            <w:sz w:val="24"/>
            <w:rFonts w:ascii="Garamond" w:hAnsi="Garamond"/>
          </w:rPr>
          <w:t xml:space="preserve">2018/852</w:t>
        </w:r>
      </w:hyperlink>
      <w:r>
        <w:t xml:space="preserve"> z dnia 30 maja 2018 r., oraz dyrektywy </w:t>
      </w:r>
      <w:hyperlink r:id="rId11" w:tooltip="Link do dyrektywy Unii Europejskiej" w:history="1">
        <w:r>
          <w:rPr>
            <w:sz w:val="24"/>
            <w:rFonts w:ascii="Garamond" w:hAnsi="Garamond"/>
          </w:rPr>
          <w:t xml:space="preserve">2000/53/WE</w:t>
        </w:r>
      </w:hyperlink>
      <w:r>
        <w:t xml:space="preserve"> w sprawie pojazdów wycofanych z eksploatacji, </w:t>
      </w:r>
      <w:hyperlink r:id="rId12" w:tooltip="Link do dyrektywy Unii Europejskiej" w:history="1">
        <w:r>
          <w:rPr>
            <w:sz w:val="24"/>
            <w:rFonts w:ascii="Garamond" w:hAnsi="Garamond"/>
          </w:rPr>
          <w:t xml:space="preserve">2006/66/WE</w:t>
        </w:r>
      </w:hyperlink>
      <w:r>
        <w:t xml:space="preserve"> w sprawie baterii i akumulatorów i ich odpadów, i </w:t>
      </w:r>
      <w:hyperlink r:id="rId13" w:tooltip="Link do dyrektywy Unii Europejskiej" w:history="1">
        <w:r>
          <w:rPr>
            <w:sz w:val="24"/>
            <w:rFonts w:ascii="Garamond" w:hAnsi="Garamond"/>
          </w:rPr>
          <w:t xml:space="preserve">2012/19/WE</w:t>
        </w:r>
      </w:hyperlink>
      <w:r>
        <w:t xml:space="preserve"> w sprawie odpadów sprzętu elektrycznego i elektronicznego, zmieniona dyrektywą Parlamentu Europejskiego i Rady (UE) </w:t>
      </w:r>
      <w:hyperlink r:id="rId14" w:tooltip="Link do dyrektywy Unii Europejskiej" w:history="1">
        <w:r>
          <w:rPr>
            <w:sz w:val="24"/>
            <w:rFonts w:ascii="Garamond" w:hAnsi="Garamond"/>
          </w:rPr>
          <w:t xml:space="preserve">2018/849</w:t>
        </w:r>
      </w:hyperlink>
      <w:r>
        <w:t xml:space="preserve"> z dnia 30 maja 2018 r.</w:t>
      </w:r>
    </w:p>
    <w:p w14:paraId="7B6DC961" w14:textId="7C6704AB" w:rsidR="006D6021" w:rsidRPr="008E5B84" w:rsidRDefault="00311339">
      <w:pPr>
        <w:spacing w:after="120" w:line="360" w:lineRule="auto"/>
        <w:jc w:val="both"/>
        <w:rPr>
          <w:sz w:val="24"/>
          <w:szCs w:val="24"/>
          <w:rFonts w:ascii="Garamond" w:hAnsi="Garamond"/>
        </w:rPr>
      </w:pPr>
      <w:r>
        <w:t xml:space="preserve">W celu szybkiej transpozycji tych dyrektyw i zapewnienia zgodności z procedurą informacyjną w dziedzinie przepisów technicznych i zasad dotyczących usług społeczeństwa informacyjnego, o których mowa w </w:t>
      </w:r>
      <w:hyperlink r:id="rId15" w:tooltip="Link do dyrektywy Unii Europejskiej" w:history="1">
        <w:r>
          <w:rPr>
            <w:sz w:val="24"/>
            <w:rFonts w:ascii="Garamond" w:hAnsi="Garamond"/>
          </w:rPr>
          <w:t xml:space="preserve">Dyrektywie (UE) 2015/1535</w:t>
        </w:r>
      </w:hyperlink>
      <w:r>
        <w:t xml:space="preserve"> Parlamentu Europejskiego i Rady z dnia 9 września 2015 r., dalsze niezbędne zmiany </w:t>
      </w:r>
      <w:hyperlink r:id="rId16" w:tooltip="Dekret z mocą ustawy nr 152-D/2017" w:history="1">
        <w:r>
          <w:rPr>
            <w:sz w:val="24"/>
            <w:rFonts w:ascii="Garamond" w:hAnsi="Garamond"/>
          </w:rPr>
          <w:t xml:space="preserve">Dekretu z mocą ustawy nr. 152-D/2017</w:t>
        </w:r>
      </w:hyperlink>
      <w:r>
        <w:t xml:space="preserve"> z dnia 11 grudnia zostały przełożone do zatwierdzenia w późniejszym terminie.</w:t>
      </w:r>
      <w:r>
        <w:rPr>
          <w:sz w:val="24"/>
          <w:rFonts w:ascii="Garamond" w:hAnsi="Garamond"/>
        </w:rPr>
        <w:t xml:space="preserve"> </w:t>
      </w:r>
    </w:p>
    <w:p w14:paraId="3DD37DBB" w14:textId="6C301508" w:rsidR="006D6021" w:rsidRPr="008E5B84" w:rsidRDefault="00311339">
      <w:pPr>
        <w:spacing w:after="120" w:line="360" w:lineRule="auto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Niniejszy dekret z mocą ustawy zatwierdza zatem wyżej wymienione aktualizacje, w szczególności wprowadzenie oznakowania opakowań wielokrotnego użytku i opakowań zarządzanych w ramach systemu depozytów oraz znakowanie opakowań nadających się do recyklingu za pomocą odpowiednich instrukcji sortowania.</w:t>
      </w:r>
      <w:r>
        <w:rPr>
          <w:sz w:val="24"/>
          <w:rFonts w:ascii="Garamond" w:hAnsi="Garamond"/>
        </w:rPr>
        <w:t xml:space="preserve"> </w:t>
      </w:r>
      <w:r>
        <w:rPr>
          <w:sz w:val="24"/>
          <w:rFonts w:ascii="Garamond" w:hAnsi="Garamond"/>
        </w:rPr>
        <w:t xml:space="preserve">Przewiduje on również obowiązek corocznego wykazu licencjodawcy, o tym że wymogi w zakresie kwalifikacji i obowiązujące normy są spełniane za pomocą dokumentu wydanego przez wykwalifikowanych weryfikatorów.</w:t>
      </w:r>
      <w:r>
        <w:rPr>
          <w:sz w:val="24"/>
          <w:rFonts w:ascii="Garamond" w:hAnsi="Garamond"/>
        </w:rPr>
        <w:t xml:space="preserve"> </w:t>
      </w:r>
    </w:p>
    <w:p w14:paraId="758B538F" w14:textId="77777777" w:rsidR="006D6021" w:rsidRPr="008E5B84" w:rsidRDefault="00311339">
      <w:pPr>
        <w:pStyle w:val="Ttulo4"/>
        <w:widowControl w:val="0"/>
        <w:spacing w:after="120" w:line="360" w:lineRule="auto"/>
        <w:ind w:firstLine="0"/>
        <w:jc w:val="left"/>
        <w:outlineLvl w:val="9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Wysłuchano opinii organów samorządowych regionów autonomicznych.</w:t>
      </w:r>
    </w:p>
    <w:p w14:paraId="7D1192FA" w14:textId="77777777" w:rsidR="006D6021" w:rsidRPr="008E5B84" w:rsidRDefault="00311339">
      <w:pPr>
        <w:pStyle w:val="NormalWeb"/>
        <w:shd w:val="clear" w:color="auto" w:fill="FFFFFF"/>
        <w:spacing w:before="0" w:after="225" w:line="390" w:lineRule="atLeast"/>
        <w:jc w:val="both"/>
        <w:rPr>
          <w:rFonts w:ascii="Garamond" w:eastAsia="Calibri" w:hAnsi="Garamond"/>
        </w:rPr>
      </w:pPr>
      <w:r>
        <w:rPr>
          <w:rFonts w:ascii="Garamond" w:hAnsi="Garamond"/>
        </w:rPr>
        <w:t xml:space="preserve">W związku z tym:</w:t>
      </w:r>
    </w:p>
    <w:p w14:paraId="26406EBE" w14:textId="77777777" w:rsidR="006D6021" w:rsidRPr="008E5B84" w:rsidRDefault="00311339">
      <w:pPr>
        <w:pStyle w:val="NormalWeb"/>
        <w:shd w:val="clear" w:color="auto" w:fill="FFFFFF"/>
        <w:spacing w:before="0" w:after="225" w:line="390" w:lineRule="atLeast"/>
        <w:jc w:val="both"/>
        <w:rPr>
          <w:rFonts w:ascii="Garamond" w:eastAsia="Calibri" w:hAnsi="Garamond"/>
        </w:rPr>
      </w:pPr>
      <w:r>
        <w:rPr>
          <w:rFonts w:ascii="Garamond" w:hAnsi="Garamond"/>
        </w:rPr>
        <w:t xml:space="preserve">Zgodnie z art. 198 ust. 1 lit. a) Konstytucji, Rząd niniejszym postanawia:</w:t>
      </w:r>
    </w:p>
    <w:p w14:paraId="10E5347C" w14:textId="77777777" w:rsidR="006D6021" w:rsidRPr="008E5B84" w:rsidRDefault="006D6021">
      <w:pPr>
        <w:pStyle w:val="NormalWeb"/>
        <w:shd w:val="clear" w:color="auto" w:fill="FFFFFF"/>
        <w:spacing w:before="0" w:after="225" w:line="390" w:lineRule="atLeast"/>
        <w:jc w:val="both"/>
        <w:rPr>
          <w:rFonts w:ascii="Garamond" w:hAnsi="Garamond"/>
          <w:color w:val="333333"/>
        </w:rPr>
      </w:pPr>
    </w:p>
    <w:p w14:paraId="4D7E55DE" w14:textId="02B10543" w:rsidR="006D6021" w:rsidRPr="008E5B84" w:rsidRDefault="00BC4ADA" w:rsidP="00BC4ADA">
      <w:pPr>
        <w:suppressAutoHyphens w:val="0"/>
        <w:rPr>
          <w:color w:val="333333"/>
          <w:sz w:val="24"/>
          <w:szCs w:val="24"/>
          <w:rFonts w:ascii="Garamond" w:eastAsia="Times New Roman" w:hAnsi="Garamond"/>
        </w:rPr>
      </w:pPr>
      <w:r>
        <w:br w:type="page"/>
      </w:r>
    </w:p>
    <w:p w14:paraId="34A618C4" w14:textId="77777777" w:rsidR="006D6021" w:rsidRPr="008E5B84" w:rsidRDefault="00311339">
      <w:pPr>
        <w:pStyle w:val="Ttulo4"/>
        <w:widowControl w:val="0"/>
        <w:spacing w:after="120" w:line="360" w:lineRule="auto"/>
        <w:outlineLvl w:val="9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Artykuł 1</w:t>
      </w:r>
    </w:p>
    <w:p w14:paraId="6310E1C1" w14:textId="77777777" w:rsidR="006D6021" w:rsidRPr="008E5B84" w:rsidRDefault="00311339">
      <w:pPr>
        <w:pStyle w:val="Ttulo4"/>
        <w:widowControl w:val="0"/>
        <w:spacing w:after="120" w:line="360" w:lineRule="auto"/>
        <w:outlineLvl w:val="9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Przedmiot</w:t>
      </w:r>
    </w:p>
    <w:p w14:paraId="19B19F0E" w14:textId="3AE3B598" w:rsidR="006D6021" w:rsidRPr="008E5B84" w:rsidRDefault="00311339">
      <w:pPr>
        <w:pStyle w:val="Ttulo4"/>
        <w:widowControl w:val="0"/>
        <w:spacing w:after="120" w:line="360" w:lineRule="auto"/>
        <w:ind w:firstLine="0"/>
        <w:jc w:val="both"/>
        <w:outlineLvl w:val="9"/>
        <w:rPr>
          <w:sz w:val="24"/>
          <w:szCs w:val="24"/>
          <w:rFonts w:ascii="Garamond" w:hAnsi="Garamond"/>
        </w:rPr>
      </w:pPr>
      <w:r>
        <w:t xml:space="preserve">Niniejszy dekret z mocą ustawy wprowadza piątą zmianę </w:t>
      </w:r>
      <w:hyperlink r:id="rId17" w:tooltip="Dekret z mocą ustawy nr 152-D/2017" w:history="1">
        <w:r>
          <w:rPr>
            <w:sz w:val="24"/>
            <w:rFonts w:ascii="Garamond" w:hAnsi="Garamond"/>
          </w:rPr>
          <w:t xml:space="preserve">Dekretu z mocą ustawy nr 152-D/2017</w:t>
        </w:r>
      </w:hyperlink>
      <w:r>
        <w:t xml:space="preserve"> z dnia 11 grudnia, zmienionego ustawą nr </w:t>
      </w:r>
      <w:hyperlink r:id="rId18" w:tooltip="Ustawa nr 69/2018" w:history="1">
        <w:r>
          <w:rPr>
            <w:sz w:val="24"/>
            <w:rFonts w:ascii="Garamond" w:hAnsi="Garamond"/>
          </w:rPr>
          <w:t xml:space="preserve">69/2018</w:t>
        </w:r>
      </w:hyperlink>
      <w:r>
        <w:t xml:space="preserve"> z dnia 26.grudnia i </w:t>
      </w:r>
      <w:hyperlink r:id="rId19" w:tooltip="Ustawa nr 41/2019" w:history="1">
        <w:r>
          <w:rPr>
            <w:sz w:val="24"/>
            <w:rFonts w:ascii="Garamond" w:hAnsi="Garamond"/>
          </w:rPr>
          <w:t xml:space="preserve">41/2019</w:t>
        </w:r>
      </w:hyperlink>
      <w:r>
        <w:t xml:space="preserve"> z dnia 21.czerwca, </w:t>
      </w:r>
      <w:hyperlink r:id="rId20" w:tooltip="Dekret z mocą ustawy nr 86/2020" w:history="1">
        <w:r>
          <w:rPr>
            <w:sz w:val="24"/>
            <w:rFonts w:ascii="Garamond" w:hAnsi="Garamond"/>
          </w:rPr>
          <w:t xml:space="preserve">Dekretem z mocą ustawy nr 86/2020</w:t>
        </w:r>
      </w:hyperlink>
      <w:r>
        <w:t xml:space="preserve"> z dnia 14 października oraz zmienionym i ponownie opublikowanym dekretem z mocą ustawy nr 102-D/2020 z dnia 10 grudnia.</w:t>
      </w:r>
      <w:r>
        <w:rPr>
          <w:sz w:val="24"/>
          <w:rFonts w:ascii="Garamond" w:hAnsi="Garamond"/>
        </w:rPr>
        <w:t xml:space="preserve"> </w:t>
      </w:r>
    </w:p>
    <w:p w14:paraId="11139F74" w14:textId="77777777" w:rsidR="006D6021" w:rsidRPr="008E5B84" w:rsidRDefault="00311339">
      <w:pPr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Artykuł 2</w:t>
      </w:r>
    </w:p>
    <w:p w14:paraId="38D8E667" w14:textId="77777777" w:rsidR="006D6021" w:rsidRPr="008E5B84" w:rsidRDefault="00311339">
      <w:pPr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Zmiana dekretu z mocą ustawy nr 152-D/2017 z dnia 11 grudnia</w:t>
      </w:r>
    </w:p>
    <w:p w14:paraId="740BDF45" w14:textId="1C138E32" w:rsidR="006D6021" w:rsidRPr="008E5B84" w:rsidRDefault="00311339">
      <w:pPr>
        <w:pStyle w:val="NormalWeb"/>
        <w:shd w:val="clear" w:color="auto" w:fill="FFFFFF"/>
        <w:spacing w:before="0" w:after="225" w:line="390" w:lineRule="atLeast"/>
        <w:jc w:val="both"/>
        <w:rPr>
          <w:rFonts w:ascii="Garamond" w:hAnsi="Garamond"/>
        </w:rPr>
      </w:pPr>
      <w:r>
        <w:t xml:space="preserve">Artykuły 8, 23, 28 i 90 </w:t>
      </w:r>
      <w:hyperlink r:id="rId21" w:tooltip="Dekret z mocą ustawy nr 152-D/2017" w:history="1">
        <w:r>
          <w:rPr>
            <w:rFonts w:ascii="Garamond" w:hAnsi="Garamond"/>
          </w:rPr>
          <w:t xml:space="preserve">Dekretu z mocą ustawy nr 152-D/2017</w:t>
        </w:r>
      </w:hyperlink>
      <w:r>
        <w:t xml:space="preserve"> z dnia 11 grudnia w ich obecnym brzmieniu zostają zastąpione przez:</w:t>
      </w:r>
    </w:p>
    <w:p w14:paraId="2CB88C12" w14:textId="77777777" w:rsidR="006D6021" w:rsidRPr="008E5B84" w:rsidRDefault="00311339">
      <w:pPr>
        <w:shd w:val="clear" w:color="auto" w:fill="FFFFFF"/>
        <w:suppressAutoHyphens w:val="0"/>
        <w:spacing w:after="225" w:line="390" w:lineRule="atLeast"/>
        <w:jc w:val="center"/>
        <w:textAlignment w:val="auto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„Artykuł 8</w:t>
      </w:r>
    </w:p>
    <w:p w14:paraId="3EE26575" w14:textId="77777777" w:rsidR="006D6021" w:rsidRPr="008E5B84" w:rsidRDefault="00311339">
      <w:pPr>
        <w:pStyle w:val="Ttulo4"/>
        <w:widowControl w:val="0"/>
        <w:spacing w:after="120" w:line="360" w:lineRule="auto"/>
        <w:outlineLvl w:val="9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Kwalifikacja podmiotów zajmujących się przetwarzaniem odpadów, w tym składowaniem</w:t>
      </w:r>
    </w:p>
    <w:p w14:paraId="0E5B07F5" w14:textId="4679E0F2" w:rsidR="006D6021" w:rsidRPr="008E5B84" w:rsidRDefault="00311339">
      <w:pPr>
        <w:pStyle w:val="ListParagraph"/>
        <w:widowControl w:val="0"/>
        <w:numPr>
          <w:ilvl w:val="0"/>
          <w:numId w:val="1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Bez uszczerbku dla przepisów ust. 5 i 6, podmioty zajmujące się przetwarzaniem odpadów, w tym składowaniem, działające w określonych strumieniach odpadów podlegają wymogom kwalifikacyjnym w celu skutecznej kontroli i śledzenia przetworzonych odpadów zgodnie z założeniami i celami określonymi w niniejszym rozporządzeniu z mocą ustawy.</w:t>
      </w:r>
      <w:r>
        <w:rPr>
          <w:sz w:val="24"/>
          <w:rFonts w:ascii="Garamond" w:hAnsi="Garamond"/>
        </w:rPr>
        <w:t xml:space="preserve"> </w:t>
      </w:r>
    </w:p>
    <w:p w14:paraId="554CFC4C" w14:textId="400163F5" w:rsidR="006D6021" w:rsidRPr="008E5B84" w:rsidRDefault="00311339">
      <w:pPr>
        <w:pStyle w:val="ListParagraph"/>
        <w:widowControl w:val="0"/>
        <w:numPr>
          <w:ilvl w:val="0"/>
          <w:numId w:val="1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Wymagania, o których mowa w poprzednim ustępie, jak również ich zakres, zostały ustanowione przez </w:t>
      </w:r>
      <w:r>
        <w:rPr>
          <w:sz w:val="24"/>
          <w:shd w:val="clear" w:color="auto" w:fill="FFFFFF"/>
          <w:rFonts w:ascii="Garamond" w:hAnsi="Garamond"/>
        </w:rPr>
        <w:t xml:space="preserve">Portugalską Agencję Środowiska, I.P.</w:t>
      </w:r>
      <w:r>
        <w:rPr>
          <w:sz w:val="24"/>
          <w:shd w:val="clear" w:color="auto" w:fill="FFFFFF"/>
          <w:rFonts w:ascii="Garamond" w:hAnsi="Garamond"/>
        </w:rPr>
        <w:t xml:space="preserve"> </w:t>
      </w:r>
      <w:r>
        <w:rPr>
          <w:sz w:val="24"/>
          <w:shd w:val="clear" w:color="auto" w:fill="FFFFFF"/>
          <w:rFonts w:ascii="Garamond" w:hAnsi="Garamond"/>
        </w:rPr>
        <w:t xml:space="preserve">(</w:t>
      </w:r>
      <w:r>
        <w:rPr>
          <w:sz w:val="24"/>
          <w:rFonts w:ascii="Garamond" w:hAnsi="Garamond"/>
        </w:rPr>
        <w:t xml:space="preserve">APA, I.P.), po wysłuchaniu reprezentatywnych stowarzyszeń podmiotów zajmujących się gospodarowaniem odpadami, organów licencjonujących, podmiotów odpowiedzialnych za zarządzanie zintegrowanymi systemami odpadowymi oraz innych podmiotów, które uzna za istotne do zasięgania opinii, z uwzględnieniem technicznych kryteriów jakości i efektywności, oraz ogłoszonych na ich stronie internetowej.</w:t>
      </w:r>
      <w:r>
        <w:rPr>
          <w:sz w:val="24"/>
          <w:rFonts w:ascii="Garamond" w:hAnsi="Garamond"/>
        </w:rPr>
        <w:t xml:space="preserve"> </w:t>
      </w:r>
    </w:p>
    <w:p w14:paraId="0577D597" w14:textId="77777777" w:rsidR="006D6021" w:rsidRPr="008E5B84" w:rsidRDefault="00311339">
      <w:pPr>
        <w:pStyle w:val="ListParagraph"/>
        <w:widowControl w:val="0"/>
        <w:numPr>
          <w:ilvl w:val="0"/>
          <w:numId w:val="1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[...].</w:t>
      </w:r>
      <w:r>
        <w:rPr>
          <w:sz w:val="24"/>
          <w:rFonts w:ascii="Garamond" w:hAnsi="Garamond"/>
        </w:rPr>
        <w:t xml:space="preserve">  </w:t>
      </w:r>
    </w:p>
    <w:p w14:paraId="6149BD7F" w14:textId="77777777" w:rsidR="006D6021" w:rsidRPr="008E5B84" w:rsidRDefault="00311339">
      <w:pPr>
        <w:pStyle w:val="ListParagraph"/>
        <w:widowControl w:val="0"/>
        <w:numPr>
          <w:ilvl w:val="0"/>
          <w:numId w:val="1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Wymogi, o których mowa w poprzednich ustępach, są określone w zezwoleniach dla podmiotów zajmujących się przetwarzaniem odpadów, a ich zgodność wykazuje się zgodnie z przepisami ust. 8 i 10.</w:t>
      </w:r>
      <w:r>
        <w:rPr>
          <w:sz w:val="24"/>
          <w:rFonts w:ascii="Garamond" w:hAnsi="Garamond"/>
        </w:rPr>
        <w:t xml:space="preserve"> </w:t>
      </w:r>
    </w:p>
    <w:p w14:paraId="64F7A174" w14:textId="77777777" w:rsidR="006D6021" w:rsidRPr="008E5B84" w:rsidRDefault="00311339">
      <w:pPr>
        <w:pStyle w:val="ListParagraph"/>
        <w:widowControl w:val="0"/>
        <w:numPr>
          <w:ilvl w:val="0"/>
          <w:numId w:val="1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Podmioty zajmujące się przetwarzaniem odpadów, w tym składowaniem, działające w ramach określonego przepływu WEEE są certyfikowane przez NP EN 50625-1:2014 "Wymogi dotyczące zbierania, transportu i przetwarzania WEEE - Część 1:</w:t>
      </w:r>
      <w:r>
        <w:rPr>
          <w:sz w:val="24"/>
          <w:rFonts w:ascii="Garamond" w:hAnsi="Garamond"/>
        </w:rPr>
        <w:t xml:space="preserve"> </w:t>
      </w:r>
      <w:r>
        <w:rPr>
          <w:sz w:val="24"/>
          <w:rFonts w:ascii="Garamond" w:hAnsi="Garamond"/>
        </w:rPr>
        <w:t xml:space="preserve">Ogólne wymogi i środki" wraz z jego uaktualnionym brzmieniem i zastępującą go normą.</w:t>
      </w:r>
    </w:p>
    <w:p w14:paraId="0AF9C3B3" w14:textId="77777777" w:rsidR="006D6021" w:rsidRPr="008E5B84" w:rsidRDefault="00311339">
      <w:pPr>
        <w:pStyle w:val="ListParagraph"/>
        <w:widowControl w:val="0"/>
        <w:numPr>
          <w:ilvl w:val="0"/>
          <w:numId w:val="2"/>
        </w:numPr>
        <w:spacing w:after="120" w:line="360" w:lineRule="auto"/>
        <w:ind w:right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Poza certyfikacją przewidzianą w poprzednim akapicie, operatorzy przetwarzający odpady WEEE zaklasyfikowane jako niebezpieczne otrzymują certyfikaty zgodnie z odpowiednią normą serii EN 50625, a mianowicie dla lamp (NP EN 50625-2-1:2014), wyświetlaczy i monitorów (NP EN 50625-2-2:2015) oraz urządzeń regulujących temperaturę (EN 50625-2-3:2017), wraz z ich uaktualnionym brzmieniem oraz normami je zastępującymi.</w:t>
      </w:r>
      <w:r>
        <w:rPr>
          <w:sz w:val="24"/>
          <w:rFonts w:ascii="Garamond" w:hAnsi="Garamond"/>
        </w:rPr>
        <w:t xml:space="preserve"> </w:t>
      </w:r>
    </w:p>
    <w:p w14:paraId="2AD5545D" w14:textId="1D2B1236" w:rsidR="006D6021" w:rsidRPr="008E5B84" w:rsidRDefault="00311339">
      <w:pPr>
        <w:pStyle w:val="ListParagraph"/>
        <w:widowControl w:val="0"/>
        <w:numPr>
          <w:ilvl w:val="0"/>
          <w:numId w:val="2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Ustęp 1 nie ma zastosowania do podmiotów gospodarczych przeprowadzających przetwarzanie odpadów w zakładach przemysłowych w ramach Programu Odpowiedzialnego Przemysłu (SIR), z wyjątkiem zewnętrznych zakładów przetwarzania odpadów dla działalności przemysłowej.</w:t>
      </w:r>
    </w:p>
    <w:p w14:paraId="55123F50" w14:textId="5AFC3F8E" w:rsidR="006D6021" w:rsidRPr="008E5B84" w:rsidRDefault="00311339">
      <w:pPr>
        <w:pStyle w:val="ListParagraph"/>
        <w:widowControl w:val="0"/>
        <w:numPr>
          <w:ilvl w:val="0"/>
          <w:numId w:val="2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Podmioty gospodarcze zajmujące się przetwarzaniem odpadów, o których mowa w przepisach ust. 1, 5 i 6, do dnia 31 marca każdego roku zaświadczają do organu nadzorującego wydawanie licencji, że wymogi i normy kwalifikacyjne mające zastosowanie w poprzednim roku zostały spełnione, z zastrzeżeniem całkowitego lub częściowego zawieszenia licencji zgodnie z przepisami art. 81 ogólnego systemu gospodarowania odpadami.</w:t>
      </w:r>
      <w:r>
        <w:rPr>
          <w:sz w:val="24"/>
          <w:rFonts w:ascii="Garamond" w:hAnsi="Garamond"/>
        </w:rPr>
        <w:t xml:space="preserve"> </w:t>
      </w:r>
    </w:p>
    <w:p w14:paraId="3813BD80" w14:textId="77777777" w:rsidR="006D6021" w:rsidRPr="008E5B84" w:rsidRDefault="00311339">
      <w:pPr>
        <w:pStyle w:val="ListParagraph"/>
        <w:widowControl w:val="0"/>
        <w:numPr>
          <w:ilvl w:val="0"/>
          <w:numId w:val="2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Przepisy poprzedniego ustępu stosuje się tylko wtedy, gdy w dniu 31. Marca podmiot gospodarczy uzyskał zezwolenie na okres co najmniej sześciu miesięcy.</w:t>
      </w:r>
    </w:p>
    <w:p w14:paraId="68599E61" w14:textId="44D5CD63" w:rsidR="006D6021" w:rsidRPr="008E5B84" w:rsidRDefault="00311339">
      <w:pPr>
        <w:pStyle w:val="ListParagraph"/>
        <w:widowControl w:val="0"/>
        <w:numPr>
          <w:ilvl w:val="0"/>
          <w:numId w:val="2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Dowód zgodności z wymogami kwalifikacyjnymi, o których mowa w przepisach ust. 1, jest dostarczany za pomocą dokumentu wydanego przez wykwalifikowanych weryfikatorów.</w:t>
      </w:r>
      <w:bookmarkStart w:id="1" w:name="_Hlk52723080"/>
    </w:p>
    <w:bookmarkEnd w:id="1"/>
    <w:p w14:paraId="511DE8FF" w14:textId="77777777" w:rsidR="006D6021" w:rsidRPr="008E5B84" w:rsidRDefault="00311339">
      <w:pPr>
        <w:pStyle w:val="ListParagraph"/>
        <w:widowControl w:val="0"/>
        <w:numPr>
          <w:ilvl w:val="0"/>
          <w:numId w:val="2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Kryteria i metodologia certyfikacji podmiotów odpowiedzialnych i wykwalifikowanych weryfikatorów są ustalane na podstawie rozporządzenia członka Rządu ds. środowiska.</w:t>
      </w:r>
    </w:p>
    <w:p w14:paraId="03805ED9" w14:textId="59353803" w:rsidR="006D6021" w:rsidRPr="008E5B84" w:rsidRDefault="00BC4ADA">
      <w:pPr>
        <w:pStyle w:val="ListParagraph"/>
        <w:widowControl w:val="0"/>
        <w:numPr>
          <w:ilvl w:val="0"/>
          <w:numId w:val="2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Zaświadczenie przewidziane w przepisach ust. 5 i 6 jest przeprowadzane przez akredytowaną stronę trzecią.</w:t>
      </w:r>
      <w:r>
        <w:rPr>
          <w:sz w:val="24"/>
          <w:rFonts w:ascii="Garamond" w:hAnsi="Garamond"/>
        </w:rPr>
        <w:t xml:space="preserve"> </w:t>
      </w:r>
    </w:p>
    <w:p w14:paraId="6EC366FF" w14:textId="77777777" w:rsidR="006D6021" w:rsidRPr="008E5B84" w:rsidRDefault="00311339">
      <w:pPr>
        <w:pStyle w:val="ListParagraph"/>
        <w:widowControl w:val="0"/>
        <w:numPr>
          <w:ilvl w:val="0"/>
          <w:numId w:val="2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Nieprzestrzeganie odpowiednich wymogów lub norm w zakresie kwalifikowania, przewidzianych w niniejszym artykule, stanowi podstawę do cofnięcia licencji w całości lub w części zgodnie z przepisami art. 81 systemu gospodarowania odpadami.</w:t>
      </w:r>
      <w:r>
        <w:rPr>
          <w:sz w:val="24"/>
          <w:rFonts w:ascii="Garamond" w:hAnsi="Garamond"/>
        </w:rPr>
        <w:t xml:space="preserve"> </w:t>
      </w:r>
    </w:p>
    <w:p w14:paraId="69B2E75E" w14:textId="77777777" w:rsidR="006D6021" w:rsidRPr="008E5B84" w:rsidRDefault="00311339">
      <w:pPr>
        <w:widowControl w:val="0"/>
        <w:spacing w:after="120" w:line="360" w:lineRule="auto"/>
        <w:ind w:firstLine="284"/>
        <w:jc w:val="center"/>
        <w:rPr>
          <w:sz w:val="24"/>
          <w:szCs w:val="24"/>
          <w:rFonts w:ascii="Garamond" w:hAnsi="Garamond"/>
        </w:rPr>
      </w:pPr>
      <w:bookmarkStart w:id="2" w:name="_Hlk58518925"/>
      <w:r>
        <w:rPr>
          <w:sz w:val="24"/>
          <w:rFonts w:ascii="Garamond" w:hAnsi="Garamond"/>
        </w:rPr>
        <w:t xml:space="preserve">Artykuł 23</w:t>
      </w:r>
    </w:p>
    <w:p w14:paraId="0F62E269" w14:textId="34428259" w:rsidR="006D6021" w:rsidRPr="008E5B84" w:rsidRDefault="008B3D7C">
      <w:pPr>
        <w:widowControl w:val="0"/>
        <w:spacing w:after="120" w:line="360" w:lineRule="auto"/>
        <w:ind w:firstLine="284"/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</w:t>
      </w:r>
    </w:p>
    <w:p w14:paraId="5F9480C7" w14:textId="454DC417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[...].</w:t>
      </w:r>
    </w:p>
    <w:p w14:paraId="5F1D39B1" w14:textId="77777777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[...].</w:t>
      </w:r>
      <w:r>
        <w:rPr>
          <w:sz w:val="24"/>
          <w:rFonts w:ascii="Garamond" w:hAnsi="Garamond"/>
        </w:rPr>
        <w:t xml:space="preserve"> </w:t>
      </w:r>
    </w:p>
    <w:p w14:paraId="7F3B2E9D" w14:textId="53686E70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[...].</w:t>
      </w:r>
    </w:p>
    <w:p w14:paraId="1C782BC8" w14:textId="68618E7C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[...].</w:t>
      </w:r>
    </w:p>
    <w:p w14:paraId="49345D1D" w14:textId="77777777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</w:t>
      </w:r>
      <w:r>
        <w:rPr>
          <w:sz w:val="24"/>
          <w:i/>
          <w:rFonts w:ascii="Garamond" w:hAnsi="Garamond"/>
        </w:rPr>
        <w:t xml:space="preserve">Uchylony</w:t>
      </w:r>
      <w:r>
        <w:rPr>
          <w:sz w:val="24"/>
          <w:rFonts w:ascii="Garamond" w:hAnsi="Garamond"/>
        </w:rPr>
        <w:t xml:space="preserve">];</w:t>
      </w:r>
    </w:p>
    <w:p w14:paraId="78E509FB" w14:textId="77777777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[...].</w:t>
      </w:r>
      <w:r>
        <w:rPr>
          <w:sz w:val="24"/>
          <w:rFonts w:ascii="Garamond" w:hAnsi="Garamond"/>
        </w:rPr>
        <w:t xml:space="preserve"> </w:t>
      </w:r>
    </w:p>
    <w:p w14:paraId="05BCEA55" w14:textId="01A4160C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[...].</w:t>
      </w:r>
    </w:p>
    <w:p w14:paraId="3B767401" w14:textId="7091B311" w:rsidR="006D6021" w:rsidRPr="008E5B84" w:rsidRDefault="008600E0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[...].</w:t>
      </w:r>
    </w:p>
    <w:p w14:paraId="4A4D1BE3" w14:textId="4898503B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[...].</w:t>
      </w:r>
    </w:p>
    <w:p w14:paraId="0B339EEC" w14:textId="208F75F9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[...].</w:t>
      </w:r>
    </w:p>
    <w:p w14:paraId="566473D6" w14:textId="164AC433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bookmarkStart w:id="3" w:name="_Hlk61626903"/>
      <w:r>
        <w:rPr>
          <w:sz w:val="24"/>
          <w:rFonts w:ascii="Garamond" w:hAnsi="Garamond"/>
        </w:rPr>
        <w:t xml:space="preserve">[...].</w:t>
      </w:r>
    </w:p>
    <w:p w14:paraId="66BCCA1B" w14:textId="4D55870F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[...].</w:t>
      </w:r>
    </w:p>
    <w:p w14:paraId="73A26731" w14:textId="652B1C92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bookmarkStart w:id="4" w:name="_Hlk61626654"/>
      <w:bookmarkEnd w:id="3"/>
      <w:r>
        <w:rPr>
          <w:sz w:val="24"/>
          <w:rFonts w:ascii="Garamond" w:hAnsi="Garamond"/>
        </w:rPr>
        <w:t xml:space="preserve">[...].</w:t>
      </w:r>
    </w:p>
    <w:bookmarkEnd w:id="4"/>
    <w:p w14:paraId="385DA688" w14:textId="0D95D9A5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[...].</w:t>
      </w:r>
    </w:p>
    <w:p w14:paraId="7BCA8040" w14:textId="4560123D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bookmarkStart w:id="5" w:name="_Hlk52724639"/>
      <w:r>
        <w:rPr>
          <w:sz w:val="24"/>
          <w:rFonts w:ascii="Garamond" w:hAnsi="Garamond"/>
        </w:rPr>
        <w:t xml:space="preserve">[...].</w:t>
      </w:r>
    </w:p>
    <w:p w14:paraId="22A71714" w14:textId="11A87C2A" w:rsidR="006D6021" w:rsidRPr="008E5B84" w:rsidRDefault="00311339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bookmarkStart w:id="6" w:name="_Hlk52724601"/>
      <w:bookmarkEnd w:id="5"/>
      <w:r>
        <w:rPr>
          <w:sz w:val="24"/>
          <w:rFonts w:ascii="Garamond" w:hAnsi="Garamond"/>
        </w:rPr>
        <w:t xml:space="preserve">[...].</w:t>
      </w:r>
    </w:p>
    <w:p w14:paraId="7F2D2F9B" w14:textId="47B01B05" w:rsidR="006D6021" w:rsidRPr="008E5B84" w:rsidRDefault="00311339" w:rsidP="007E1034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Opakowania wielokrotnego użytku podlegają oznakowaniu, symbol i zasady oznaczania zostały określone w rozporządzeniu członków Rządu ds. gospodarki i środowiska, po konsultacji ze stowarzyszeniami reprezentującymi zainteresowane sektory.</w:t>
      </w:r>
    </w:p>
    <w:p w14:paraId="0388493E" w14:textId="282251FD" w:rsidR="006D6021" w:rsidRPr="008E5B84" w:rsidRDefault="00311339" w:rsidP="007E1034">
      <w:pPr>
        <w:widowControl w:val="0"/>
        <w:numPr>
          <w:ilvl w:val="0"/>
          <w:numId w:val="3"/>
        </w:numPr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Rozporządzenie, o którym mowa w poprzednim ustępie, powinno zostać ogłoszone do dnia 31 grudnia 2022 r., ustalając okres przejściowy na spełnienie obowiązku oznakowania nie krótszy niż jeden rok.</w:t>
      </w:r>
      <w:r>
        <w:rPr>
          <w:sz w:val="24"/>
          <w:rFonts w:ascii="Garamond" w:hAnsi="Garamond"/>
        </w:rPr>
        <w:t xml:space="preserve"> </w:t>
      </w:r>
    </w:p>
    <w:bookmarkEnd w:id="2"/>
    <w:bookmarkEnd w:id="6"/>
    <w:p w14:paraId="2073F806" w14:textId="77777777" w:rsidR="006D6021" w:rsidRPr="008E5B84" w:rsidRDefault="00311339">
      <w:pPr>
        <w:widowControl w:val="0"/>
        <w:spacing w:after="120" w:line="360" w:lineRule="auto"/>
        <w:ind w:left="851" w:right="567" w:hanging="284"/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Artykuł 28</w:t>
      </w:r>
    </w:p>
    <w:p w14:paraId="1BFEB45B" w14:textId="255D8B70" w:rsidR="006D6021" w:rsidRPr="008E5B84" w:rsidRDefault="00311339">
      <w:pPr>
        <w:widowControl w:val="0"/>
        <w:spacing w:after="120" w:line="360" w:lineRule="auto"/>
        <w:ind w:left="851" w:right="567" w:hanging="284"/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Oznakowanie opakowania</w:t>
      </w:r>
    </w:p>
    <w:p w14:paraId="1559C70D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</w:t>
      </w:r>
      <w:r>
        <w:rPr>
          <w:sz w:val="24"/>
          <w:i/>
          <w:iCs/>
          <w:rFonts w:ascii="Garamond" w:hAnsi="Garamond"/>
        </w:rPr>
        <w:t xml:space="preserve">Uchylony</w:t>
      </w:r>
      <w:r>
        <w:rPr>
          <w:sz w:val="24"/>
          <w:rFonts w:ascii="Garamond" w:hAnsi="Garamond"/>
        </w:rPr>
        <w:t xml:space="preserve">].</w:t>
      </w:r>
      <w:r>
        <w:rPr>
          <w:sz w:val="24"/>
          <w:rFonts w:ascii="Garamond" w:hAnsi="Garamond"/>
        </w:rPr>
        <w:t xml:space="preserve"> </w:t>
      </w:r>
    </w:p>
    <w:p w14:paraId="3035F5D8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Bez uszczerbku dla przepisów ust. 9, opakowanie pierwotne nienadające się do wielokrotnego użytku z innych państw członkowskich Unii Europejskiej lub państw trzecich, które zostało oznaczone konkretnym symbolem pochodzenia, może zostać wprowadzone do obrotu za pomocą tego symbolu.</w:t>
      </w:r>
      <w:r>
        <w:rPr>
          <w:sz w:val="24"/>
          <w:rFonts w:ascii="Garamond" w:hAnsi="Garamond"/>
        </w:rPr>
        <w:t xml:space="preserve"> </w:t>
      </w:r>
    </w:p>
    <w:p w14:paraId="21253B2F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Opakowania w ramach systemu depozytowego, o którym mowa w art. 23-C, są oznakowane symbolem określonym w rozporządzeniu zatwierdzonym przez członków Rządu ds. gospodarki i środowiska.</w:t>
      </w:r>
    </w:p>
    <w:p w14:paraId="2C5C3A24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W celu ułatwienia zbierania, ponownego użycia i odzysku, w tym recyklingu, opakowania wskazują rodzaj wykorzystanych materiałów opakowaniowych, do celów identyfikacji i klasyfikacji przez przemysł, zgodnie z systemem identyfikacji ustanowionym w decyzji Komisji nr 97/129/WE z dnia 28 stycznia 1997 r., którego system jest określony w załączniku IX do niniejszego dekretu z mocą ustawy, i którego stanowi on integralną część.</w:t>
      </w:r>
    </w:p>
    <w:p w14:paraId="692F362A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t xml:space="preserve">W celu wspierania prawidłowej segregacji odpadów oraz zwiększenia poziomu i jakości recyklingu </w:t>
      </w:r>
      <w:bookmarkStart w:id="7" w:name="_Hlk61624722"/>
      <w:r>
        <w:t xml:space="preserve">opakowania nadające się do recyklingu wprowadzane do obrotu są oznakowane odpowiednimi instrukcjami sortowania</w:t>
      </w:r>
      <w:bookmarkEnd w:id="7"/>
      <w:r>
        <w:t xml:space="preserve"> , w szczególności kolorem pojemnika na recykling, w którym powinny zostać umieszczone, zgodnie z warunkami określonymi w rozporządzeniu członków Rządu ds. gospodarki i środowiska.</w:t>
      </w:r>
    </w:p>
    <w:p w14:paraId="533DE736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Oznakowanie, o którym mowa w poprzednim akapicie, spełnia następujące wymogi:</w:t>
      </w:r>
    </w:p>
    <w:p w14:paraId="08DBE96C" w14:textId="77777777" w:rsidR="006D6021" w:rsidRPr="008E5B84" w:rsidRDefault="00311339">
      <w:pPr>
        <w:widowControl w:val="0"/>
        <w:numPr>
          <w:ilvl w:val="0"/>
          <w:numId w:val="5"/>
        </w:numPr>
        <w:spacing w:after="120" w:line="360" w:lineRule="auto"/>
        <w:ind w:left="1418" w:right="567" w:hanging="284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Może być przedstawiane w formie ikonografii lub tekstu pisemnego, lub w obu tych przypadkach;</w:t>
      </w:r>
    </w:p>
    <w:p w14:paraId="77968FCD" w14:textId="77777777" w:rsidR="006D6021" w:rsidRPr="008E5B84" w:rsidRDefault="00311339">
      <w:pPr>
        <w:widowControl w:val="0"/>
        <w:numPr>
          <w:ilvl w:val="0"/>
          <w:numId w:val="5"/>
        </w:numPr>
        <w:spacing w:after="120" w:line="360" w:lineRule="auto"/>
        <w:ind w:left="1418" w:right="567" w:hanging="284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Musi być drukowany w sposób widoczny, czytelny i nieusuwalny.</w:t>
      </w:r>
    </w:p>
    <w:p w14:paraId="661794D2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Opakowania pierwotne i wtórne przeznaczone dla konsumenta są objęte obowiązkiem znakowania, o którym mowa w przepisach ust. 5.</w:t>
      </w:r>
    </w:p>
    <w:p w14:paraId="31B5251D" w14:textId="77777777" w:rsidR="006D6021" w:rsidRPr="008E5B84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Opakowania, których wielkość nie pozwala na oznakowanie zgodnie z przepisami ust. 6, są zwolnione z obowiązku określonego w przepisach ust. 5.</w:t>
      </w:r>
    </w:p>
    <w:p w14:paraId="0D5DA7CC" w14:textId="07B00E1C" w:rsidR="006D6021" w:rsidRPr="008B3D7C" w:rsidRDefault="00311339">
      <w:pPr>
        <w:widowControl w:val="0"/>
        <w:numPr>
          <w:ilvl w:val="0"/>
          <w:numId w:val="4"/>
        </w:numPr>
        <w:tabs>
          <w:tab w:val="left" w:pos="567"/>
        </w:tabs>
        <w:spacing w:after="120" w:line="360" w:lineRule="auto"/>
        <w:ind w:left="993" w:right="567" w:hanging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W celu wyjaśnienia informacji konsumentom oraz wspierania prawidłowego transportu odpadów opakowaniowych zakazuje się wprowadzania do obrotu opakowań nadających się do recyklingu i wielokrotnego użytku oznakowanych symbolem schludnego człowieka z dniem wejścia w życie obowiązku ustanowionego w przepisach ust. 5.</w:t>
      </w:r>
    </w:p>
    <w:p w14:paraId="5CFB03EA" w14:textId="77777777" w:rsidR="006D6021" w:rsidRPr="008E5B84" w:rsidRDefault="00311339">
      <w:pPr>
        <w:widowControl w:val="0"/>
        <w:numPr>
          <w:ilvl w:val="0"/>
          <w:numId w:val="4"/>
        </w:numPr>
        <w:spacing w:after="120" w:line="360" w:lineRule="auto"/>
        <w:ind w:right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Rozporządzenie, o którym mowa w przepisach ust. 5, zostanie opublikowane do dnia 31 grudnia 2022 r., ustalając okres przejściowy na spełnienie obowiązku znakowania nie krótszy niż jeden rok.</w:t>
      </w:r>
      <w:r>
        <w:rPr>
          <w:sz w:val="24"/>
          <w:rFonts w:ascii="Garamond" w:hAnsi="Garamond"/>
        </w:rPr>
        <w:t xml:space="preserve"> </w:t>
      </w:r>
    </w:p>
    <w:p w14:paraId="2B5AE871" w14:textId="77777777" w:rsidR="006D6021" w:rsidRPr="008E5B84" w:rsidRDefault="00311339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Artykuł 90</w:t>
      </w:r>
    </w:p>
    <w:p w14:paraId="5993F2D8" w14:textId="679E6390" w:rsidR="006D6021" w:rsidRPr="008E5B84" w:rsidRDefault="00BB1999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</w:t>
      </w:r>
    </w:p>
    <w:p w14:paraId="1BD8205D" w14:textId="1A72943D" w:rsidR="006D6021" w:rsidRPr="008E5B84" w:rsidRDefault="00311339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1 - [...].</w:t>
      </w:r>
    </w:p>
    <w:p w14:paraId="4D5E45BC" w14:textId="264AD440" w:rsidR="006D6021" w:rsidRPr="008E5B84" w:rsidRDefault="00311339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2 - Dopuszczenie się następujących czynów stanowi poważne przestępstwo administracyjne, podlegające karze zgodnie z ustawą o przestępstwach administracyjnych:</w:t>
      </w:r>
    </w:p>
    <w:p w14:paraId="34A60EBF" w14:textId="26983D8A" w:rsidR="006D6021" w:rsidRDefault="00311339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91F789E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76331E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C058247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A63D560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2FDC02E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BC28BBD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177A222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593CF56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2286000B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9BC6BC2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C7EA913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2290F33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C38F470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0064F84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D256B32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F8E3AE6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E766C4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025FBF9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C40613D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2CDF3C93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B239DF6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06F8F93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2E3F6DD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E82248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1BFF0E9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B8A0F76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A7FDC2A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62DF6D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C64AB0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D01A8C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23B4721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C8ADFF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6BEABE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BD54DA0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10FE05E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91F700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61AB74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9F70C98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5AAF438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A67C961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AA5818D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A67ED0B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FFD8B59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CD7B2B0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9EF1693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442035B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387A0E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535D9BA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DEE736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FCF525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F97F9AD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45242A7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2D3F49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85AD1E4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2F3308E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3E916B3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018C53E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153AACC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1CC34B1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20E494F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91F41D5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F2D2B99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2EE4E4B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B3E788D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6A382E1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9E0BA6C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D5C7C0E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00FEF1E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E55170E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1626706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7174398" w14:textId="77777777" w:rsidR="00815E10" w:rsidRDefault="00815E10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19079DF" w14:textId="3E22BD35" w:rsidR="006D6021" w:rsidRPr="008E5B84" w:rsidRDefault="00311339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Prowadzenie działalności w zakresie przetwarzania odpadów przez podmioty gospodarcze, które nie spełniają wymogów lub norm kwalifikacyjnych, zgodnie z przepisami art. 8 ust. 1, 5 i 6;</w:t>
      </w:r>
      <w:r>
        <w:rPr>
          <w:sz w:val="24"/>
          <w:rFonts w:ascii="Garamond" w:hAnsi="Garamond"/>
        </w:rPr>
        <w:t xml:space="preserve"> </w:t>
      </w:r>
    </w:p>
    <w:p w14:paraId="7EA03A99" w14:textId="76D22DF1" w:rsidR="006D6021" w:rsidRPr="008E5B84" w:rsidRDefault="00311339" w:rsidP="00815E1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Nieprzestrzeganie obowiązku znakowania opakowań zgodnie z art. 23 ust. 11 i art. 28 ust. 3.</w:t>
      </w:r>
    </w:p>
    <w:p w14:paraId="63F4F092" w14:textId="77777777" w:rsidR="006D6021" w:rsidRPr="008E5B84" w:rsidRDefault="00311339" w:rsidP="008E5B84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3 - Dopuszczenie się następujących czynów stanowi drobne przestępstwo administracyjne przeciw środowisku, podlegające karze zgodnie z Ramową Ustawą o Przestępstwach Administracyjnych Przeciw Środowisku:</w:t>
      </w:r>
    </w:p>
    <w:p w14:paraId="717D1B1F" w14:textId="6632C3C4" w:rsidR="00AE3FD7" w:rsidRDefault="00311339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7866387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6DAF0A6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84EE665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5E9A594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F820664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A3C0C2F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CAC4974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88AD3EF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0F16E24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91B075C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2CF63BAD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D5C2653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3372D1F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6CAD88E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2EE26E58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FAFE6A2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5A2FA553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0E63E23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4BEAAE83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535C3B7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7AA1FB13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3329FF90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D3E144C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19D916A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14E02EE8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693628B4" w14:textId="77777777" w:rsidR="00AE3FD7" w:rsidRDefault="00AE3FD7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[...];</w:t>
      </w:r>
    </w:p>
    <w:p w14:paraId="0429CEE4" w14:textId="7C04ACFC" w:rsidR="006D6021" w:rsidRPr="008E5B84" w:rsidRDefault="00311339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Nieprzestrzeganie obowiązku identyfikacji materiałów opakowaniowych użytych zgodnie z przepisami art. 28 ust. 4;</w:t>
      </w:r>
    </w:p>
    <w:p w14:paraId="52F2A95D" w14:textId="5A6D3D93" w:rsidR="006D6021" w:rsidRPr="008E5B84" w:rsidRDefault="00311339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Nieprzestrzeganie obowiązku identyfikacji miejsca przeznaczenia opakowania w przypadku ponownego przetworzenia zgodnie z przepisami art. 28 ust. 5 i 6;</w:t>
      </w:r>
    </w:p>
    <w:p w14:paraId="6D3571B6" w14:textId="2BE01E53" w:rsidR="007C12A7" w:rsidRDefault="00311339" w:rsidP="00AE3FD7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spacing w:after="120" w:line="360" w:lineRule="auto"/>
        <w:ind w:left="993" w:hanging="567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Użycie symbolu schludnego człowieka na opakowaniach nadających się do recyklingu i wielokrotnego użytku, z naruszeniem przepisów art. 28 ust. 9.</w:t>
      </w:r>
      <w:r>
        <w:rPr>
          <w:sz w:val="24"/>
          <w:rFonts w:ascii="Garamond" w:hAnsi="Garamond"/>
        </w:rPr>
        <w:t xml:space="preserve"> </w:t>
      </w:r>
    </w:p>
    <w:p w14:paraId="7C8C6BB9" w14:textId="1CA7F2E5" w:rsidR="007C12A7" w:rsidRPr="007C12A7" w:rsidRDefault="007C12A7" w:rsidP="007C12A7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4 - [...].</w:t>
      </w:r>
    </w:p>
    <w:p w14:paraId="320DA334" w14:textId="78F12E10" w:rsidR="007C12A7" w:rsidRPr="007C12A7" w:rsidRDefault="007C12A7" w:rsidP="007C12A7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5 - [...].</w:t>
      </w:r>
    </w:p>
    <w:p w14:paraId="503ACA32" w14:textId="77777777" w:rsidR="007C12A7" w:rsidRPr="007C12A7" w:rsidRDefault="007C12A7" w:rsidP="007C12A7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6 - [...].</w:t>
      </w:r>
      <w:r>
        <w:rPr>
          <w:sz w:val="24"/>
          <w:rFonts w:ascii="Garamond" w:hAnsi="Garamond"/>
        </w:rPr>
        <w:t xml:space="preserve"> </w:t>
      </w:r>
    </w:p>
    <w:p w14:paraId="425838E4" w14:textId="5781235B" w:rsidR="006D6021" w:rsidRPr="008E5B84" w:rsidRDefault="007C12A7" w:rsidP="007C12A7">
      <w:pPr>
        <w:pStyle w:val="ListParagraph"/>
        <w:widowControl w:val="0"/>
        <w:tabs>
          <w:tab w:val="left" w:pos="567"/>
        </w:tabs>
        <w:spacing w:after="120" w:line="360" w:lineRule="auto"/>
        <w:ind w:left="426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7 - [...].”</w:t>
      </w:r>
    </w:p>
    <w:p w14:paraId="4D8B5014" w14:textId="77777777" w:rsidR="006D6021" w:rsidRPr="008E5B84" w:rsidRDefault="00311339">
      <w:pPr>
        <w:shd w:val="clear" w:color="auto" w:fill="FFFFFF"/>
        <w:suppressAutoHyphens w:val="0"/>
        <w:spacing w:after="225" w:line="390" w:lineRule="atLeast"/>
        <w:jc w:val="center"/>
        <w:textAlignment w:val="auto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Artykuł 3</w:t>
      </w:r>
    </w:p>
    <w:p w14:paraId="748BF384" w14:textId="77777777" w:rsidR="006D6021" w:rsidRPr="008E5B84" w:rsidRDefault="00311339">
      <w:pPr>
        <w:shd w:val="clear" w:color="auto" w:fill="FFFFFF"/>
        <w:suppressAutoHyphens w:val="0"/>
        <w:spacing w:after="225" w:line="390" w:lineRule="atLeast"/>
        <w:jc w:val="center"/>
        <w:textAlignment w:val="auto"/>
        <w:rPr>
          <w:sz w:val="24"/>
          <w:szCs w:val="24"/>
          <w:rFonts w:ascii="Garamond" w:hAnsi="Garamond"/>
        </w:rPr>
      </w:pPr>
      <w:r>
        <w:t xml:space="preserve">Uzupełnienie do </w:t>
      </w:r>
      <w:hyperlink r:id="rId22" w:tooltip="Dekret z mocą ustawy nr 152-D/2017" w:history="1">
        <w:r>
          <w:rPr>
            <w:sz w:val="24"/>
            <w:rFonts w:ascii="Garamond" w:hAnsi="Garamond"/>
          </w:rPr>
          <w:t xml:space="preserve">Dekretu z mocą ustawy nr 152-D/2017</w:t>
        </w:r>
      </w:hyperlink>
      <w:r>
        <w:t xml:space="preserve"> z dnia 11 grudnia</w:t>
      </w:r>
    </w:p>
    <w:p w14:paraId="380A1081" w14:textId="6C021E2E" w:rsidR="006D6021" w:rsidRPr="008E5B84" w:rsidRDefault="00311339">
      <w:pPr>
        <w:shd w:val="clear" w:color="auto" w:fill="FFFFFF"/>
        <w:suppressAutoHyphens w:val="0"/>
        <w:spacing w:after="225" w:line="390" w:lineRule="atLeast"/>
        <w:jc w:val="both"/>
        <w:textAlignment w:val="auto"/>
        <w:rPr>
          <w:sz w:val="24"/>
          <w:szCs w:val="24"/>
          <w:rFonts w:ascii="Garamond" w:hAnsi="Garamond"/>
        </w:rPr>
      </w:pPr>
      <w:r>
        <w:t xml:space="preserve">Do </w:t>
      </w:r>
      <w:hyperlink r:id="rId23" w:tooltip="Dekret z mocą ustawy nr 152-D/2017" w:history="1">
        <w:r>
          <w:rPr>
            <w:sz w:val="24"/>
            <w:rFonts w:ascii="Garamond" w:hAnsi="Garamond"/>
          </w:rPr>
          <w:t xml:space="preserve">Dekretu z mocą ustawy nr 152-D/2017</w:t>
        </w:r>
      </w:hyperlink>
      <w:r>
        <w:t xml:space="preserve"> z dnia 11 grudnia zostaje dodany art. 20-A w brzmieniu:</w:t>
      </w:r>
    </w:p>
    <w:p w14:paraId="752800F2" w14:textId="77777777" w:rsidR="006D6021" w:rsidRPr="008E5B84" w:rsidRDefault="00311339">
      <w:pPr>
        <w:widowControl w:val="0"/>
        <w:spacing w:after="120" w:line="360" w:lineRule="auto"/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Art. 20-A</w:t>
      </w:r>
    </w:p>
    <w:p w14:paraId="1AB94D2F" w14:textId="77777777" w:rsidR="006D6021" w:rsidRPr="008E5B84" w:rsidRDefault="00311339">
      <w:pPr>
        <w:widowControl w:val="0"/>
        <w:spacing w:after="120" w:line="360" w:lineRule="auto"/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Odpowiedzialność pośredniczącego dostawcy usług sieciowych</w:t>
      </w:r>
      <w:r>
        <w:rPr>
          <w:sz w:val="24"/>
          <w:rFonts w:ascii="Garamond" w:hAnsi="Garamond"/>
        </w:rPr>
        <w:t xml:space="preserve"> </w:t>
      </w:r>
    </w:p>
    <w:p w14:paraId="51D2D4EC" w14:textId="77777777" w:rsidR="006D6021" w:rsidRPr="008E5B84" w:rsidRDefault="00311339">
      <w:pPr>
        <w:numPr>
          <w:ilvl w:val="0"/>
          <w:numId w:val="6"/>
        </w:numPr>
        <w:spacing w:after="0" w:line="360" w:lineRule="auto"/>
        <w:ind w:left="993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Pośredniczący dostawca usług komunikacji internetowej, nieuznany za producenta do celów niniejszego Dekretu z mocą ustawy, ale który ułatwia, poprzez wykorzystanie interfejsów elektronicznych takich jak platforma, platforma handlowa, portal lub inne podobne środki, sprzedaż na odległość lub dostawę produktów objętych zasadą rozszerzonej odpowiedzialności producenta w imieniu osoby trzeciej, zwraca się do tych informacji o udowodnienie zgodności z obowiązkami odnoszącymi się do:</w:t>
      </w:r>
    </w:p>
    <w:p w14:paraId="203F3B33" w14:textId="77777777" w:rsidR="006D6021" w:rsidRPr="008E5B84" w:rsidRDefault="00311339">
      <w:pPr>
        <w:numPr>
          <w:ilvl w:val="1"/>
          <w:numId w:val="6"/>
        </w:numPr>
        <w:spacing w:after="120" w:line="360" w:lineRule="auto"/>
        <w:ind w:left="1560" w:hanging="284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Wprowadzanie i coroczne przekazywanie danych do SIRER zgodnie z przepisami art. 19 ust. 1;</w:t>
      </w:r>
    </w:p>
    <w:p w14:paraId="34CEE8B9" w14:textId="77777777" w:rsidR="006D6021" w:rsidRPr="008E5B84" w:rsidRDefault="00311339">
      <w:pPr>
        <w:numPr>
          <w:ilvl w:val="1"/>
          <w:numId w:val="6"/>
        </w:numPr>
        <w:spacing w:after="120" w:line="360" w:lineRule="auto"/>
        <w:ind w:left="1560" w:hanging="284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Przyjęcie jednego z systemów przewidzianych w przepisach art. 7 ust. 1 dla typu lub kategorii produktów dostępnych na platformie.</w:t>
      </w:r>
    </w:p>
    <w:p w14:paraId="00C2C8D8" w14:textId="77777777" w:rsidR="006D6021" w:rsidRPr="008E5B84" w:rsidRDefault="00311339">
      <w:pPr>
        <w:numPr>
          <w:ilvl w:val="0"/>
          <w:numId w:val="6"/>
        </w:numPr>
        <w:spacing w:after="0" w:line="360" w:lineRule="auto"/>
        <w:ind w:left="993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Do celów poprzedniego ustępu pośredniczący dostawca usług komunikacji internetowej, wymaga, aby dane informacje były warunkiem wstępnym rejestracji na platformie oraz do celów procedury umownej, a następnie corocznej aktualizacji tychże informacji.</w:t>
      </w:r>
    </w:p>
    <w:p w14:paraId="4B9FAC75" w14:textId="77777777" w:rsidR="006D6021" w:rsidRDefault="00311339">
      <w:pPr>
        <w:numPr>
          <w:ilvl w:val="0"/>
          <w:numId w:val="6"/>
        </w:numPr>
        <w:spacing w:after="0" w:line="360" w:lineRule="auto"/>
        <w:ind w:left="993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Pośredniczący dostawca usług komunikacji internetowej, który ułatwia, poprzez korzystanie z interfejsu elektronicznego, takiego jak platforma, platforma handlowa, portal lub inne podobne środki, sprzedaż na odległość lub dostawa zużytych części WEEE i VFV do ponownego użycia, zwraca się do sprzedawcy o informacje potwierdzające obowiązek zapewnienia zgodności z faktem,że używane części pochodzą od licencjonowanych operatorów demontażu, a także, między innymi, wymaga informacji na temat liczby licencji udostępnionych przez operatora na platformie likwidacyjnej.”</w:t>
      </w:r>
    </w:p>
    <w:p w14:paraId="41D1684A" w14:textId="77777777" w:rsidR="00E262CE" w:rsidRPr="008E5B84" w:rsidRDefault="00E262CE" w:rsidP="002E3B2F">
      <w:pPr>
        <w:spacing w:after="0" w:line="360" w:lineRule="auto"/>
        <w:ind w:left="993"/>
        <w:jc w:val="both"/>
        <w:rPr>
          <w:rFonts w:ascii="Garamond" w:hAnsi="Garamond"/>
          <w:sz w:val="24"/>
          <w:szCs w:val="24"/>
        </w:rPr>
      </w:pPr>
    </w:p>
    <w:p w14:paraId="6416550A" w14:textId="77777777" w:rsidR="006D6021" w:rsidRPr="008E5B84" w:rsidRDefault="00311339">
      <w:pPr>
        <w:widowControl w:val="0"/>
        <w:tabs>
          <w:tab w:val="left" w:pos="142"/>
        </w:tabs>
        <w:spacing w:after="120" w:line="360" w:lineRule="auto"/>
        <w:jc w:val="center"/>
        <w:rPr>
          <w:sz w:val="24"/>
          <w:szCs w:val="24"/>
          <w:rFonts w:ascii="Garamond" w:eastAsia="Times New Roman" w:hAnsi="Garamond" w:cs="Calibri Light"/>
        </w:rPr>
      </w:pPr>
      <w:r>
        <w:rPr>
          <w:sz w:val="24"/>
          <w:rFonts w:ascii="Garamond" w:hAnsi="Garamond"/>
        </w:rPr>
        <w:t xml:space="preserve">Artykuł 4</w:t>
      </w:r>
    </w:p>
    <w:p w14:paraId="47C9561F" w14:textId="77777777" w:rsidR="006D6021" w:rsidRPr="008E5B84" w:rsidRDefault="00311339">
      <w:pPr>
        <w:widowControl w:val="0"/>
        <w:tabs>
          <w:tab w:val="left" w:pos="142"/>
        </w:tabs>
        <w:spacing w:after="120" w:line="360" w:lineRule="auto"/>
        <w:jc w:val="center"/>
        <w:rPr>
          <w:sz w:val="24"/>
          <w:szCs w:val="24"/>
          <w:rFonts w:ascii="Garamond" w:eastAsia="Times New Roman" w:hAnsi="Garamond" w:cs="Calibri Light"/>
        </w:rPr>
      </w:pPr>
      <w:r>
        <w:rPr>
          <w:sz w:val="24"/>
          <w:rFonts w:ascii="Garamond" w:hAnsi="Garamond"/>
        </w:rPr>
        <w:t xml:space="preserve">Ustalenia przejściowe</w:t>
      </w:r>
      <w:r>
        <w:rPr>
          <w:sz w:val="24"/>
          <w:rFonts w:ascii="Garamond" w:hAnsi="Garamond"/>
        </w:rPr>
        <w:t xml:space="preserve"> </w:t>
      </w:r>
    </w:p>
    <w:p w14:paraId="11F9B5E9" w14:textId="77777777" w:rsidR="006D6021" w:rsidRPr="008E5B84" w:rsidRDefault="00311339" w:rsidP="008E5B84">
      <w:pPr>
        <w:pStyle w:val="ListParagraph"/>
        <w:widowControl w:val="0"/>
        <w:numPr>
          <w:ilvl w:val="0"/>
          <w:numId w:val="7"/>
        </w:numPr>
        <w:spacing w:after="120" w:line="360" w:lineRule="auto"/>
        <w:ind w:left="993" w:hanging="709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Przepisy art. 8 ust. 5 Dekretu z mocą ustawy nr 152-D/2017 z dnia 11 grudnia, zmienionego niniejszym Dekretem z mocą ustawy, mają zastosowanie rok po wejściu w życie niniejszego Dekretu z mocą ustawy.</w:t>
      </w:r>
      <w:r>
        <w:rPr>
          <w:sz w:val="24"/>
          <w:rFonts w:ascii="Garamond" w:hAnsi="Garamond"/>
        </w:rPr>
        <w:t xml:space="preserve"> </w:t>
      </w:r>
    </w:p>
    <w:p w14:paraId="33C46C89" w14:textId="77777777" w:rsidR="006D6021" w:rsidRPr="008E5B84" w:rsidRDefault="00311339" w:rsidP="008E5B84">
      <w:pPr>
        <w:pStyle w:val="ListParagraph"/>
        <w:widowControl w:val="0"/>
        <w:numPr>
          <w:ilvl w:val="0"/>
          <w:numId w:val="7"/>
        </w:numPr>
        <w:spacing w:after="120" w:line="360" w:lineRule="auto"/>
        <w:ind w:left="993" w:hanging="710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Przepisy art. 8 ust. 6 Dekretu z mocą ustawy nr 152-D/2017 z dnia 11 grudnia, zmienionego niniejszym Dekretem z mocą ustawy, mają zastosowanie dwa lata po wejściu w życie niniejszego Dekretu z mocą ustawy.</w:t>
      </w:r>
    </w:p>
    <w:p w14:paraId="118482CA" w14:textId="77777777" w:rsidR="006D6021" w:rsidRPr="008E5B84" w:rsidRDefault="00311339" w:rsidP="008E5B84">
      <w:pPr>
        <w:pStyle w:val="ListParagraph"/>
        <w:widowControl w:val="0"/>
        <w:numPr>
          <w:ilvl w:val="0"/>
          <w:numId w:val="7"/>
        </w:numPr>
        <w:spacing w:after="120" w:line="360" w:lineRule="auto"/>
        <w:ind w:left="993" w:hanging="710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Pierwszym rokiem wywiązywania się z obowiązku określonego w przepisach art. 8 ust. 8 Dekretu z mocą ustawy nr 152-D/2017 z dnia 11 grudnia, zmienionego niniejszym Dekretem z mocą ustawy, jest rok 2022 w odniesieniu do 2021 r., bez uszczerbku dla przepisów ust. 9 tego Artykułu i pod warunkiem obecności w tym dniu uprawnionych weryfikatorów.</w:t>
      </w:r>
    </w:p>
    <w:p w14:paraId="239A29A5" w14:textId="77777777" w:rsidR="006D6021" w:rsidRPr="008E5B84" w:rsidRDefault="00311339" w:rsidP="008E5B84">
      <w:pPr>
        <w:pStyle w:val="ListParagraph"/>
        <w:widowControl w:val="0"/>
        <w:numPr>
          <w:ilvl w:val="0"/>
          <w:numId w:val="7"/>
        </w:numPr>
        <w:spacing w:after="120" w:line="360" w:lineRule="auto"/>
        <w:ind w:left="993" w:hanging="710"/>
        <w:jc w:val="both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Przepisy art. 28 ust. 4 Dekretu z mocą ustawy nr 152-D/2017 z dnia 11 grudnia, zmienionego niniejszym Dekretem z mocą ustawy, mają zastosowanie dwa lata po wejściu w życie niniejszego Dekretu z mocą ustawy.</w:t>
      </w:r>
    </w:p>
    <w:p w14:paraId="561C5A3C" w14:textId="77777777" w:rsidR="00FA19BE" w:rsidRDefault="00FA19BE">
      <w:pPr>
        <w:jc w:val="center"/>
        <w:rPr>
          <w:rFonts w:ascii="Garamond" w:hAnsi="Garamond"/>
          <w:sz w:val="24"/>
          <w:szCs w:val="24"/>
        </w:rPr>
      </w:pPr>
    </w:p>
    <w:p w14:paraId="3AA09853" w14:textId="77777777" w:rsidR="00FA19BE" w:rsidRPr="008E5B84" w:rsidRDefault="00FA19BE" w:rsidP="00FA19BE">
      <w:pPr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Artykuł 5</w:t>
      </w:r>
    </w:p>
    <w:p w14:paraId="3E008870" w14:textId="2B7749B8" w:rsidR="00FA19BE" w:rsidRPr="008E5B84" w:rsidRDefault="00FA19BE" w:rsidP="00FA19BE">
      <w:pPr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Uchylenia</w:t>
      </w:r>
    </w:p>
    <w:p w14:paraId="357EF3D3" w14:textId="36BD9C91" w:rsidR="00FA19BE" w:rsidRPr="008E5B84" w:rsidRDefault="00FA19BE" w:rsidP="00FA19BE">
      <w:pPr>
        <w:shd w:val="clear" w:color="auto" w:fill="FFFFFF"/>
        <w:suppressAutoHyphens w:val="0"/>
        <w:spacing w:after="225" w:line="390" w:lineRule="atLeast"/>
        <w:jc w:val="both"/>
        <w:textAlignment w:val="auto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Uchyla się przepisy art. 28 ust. 1 Dekretu z mocą ustawy nr 152-D/2017 z dnia 11 grudnia, zmienionego Ustawą nr 69/2018 z dnia 26 grudnia i 41/2019 z dnia 21 czerwca, Dekretem z mocą ustawy nr 86/2020 z dnia 14 października oraz zmienionym i ponownie opublikowanym Dekretem z mocą ustawy nr 102-D/2020 z dnia 10 grudnia.</w:t>
      </w:r>
      <w:r>
        <w:rPr>
          <w:sz w:val="24"/>
          <w:rFonts w:ascii="Garamond" w:hAnsi="Garamond"/>
        </w:rPr>
        <w:t xml:space="preserve"> </w:t>
      </w:r>
    </w:p>
    <w:p w14:paraId="18BEA12B" w14:textId="77777777" w:rsidR="00FA19BE" w:rsidRDefault="00FA19BE">
      <w:pPr>
        <w:jc w:val="center"/>
        <w:rPr>
          <w:rFonts w:ascii="Garamond" w:hAnsi="Garamond"/>
          <w:sz w:val="24"/>
          <w:szCs w:val="24"/>
        </w:rPr>
      </w:pPr>
    </w:p>
    <w:p w14:paraId="2595911C" w14:textId="07A0F7C4" w:rsidR="006D6021" w:rsidRPr="008E5B84" w:rsidRDefault="00311339">
      <w:pPr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Artykuł 6</w:t>
      </w:r>
    </w:p>
    <w:p w14:paraId="75EC9DA9" w14:textId="77777777" w:rsidR="006D6021" w:rsidRPr="008E5B84" w:rsidRDefault="00311339">
      <w:pPr>
        <w:jc w:val="center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Wejście w życie</w:t>
      </w:r>
    </w:p>
    <w:p w14:paraId="116948F8" w14:textId="77777777" w:rsidR="006D6021" w:rsidRPr="008E5B84" w:rsidRDefault="00311339" w:rsidP="008E5B84">
      <w:pPr>
        <w:shd w:val="clear" w:color="auto" w:fill="FFFFFF"/>
        <w:suppressAutoHyphens w:val="0"/>
        <w:spacing w:after="225" w:line="390" w:lineRule="atLeast"/>
        <w:jc w:val="both"/>
        <w:textAlignment w:val="auto"/>
        <w:rPr>
          <w:sz w:val="24"/>
          <w:szCs w:val="24"/>
          <w:rFonts w:ascii="Garamond" w:hAnsi="Garamond"/>
        </w:rPr>
      </w:pPr>
      <w:r>
        <w:rPr>
          <w:sz w:val="24"/>
          <w:rFonts w:ascii="Garamond" w:hAnsi="Garamond"/>
        </w:rPr>
        <w:t xml:space="preserve">Niniejszy Dekret z mocą ustawy wchodzi w życie z dniem jego opublikowania.</w:t>
      </w:r>
      <w:r>
        <w:rPr>
          <w:sz w:val="24"/>
          <w:rFonts w:ascii="Garamond" w:hAnsi="Garamond"/>
        </w:rPr>
        <w:t xml:space="preserve"> </w:t>
      </w:r>
    </w:p>
    <w:sectPr w:rsidR="006D6021" w:rsidRPr="008E5B84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5514C" w14:textId="77777777" w:rsidR="00071555" w:rsidRDefault="00071555">
      <w:pPr>
        <w:spacing w:after="0"/>
      </w:pPr>
      <w:r>
        <w:separator/>
      </w:r>
    </w:p>
  </w:endnote>
  <w:endnote w:type="continuationSeparator" w:id="0">
    <w:p w14:paraId="3A09787D" w14:textId="77777777" w:rsidR="00071555" w:rsidRDefault="000715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3DC03" w14:textId="77777777" w:rsidR="00071555" w:rsidRDefault="0007155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6F4E6EC" w14:textId="77777777" w:rsidR="00071555" w:rsidRDefault="000715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3657"/>
    <w:multiLevelType w:val="multilevel"/>
    <w:tmpl w:val="D05AC05A"/>
    <w:lvl w:ilvl="0">
      <w:start w:val="6"/>
      <w:numFmt w:val="decimal"/>
      <w:lvlText w:val="%1 -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7B0D"/>
    <w:multiLevelType w:val="hybridMultilevel"/>
    <w:tmpl w:val="80DE6CC4"/>
    <w:lvl w:ilvl="0" w:tplc="1800124C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92368"/>
    <w:multiLevelType w:val="multilevel"/>
    <w:tmpl w:val="F1BEC4E6"/>
    <w:lvl w:ilvl="0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CE25F0"/>
    <w:multiLevelType w:val="multilevel"/>
    <w:tmpl w:val="45E6EE42"/>
    <w:lvl w:ilvl="0">
      <w:start w:val="1"/>
      <w:numFmt w:val="decimal"/>
      <w:lvlText w:val="%1 -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1AC33B5"/>
    <w:multiLevelType w:val="multilevel"/>
    <w:tmpl w:val="D7103C30"/>
    <w:lvl w:ilvl="0">
      <w:start w:val="1"/>
      <w:numFmt w:val="decimal"/>
      <w:lvlText w:val="%1 -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2DF1C07"/>
    <w:multiLevelType w:val="multilevel"/>
    <w:tmpl w:val="E982D0B8"/>
    <w:lvl w:ilvl="0">
      <w:start w:val="1"/>
      <w:numFmt w:val="decimal"/>
      <w:lvlText w:val="%1 - 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E471E"/>
    <w:multiLevelType w:val="multilevel"/>
    <w:tmpl w:val="30E8A17C"/>
    <w:lvl w:ilvl="0">
      <w:start w:val="1"/>
      <w:numFmt w:val="decimal"/>
      <w:lvlText w:val="%1 -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5F63389"/>
    <w:multiLevelType w:val="multilevel"/>
    <w:tmpl w:val="BC00FD0C"/>
    <w:lvl w:ilvl="0">
      <w:start w:val="1"/>
      <w:numFmt w:val="decimal"/>
      <w:lvlText w:val="%1 -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DC659A2"/>
    <w:multiLevelType w:val="hybridMultilevel"/>
    <w:tmpl w:val="80DE6CC4"/>
    <w:lvl w:ilvl="0" w:tplc="1800124C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dirty" w:grammar="dirty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21"/>
    <w:rsid w:val="00071555"/>
    <w:rsid w:val="00166DDB"/>
    <w:rsid w:val="001C005C"/>
    <w:rsid w:val="00221984"/>
    <w:rsid w:val="002E3B2F"/>
    <w:rsid w:val="00311339"/>
    <w:rsid w:val="00381105"/>
    <w:rsid w:val="00401FF0"/>
    <w:rsid w:val="005370FE"/>
    <w:rsid w:val="00595413"/>
    <w:rsid w:val="005E437A"/>
    <w:rsid w:val="006D6021"/>
    <w:rsid w:val="00774954"/>
    <w:rsid w:val="007C12A7"/>
    <w:rsid w:val="007E1034"/>
    <w:rsid w:val="00815E10"/>
    <w:rsid w:val="008518A0"/>
    <w:rsid w:val="008600E0"/>
    <w:rsid w:val="008B3D7C"/>
    <w:rsid w:val="008E5B84"/>
    <w:rsid w:val="00913675"/>
    <w:rsid w:val="009207B5"/>
    <w:rsid w:val="009C3B2B"/>
    <w:rsid w:val="00A14A5D"/>
    <w:rsid w:val="00AB6977"/>
    <w:rsid w:val="00AC1D9E"/>
    <w:rsid w:val="00AE3FD7"/>
    <w:rsid w:val="00BB1999"/>
    <w:rsid w:val="00BC4ADA"/>
    <w:rsid w:val="00BD1E18"/>
    <w:rsid w:val="00C57444"/>
    <w:rsid w:val="00CD351B"/>
    <w:rsid w:val="00DB12E4"/>
    <w:rsid w:val="00E262CE"/>
    <w:rsid w:val="00E94D66"/>
    <w:rsid w:val="00FA19BE"/>
    <w:rsid w:val="00FB0FBD"/>
    <w:rsid w:val="00FB3CFA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FEA0"/>
  <w15:docId w15:val="{CB9A8596-23B0-4A3D-8DE0-4AA2AE3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4">
    <w:name w:val="Título 4"/>
    <w:basedOn w:val="Normal"/>
    <w:next w:val="Normal"/>
    <w:pPr>
      <w:ind w:firstLine="284"/>
      <w:jc w:val="center"/>
      <w:outlineLvl w:val="3"/>
    </w:pPr>
    <w:rPr>
      <w:rFonts w:ascii="Times New Roman" w:hAnsi="Times New Roman"/>
      <w:sz w:val="20"/>
    </w:rPr>
  </w:style>
  <w:style w:type="character" w:customStyle="1" w:styleId="Ttulo4Carter">
    <w:name w:val="Título 4 Caráter"/>
    <w:basedOn w:val="DefaultParagraphFont"/>
    <w:rPr>
      <w:rFonts w:ascii="Times New Roman" w:hAnsi="Times New Roman" w:cs="Times New Roman"/>
      <w:sz w:val="20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PargrafodaListaCarter">
    <w:name w:val="Parágrafo da Lista Caráter"/>
    <w:basedOn w:val="DefaultParagraphFont"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TextodecomentrioCarter">
    <w:name w:val="Texto de comentário Caráte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AssuntodecomentrioCarter">
    <w:name w:val="Assunto de comentário Caráter"/>
    <w:basedOn w:val="TextodecomentrioCarter"/>
    <w:rPr>
      <w:b/>
      <w:bCs/>
      <w:sz w:val="20"/>
      <w:szCs w:val="20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MenoNoResolvida">
    <w:name w:val="Menção Não Resolvida"/>
    <w:basedOn w:val="DefaultParagraphFont"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dre.pt/web/guest/pesquisa/-/search/114337042/details/normal?l=1" TargetMode="External"/><Relationship Id="rId13" Type="http://schemas.openxmlformats.org/officeDocument/2006/relationships/hyperlink" Target="https://dre.pt/application/external/eurolex?12L0019" TargetMode="External"/><Relationship Id="rId18" Type="http://schemas.openxmlformats.org/officeDocument/2006/relationships/hyperlink" Target="https://dre.pt/web/guest/pesquisa/-/search/117484671/details/normal?l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e.pt/web/guest/pesquisa/-/search/114337042/details/normal?l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e.pt/application/external/eurolex?06L0066" TargetMode="External"/><Relationship Id="rId17" Type="http://schemas.openxmlformats.org/officeDocument/2006/relationships/hyperlink" Target="https://dre.pt/web/guest/pesquisa/-/search/114337042/details/normal?l=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re.pt/web/guest/pesquisa/-/search/114337042/details/normal?l=1" TargetMode="External"/><Relationship Id="rId20" Type="http://schemas.openxmlformats.org/officeDocument/2006/relationships/hyperlink" Target="https://dre.pt/web/guest/pesquisa/-/search/145359680/details/normal?l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external/eurolex?00L005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re.pt/application/external/eurolex?15L1535" TargetMode="External"/><Relationship Id="rId23" Type="http://schemas.openxmlformats.org/officeDocument/2006/relationships/hyperlink" Target="https://dre.pt/web/guest/pesquisa/-/search/114337042/details/normal?l=1" TargetMode="External"/><Relationship Id="rId10" Type="http://schemas.openxmlformats.org/officeDocument/2006/relationships/hyperlink" Target="https://dre.pt/application/external/eurolex?18L0852" TargetMode="External"/><Relationship Id="rId19" Type="http://schemas.openxmlformats.org/officeDocument/2006/relationships/hyperlink" Target="https://dre.pt/web/guest/pesquisa/-/search/122627506/details/normal?l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e.pt/application/external/eurolex?94L0062" TargetMode="External"/><Relationship Id="rId14" Type="http://schemas.openxmlformats.org/officeDocument/2006/relationships/hyperlink" Target="https://dre.pt/application/external/eurolex?18L0849" TargetMode="External"/><Relationship Id="rId22" Type="http://schemas.openxmlformats.org/officeDocument/2006/relationships/hyperlink" Target="https://dre.pt/web/guest/pesquisa/-/search/114337042/details/normal?l=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0415-889B-4084-922C-B491886F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GSEAMB</dc:creator>
  <dc:description/>
  <cp:lastModifiedBy>Dimitris</cp:lastModifiedBy>
  <cp:revision>10</cp:revision>
  <dcterms:created xsi:type="dcterms:W3CDTF">2021-02-18T16:42:00Z</dcterms:created>
  <dcterms:modified xsi:type="dcterms:W3CDTF">2021-03-01T14:11:00Z</dcterms:modified>
</cp:coreProperties>
</file>