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3728" w14:textId="77777777" w:rsidR="00DA6187" w:rsidRDefault="007F572C" w:rsidP="007F572C">
      <w:pPr>
        <w:pStyle w:val="titel2"/>
        <w:jc w:val="center"/>
        <w:rPr>
          <w:sz w:val="36"/>
          <w:szCs w:val="36"/>
          <w:rFonts w:asciiTheme="minorHAnsi" w:hAnsiTheme="minorHAnsi" w:cstheme="minorHAnsi"/>
        </w:rPr>
      </w:pPr>
      <w:r>
        <w:rPr>
          <w:sz w:val="36"/>
          <w:rFonts w:asciiTheme="minorHAnsi" w:hAnsiTheme="minorHAnsi"/>
        </w:rPr>
        <w:t xml:space="preserve">Projekt</w:t>
      </w:r>
    </w:p>
    <w:p w14:paraId="080E92CA" w14:textId="6D9BCBF5" w:rsidR="007F572C" w:rsidRPr="007F572C" w:rsidRDefault="00DA6187" w:rsidP="007F572C">
      <w:pPr>
        <w:pStyle w:val="titel2"/>
        <w:jc w:val="center"/>
        <w:rPr>
          <w:sz w:val="36"/>
          <w:szCs w:val="36"/>
          <w:rFonts w:asciiTheme="minorHAnsi" w:hAnsiTheme="minorHAnsi" w:cstheme="minorHAnsi"/>
        </w:rPr>
      </w:pPr>
      <w:r>
        <w:rPr>
          <w:sz w:val="36"/>
          <w:rFonts w:asciiTheme="minorHAnsi" w:hAnsiTheme="minorHAnsi"/>
        </w:rPr>
        <w:t xml:space="preserve">rozporządzenia w sprawie standaryzacji opakowań substytutów tytoniu</w:t>
      </w:r>
    </w:p>
    <w:p w14:paraId="5EDFD791" w14:textId="7D6ADFFB" w:rsidR="007F572C" w:rsidRDefault="00DA6187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Zgodnie z § 22 ust. 2 ustawy o wyrobach tytoniowych itp.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(zob. ustawa ujednolicająca nr 1489 z dnia 18 czerwca 2021 r.), zmienionej ustawą nr X z dnia X 2024 r.), ustanawia się, co następuje:</w:t>
      </w:r>
    </w:p>
    <w:p w14:paraId="7A7A7BFC" w14:textId="77777777" w:rsidR="00DA6187" w:rsidRPr="007F572C" w:rsidRDefault="00DA6187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4C5DAF70" w14:textId="77777777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Rozdział 1</w:t>
      </w:r>
    </w:p>
    <w:p w14:paraId="41204CC1" w14:textId="77777777" w:rsidR="007F572C" w:rsidRDefault="007F572C" w:rsidP="007F572C">
      <w:pPr>
        <w:pStyle w:val="Ingenafstand"/>
        <w:jc w:val="center"/>
        <w:rPr>
          <w:rStyle w:val="italic"/>
          <w:rFonts w:asciiTheme="minorHAnsi" w:eastAsiaTheme="majorEastAsia" w:hAnsiTheme="minorHAnsi" w:cstheme="minorHAnsi"/>
          <w:i/>
          <w:sz w:val="22"/>
        </w:rPr>
      </w:pPr>
    </w:p>
    <w:p w14:paraId="0F2D65A1" w14:textId="77777777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rStyle w:val="italic"/>
          <w:i/>
          <w:sz w:val="22"/>
          <w:rFonts w:asciiTheme="minorHAnsi" w:hAnsiTheme="minorHAnsi"/>
        </w:rPr>
        <w:t xml:space="preserve">Definicje</w:t>
      </w:r>
    </w:p>
    <w:p w14:paraId="5BA078F9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364DDE18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1.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Do celów niniejszego rozporządzenia stosuje się poniższe definicje.</w:t>
      </w:r>
    </w:p>
    <w:p w14:paraId="644E1F4D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Wyściółka: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Papier lub folia wewnątrz opakowania jednostkowego.</w:t>
      </w:r>
    </w:p>
    <w:p w14:paraId="2413ABFC" w14:textId="2F520159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Znak towarowy: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Część nazwy handlowej, która stanowi znak towarowy produktu w odniesieniu do informacji zgłoszonych na podstawie rozporządzenia nr 243 z dnia 22 lutego 2021 r.</w:t>
      </w:r>
    </w:p>
    <w:p w14:paraId="21B9A250" w14:textId="217F64FD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Nazwa produktu: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Część nazwy handlowej, która stanowi ewentualną nazwę produktu w odniesieniu do informacji zgłoszonych na podstawie rozporządzenia nr 243 z dnia 22 lutego 2021 r.</w:t>
      </w:r>
    </w:p>
    <w:p w14:paraId="6994A0A4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Opakowanie jednostkowe: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Najmniejsze indywidualne opakowanie wprowadzonego do obrotu substytutu tytoniu.</w:t>
      </w:r>
    </w:p>
    <w:p w14:paraId="05E39BA8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5)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Materiał opakowaniowy: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Bezbarwny, przezroczysty materiał, który otacza jedno lub więcej opakowań jednostkowych oraz opakowanie zewnętrzne.</w:t>
      </w:r>
    </w:p>
    <w:p w14:paraId="07D73AFA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6)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Opakowanie zewnętrzne: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Każde opakowanie, w którym substytut tytoniu jest wprowadzany do obrotu i które zawiera jedno lub więcej opakowań jednostkowych.</w:t>
      </w:r>
    </w:p>
    <w:p w14:paraId="66FE2C1C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7)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Powierzchnie zewnętrzne: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Powierzchnie, które są widoczne, gdy opakowanie jednostkowe jest zamknięte i/lub opakowanie zewnętrzne jest nienaruszone.</w:t>
      </w:r>
    </w:p>
    <w:p w14:paraId="3FEF1D37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8)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Powierzchnie wewnętrzne: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Powierzchnie, które nie są widoczne, gdy opakowanie jednostkowe jest zamknięte.</w:t>
      </w:r>
    </w:p>
    <w:p w14:paraId="5340A829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9)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Matowy: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Sprawiający, że powierzchnia wydaje się być całkowicie matowa, a zatem nie błyszcząca, połyskliwa, opalizująca itp.</w:t>
      </w:r>
    </w:p>
    <w:p w14:paraId="72801D49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10)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Pasek: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Odrywany pasek służący do otwierania opakowania jednostkowego, opakowania zewnętrznego i materiału opakowaniowego.</w:t>
      </w:r>
    </w:p>
    <w:p w14:paraId="37F0650B" w14:textId="5306F8DA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11)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Górna krawędź opakowania: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Część opakowania służąca do otwarcia opakowania jednostkowego w celu uzyskania dostępu do jego zawartości.</w:t>
      </w:r>
    </w:p>
    <w:p w14:paraId="1C6123A6" w14:textId="77777777" w:rsid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55A16A2D" w14:textId="77777777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Rozdział 2</w:t>
      </w:r>
    </w:p>
    <w:p w14:paraId="2C731624" w14:textId="77777777" w:rsidR="007F572C" w:rsidRDefault="007F572C" w:rsidP="007F572C">
      <w:pPr>
        <w:pStyle w:val="Ingenafstand"/>
        <w:jc w:val="center"/>
        <w:rPr>
          <w:rStyle w:val="italic"/>
          <w:rFonts w:asciiTheme="minorHAnsi" w:eastAsiaTheme="majorEastAsia" w:hAnsiTheme="minorHAnsi" w:cstheme="minorHAnsi"/>
          <w:i/>
          <w:sz w:val="22"/>
        </w:rPr>
      </w:pPr>
    </w:p>
    <w:p w14:paraId="56253C18" w14:textId="77777777" w:rsidR="007F572C" w:rsidRPr="007F572C" w:rsidRDefault="007F572C" w:rsidP="007F572C">
      <w:pPr>
        <w:pStyle w:val="Ingenafstand"/>
        <w:jc w:val="center"/>
        <w:rPr>
          <w:i/>
          <w:sz w:val="22"/>
          <w:rFonts w:asciiTheme="minorHAnsi" w:hAnsiTheme="minorHAnsi" w:cstheme="minorHAnsi"/>
        </w:rPr>
      </w:pPr>
      <w:r>
        <w:rPr>
          <w:i/>
          <w:sz w:val="22"/>
          <w:rStyle w:val="italic"/>
          <w:rFonts w:asciiTheme="minorHAnsi" w:hAnsiTheme="minorHAnsi"/>
        </w:rPr>
        <w:t xml:space="preserve">Wymagania dotyczące koloru i elementów opakowania w odniesieniu do opakowań jednostkowych, opakowań zewnętrznych i materiałów opakowaniowych przeznaczonych do </w:t>
      </w:r>
      <w:r>
        <w:rPr>
          <w:i/>
          <w:sz w:val="22"/>
          <w:rFonts w:asciiTheme="minorHAnsi" w:hAnsiTheme="minorHAnsi"/>
        </w:rPr>
        <w:t xml:space="preserve">substytutów tytoniu</w:t>
      </w:r>
    </w:p>
    <w:p w14:paraId="6D7F3677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44595397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2.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Opakowania jednostkowe substytutów tytoniu oraz opakowania zewnętrzne i materiały opakowaniowe muszą posiadać znormalizowany wzór zgodny z wymogami niniejszego rozporządzenia i innych przepisów regulujących sposób etykietowania itp. opakowań jednostkowych, opakowań zewnętrznych i materiałów opakowaniowych przeznaczonych do substytutów tytoniu.</w:t>
      </w:r>
    </w:p>
    <w:p w14:paraId="31E8921C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(2)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Opakowania jednostkowe, opakowania zewnętrzne i materiały opakowaniowe mogą być etykietowane itp. wyłącznie w sposób zgodny z niniejszym rozporządzeniem i innymi przepisami.</w:t>
      </w:r>
    </w:p>
    <w:p w14:paraId="423A163C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i/>
          <w:rStyle w:val="stknr"/>
          <w:rFonts w:asciiTheme="minorHAnsi" w:hAnsiTheme="minorHAnsi"/>
        </w:rPr>
        <w:t xml:space="preserve">(3)</w:t>
      </w:r>
      <w:r>
        <w:rPr>
          <w:sz w:val="22"/>
          <w:i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Etykietowanie, informacje itp., które wynikają z innych przepisów, muszą być umieszczane w sposób, który nie nadaje opakowaniu jednostkowemu lub opakowaniu zewnętrznemu niepowtarzalnego wyrazu, nie powoduje efektu przyciągającego uwagę, ani w inny sposób nie może zostać uznany za sprzeczny z wymogiem dotyczącym znormalizowanego wzoru przeznaczonego do substytutów tytoniu.</w:t>
      </w:r>
    </w:p>
    <w:p w14:paraId="4973E260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(4)</w:t>
      </w:r>
      <w:r>
        <w:rPr>
          <w:sz w:val="22"/>
          <w:rFonts w:asciiTheme="minorHAnsi" w:hAnsiTheme="minorHAnsi"/>
        </w:rPr>
        <w:t xml:space="preserve"> </w:t>
      </w:r>
      <w:bookmarkStart w:id="1" w:name="_Hlk168657369"/>
      <w:r>
        <w:rPr>
          <w:sz w:val="22"/>
          <w:rFonts w:asciiTheme="minorHAnsi" w:hAnsiTheme="minorHAnsi"/>
        </w:rPr>
        <w:t xml:space="preserve">W opakowaniu, w znaczeniu opakowania jednostkowego, opakowania zewnętrznego czy innego materiału opakowaniowego, nie wolno umieszczać wkładek, które nie pełnią funkcji związanych z używaniem produktu</w:t>
      </w:r>
      <w:bookmarkEnd w:id="1"/>
      <w:r>
        <w:rPr>
          <w:sz w:val="22"/>
          <w:rFonts w:asciiTheme="minorHAnsi" w:hAnsiTheme="minorHAnsi"/>
        </w:rPr>
        <w:t xml:space="preserve">.</w:t>
      </w:r>
    </w:p>
    <w:p w14:paraId="7DC049E6" w14:textId="72FB1DBD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i/>
          <w:rFonts w:asciiTheme="minorHAnsi" w:hAnsiTheme="minorHAnsi"/>
        </w:rPr>
        <w:t xml:space="preserve">(5)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Z zakresu zastosowania § 2 ust. 4 wyłączone są dołączane do opakowania ulotki zawierające wyłącznie informacje na temat używania substytutu tytoniu.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Oznaczenie to wykonuje się zgodnie z następującymi wytycznymi:</w:t>
      </w:r>
      <w:r>
        <w:rPr>
          <w:sz w:val="22"/>
          <w:rFonts w:asciiTheme="minorHAnsi" w:hAnsiTheme="minorHAnsi"/>
        </w:rPr>
        <w:t xml:space="preserve"> </w:t>
      </w:r>
    </w:p>
    <w:p w14:paraId="54DFF244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1) należy je umieścić na białym tle</w:t>
      </w:r>
    </w:p>
    <w:p w14:paraId="2E5E0255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może składać się z cyfr od 0 do 9,</w:t>
      </w:r>
    </w:p>
    <w:p w14:paraId="678C325F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musi zostać zapisane czcionką Helvetica,</w:t>
      </w:r>
    </w:p>
    <w:p w14:paraId="087548E5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może składać się z symboli nawiasów (-), akcentu ostrego (´), apostrofu (’) i znaku Et (&amp;), oraz</w:t>
      </w:r>
    </w:p>
    <w:p w14:paraId="167A3FA0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5)</w:t>
      </w:r>
      <w:r>
        <w:rPr>
          <w:sz w:val="22"/>
          <w:rFonts w:asciiTheme="minorHAnsi" w:hAnsiTheme="minorHAnsi"/>
        </w:rPr>
        <w:t xml:space="preserve"> musi być koloru czarnego.</w:t>
      </w:r>
    </w:p>
    <w:p w14:paraId="6AE7AD12" w14:textId="049E8794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i/>
          <w:rFonts w:asciiTheme="minorHAnsi" w:hAnsiTheme="minorHAnsi"/>
        </w:rPr>
        <w:t xml:space="preserve">(6)</w:t>
      </w:r>
      <w:r>
        <w:rPr>
          <w:sz w:val="22"/>
          <w:i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Wygląd tekstu, emblematów oraz wszelkich innych elementów umieszczanych na dołączanych do opakowania ulotkach zawierających informacje na temat używania substytutu tytoniu zgodnie z § 2 ust. 5 nie może nadawać niepowtarzalnego wyrazu, powodować efektu przyciągającego uwagę, ani nie może z innych powodów zostać uznany za sprzeczny z wymogiem dotyczącym znormalizowanego wzoru.</w:t>
      </w:r>
      <w:r>
        <w:rPr>
          <w:sz w:val="22"/>
          <w:rFonts w:asciiTheme="minorHAnsi" w:hAnsiTheme="minorHAnsi"/>
        </w:rPr>
        <w:t xml:space="preserve"> </w:t>
      </w:r>
    </w:p>
    <w:p w14:paraId="54E78479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50D1F664" w14:textId="12793324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3.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Powierzchnie wewnętrzne i zewnętrzne opakowań jednostkowych i opakowań zewnętrznych muszą być w kolorze Pantone 448 C, białym lub srebrnoszarym, a opakowania zewnętrzne muszą być w kolorze Pantone 448 C, o wykończeniu matowym.</w:t>
      </w:r>
    </w:p>
    <w:p w14:paraId="21E62B67" w14:textId="77777777" w:rsid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(2)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Owijki opakowań jednostkowych lub opakowań zewnętrznych substytutów tytoniu muszą być czworoboczne, przezroczyste i bezbarwne.</w:t>
      </w:r>
    </w:p>
    <w:p w14:paraId="161BD66D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44FDDC6E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4.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Wyściółka widoczna po otwarciu opakowania jednostkowego musi być w kolorze matowym Pantone 448 C</w:t>
      </w:r>
      <w:r>
        <w:rPr>
          <w:sz w:val="22"/>
          <w:rFonts w:asciiTheme="minorHAnsi" w:hAnsiTheme="minorHAnsi"/>
        </w:rPr>
        <w:t xml:space="preserve"> </w:t>
      </w:r>
    </w:p>
    <w:p w14:paraId="59FE30B7" w14:textId="77777777" w:rsid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(2)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Wyściółka nie może zawierać żadnych liter, cyfr, znaków, obrazów, symboli itp. i jej perforacja musi być wykonana w taki sposób, że nie tworzy obrazka, symbolu, napisu, znaku lub innego oznaczenia.</w:t>
      </w:r>
    </w:p>
    <w:p w14:paraId="079FC4A2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174740C3" w14:textId="34F0F2EB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5.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Wszystkie elementy opakowań jednostkowych i opakowań zewnętrznych substytutów tytoniu muszą być pozbawione smaku, bezwonne i nie mogą wydawać dźwięków.</w:t>
      </w:r>
    </w:p>
    <w:p w14:paraId="238C3E60" w14:textId="77777777" w:rsid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5641B1EE" w14:textId="77777777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Rozdział 3</w:t>
      </w:r>
    </w:p>
    <w:p w14:paraId="3153D51F" w14:textId="77777777" w:rsidR="007F572C" w:rsidRDefault="007F572C" w:rsidP="007F572C">
      <w:pPr>
        <w:pStyle w:val="Ingenafstand"/>
        <w:jc w:val="center"/>
        <w:rPr>
          <w:rStyle w:val="italic"/>
          <w:rFonts w:asciiTheme="minorHAnsi" w:eastAsiaTheme="majorEastAsia" w:hAnsiTheme="minorHAnsi" w:cstheme="minorHAnsi"/>
          <w:i/>
          <w:sz w:val="22"/>
        </w:rPr>
      </w:pPr>
    </w:p>
    <w:p w14:paraId="7823E20C" w14:textId="77777777" w:rsidR="007F572C" w:rsidRPr="007F572C" w:rsidRDefault="007F572C" w:rsidP="007F572C">
      <w:pPr>
        <w:pStyle w:val="Ingenafstand"/>
        <w:jc w:val="center"/>
        <w:rPr>
          <w:i/>
          <w:sz w:val="22"/>
          <w:rFonts w:asciiTheme="minorHAnsi" w:hAnsiTheme="minorHAnsi" w:cstheme="minorHAnsi"/>
        </w:rPr>
      </w:pPr>
      <w:r>
        <w:rPr>
          <w:rStyle w:val="italic"/>
          <w:i/>
          <w:sz w:val="22"/>
          <w:rFonts w:asciiTheme="minorHAnsi" w:hAnsiTheme="minorHAnsi"/>
        </w:rPr>
        <w:t xml:space="preserve">Powierzchnie itp. opakowań jednostkowych i opakowań zewnętrznych substytutów tytoniu</w:t>
      </w:r>
    </w:p>
    <w:p w14:paraId="13A3D3C2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0EFF7473" w14:textId="77777777" w:rsid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6.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Powierzchnie muszą być płaskie i gładkie oraz nie mogą zawierać niestandardowych elementów, takich jak oznakowania, tłoczenia, tekstury, wgłębienia, wybrzuszenia ani elementów o jakimkolwiek innym kształcie lub strukturze.</w:t>
      </w:r>
    </w:p>
    <w:p w14:paraId="79231160" w14:textId="77777777" w:rsidR="00F05E30" w:rsidRPr="00F05E30" w:rsidRDefault="00F05E30" w:rsidP="00F05E30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i/>
          <w:rFonts w:asciiTheme="minorHAnsi" w:hAnsiTheme="minorHAnsi"/>
        </w:rPr>
        <w:t xml:space="preserve">(2)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§ 6 ust. 1 nie ma zastosowania do określonych elementów, które są niezbędne do zamknięcia opakowania.</w:t>
      </w:r>
    </w:p>
    <w:p w14:paraId="515E9984" w14:textId="77777777" w:rsidR="007F572C" w:rsidRPr="00F05E30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i/>
          <w:rFonts w:asciiTheme="minorHAnsi" w:hAnsiTheme="minorHAnsi"/>
        </w:rPr>
        <w:t xml:space="preserve">(3)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Z zakresu zastosowania § 6 ust. 1 wyłączone są elementy opakowania niezbędne do przymocowania wieczka, do otwierania i zamykania wieczka lub do zapewnienia miejsca na zużyte substytuty tytoniu.</w:t>
      </w:r>
    </w:p>
    <w:p w14:paraId="353450B8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(4)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Wyłączenia przewidziane w § 6 ust. 2 i 3 mają zastosowanie tylko pod warunkiem, że nierówność nie nadaje opakowaniu niepowtarzalnego wyrazu, nie powoduje efektu przyciągającego uwagę, ani nie może z innych powodów zostać uznana za sprzeczną z wymogiem dotyczącym znormalizowanego wzoru i wyrazu dla wszystkich substytutów tytoniu.</w:t>
      </w:r>
    </w:p>
    <w:p w14:paraId="33096EAC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0BE78F6F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7.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Na powierzchniach itp. opakowań jednostkowych i opakowań zewnętrznych mogą znajdować się tylko takie elementy itp., jak określono w przepisach prawa.</w:t>
      </w:r>
    </w:p>
    <w:p w14:paraId="4D764BB9" w14:textId="77777777" w:rsid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4E43CD1A" w14:textId="77777777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Rozdział 4</w:t>
      </w:r>
    </w:p>
    <w:p w14:paraId="1A203092" w14:textId="77777777" w:rsidR="007F572C" w:rsidRDefault="007F572C" w:rsidP="007F572C">
      <w:pPr>
        <w:pStyle w:val="Ingenafstand"/>
        <w:jc w:val="center"/>
        <w:rPr>
          <w:rStyle w:val="italic"/>
          <w:rFonts w:asciiTheme="minorHAnsi" w:eastAsiaTheme="majorEastAsia" w:hAnsiTheme="minorHAnsi" w:cstheme="minorHAnsi"/>
          <w:i/>
          <w:sz w:val="22"/>
        </w:rPr>
      </w:pPr>
    </w:p>
    <w:p w14:paraId="5FF40783" w14:textId="77777777" w:rsidR="007F572C" w:rsidRPr="007F572C" w:rsidRDefault="007F572C" w:rsidP="007F572C">
      <w:pPr>
        <w:pStyle w:val="Ingenafstand"/>
        <w:jc w:val="center"/>
        <w:rPr>
          <w:i/>
          <w:sz w:val="22"/>
          <w:rFonts w:asciiTheme="minorHAnsi" w:hAnsiTheme="minorHAnsi" w:cstheme="minorHAnsi"/>
        </w:rPr>
      </w:pPr>
      <w:r>
        <w:rPr>
          <w:rStyle w:val="italic"/>
          <w:i/>
          <w:sz w:val="22"/>
          <w:rFonts w:asciiTheme="minorHAnsi" w:hAnsiTheme="minorHAnsi"/>
        </w:rPr>
        <w:t xml:space="preserve">Materiał opakowaniowy na opakowaniach jednostkowych i opakowaniach zewnętrznych substytutów tytoniu</w:t>
      </w:r>
    </w:p>
    <w:p w14:paraId="2FD10874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013E1825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8.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Opakowania jednostkowe i opakowania zewnętrzne mogą być pokryte przezroczystym materiałem opakowaniowym.</w:t>
      </w:r>
    </w:p>
    <w:p w14:paraId="4630FA4A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i/>
          <w:rStyle w:val="stknr"/>
          <w:rFonts w:asciiTheme="minorHAnsi" w:hAnsiTheme="minorHAnsi"/>
        </w:rPr>
        <w:t xml:space="preserve">(2)</w:t>
      </w:r>
      <w:r>
        <w:rPr>
          <w:sz w:val="22"/>
          <w:i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Materiał opakowaniowy musi być płaski i gładki oraz nie może zawierać nieregularnych elementów, takich jak znakowanie, przetłoczenia, tekstura, wklęsłości, wypukłości lub jakiekolwiek inne elementy związane z kształtem lub strukturą.</w:t>
      </w:r>
    </w:p>
    <w:p w14:paraId="5FFEC139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(3)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Paski używane do otwierania materiału opakowaniowego muszą być przezroczyste lub czarne.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Muszą mieć szerokość do 3 milimetrów i być równoległe do górnej krawędzi opakowania.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Na pasku do otwierania opakowania musi być umieszczone oznaczenie wskazujące początek paska w formie przezroczystej lub czarnej jednolitej linii o maksymalnej długości wynoszącej 15 mm.</w:t>
      </w:r>
    </w:p>
    <w:p w14:paraId="4B4792EE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(4)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Czarny pasek nie może zakrywać ani zasłaniać ostrzeżeń zdrowotnych i innych oznaczeń itp. umieszczonych na opakowaniu zgodnie z niniejszym rozporządzeniem oraz innymi przepisami.</w:t>
      </w:r>
    </w:p>
    <w:p w14:paraId="13DC8B88" w14:textId="54730AAF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(5)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Wkładek lub innych elementów, które nie pełnią żadnej funkcji związanej z używaniem produktu, nie wolno umieszczać w opakowaniu jednostkowym ani łączyć z opakowaniem zewnętrznym.</w:t>
      </w:r>
    </w:p>
    <w:p w14:paraId="0EE1966F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i/>
          <w:rFonts w:asciiTheme="minorHAnsi" w:hAnsiTheme="minorHAnsi"/>
        </w:rPr>
        <w:t xml:space="preserve">(6)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Wszystkie elementy opakowań jednostkowych i opakowań zewnętrznych </w:t>
      </w:r>
      <w:r>
        <w:rPr>
          <w:sz w:val="22"/>
          <w:rStyle w:val="italic"/>
          <w:rFonts w:asciiTheme="minorHAnsi" w:hAnsiTheme="minorHAnsi"/>
        </w:rPr>
        <w:t xml:space="preserve">substytutów tytoniu</w:t>
      </w:r>
      <w:r>
        <w:rPr>
          <w:sz w:val="22"/>
          <w:rFonts w:asciiTheme="minorHAnsi" w:hAnsiTheme="minorHAnsi"/>
        </w:rPr>
        <w:t xml:space="preserve"> muszą być pozbawione smaku, bezwonne i nie mogą wydawać dźwięków.</w:t>
      </w:r>
    </w:p>
    <w:p w14:paraId="7F54D25F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(7)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Materiał opakowaniowy stosuje się wyłącznie do elementów niezbędnych w procesie produkcji i nie zmienia on znormalizowanego wyrazu.</w:t>
      </w:r>
    </w:p>
    <w:p w14:paraId="74179399" w14:textId="77777777" w:rsid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478655FC" w14:textId="77777777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Rozdział 5</w:t>
      </w:r>
    </w:p>
    <w:p w14:paraId="079D72B3" w14:textId="77777777" w:rsidR="007F572C" w:rsidRDefault="007F572C" w:rsidP="007F572C">
      <w:pPr>
        <w:pStyle w:val="Ingenafstand"/>
        <w:jc w:val="center"/>
        <w:rPr>
          <w:rStyle w:val="italic"/>
          <w:rFonts w:asciiTheme="minorHAnsi" w:eastAsiaTheme="majorEastAsia" w:hAnsiTheme="minorHAnsi" w:cstheme="minorHAnsi"/>
          <w:i/>
          <w:sz w:val="22"/>
        </w:rPr>
      </w:pPr>
    </w:p>
    <w:p w14:paraId="3E4601D0" w14:textId="77777777" w:rsidR="007F572C" w:rsidRPr="007F572C" w:rsidRDefault="007F572C" w:rsidP="007F572C">
      <w:pPr>
        <w:pStyle w:val="Ingenafstand"/>
        <w:jc w:val="center"/>
        <w:rPr>
          <w:i/>
          <w:sz w:val="22"/>
          <w:rFonts w:asciiTheme="minorHAnsi" w:hAnsiTheme="minorHAnsi" w:cstheme="minorHAnsi"/>
        </w:rPr>
      </w:pPr>
      <w:r>
        <w:rPr>
          <w:rStyle w:val="italic"/>
          <w:i/>
          <w:sz w:val="22"/>
          <w:rFonts w:asciiTheme="minorHAnsi" w:hAnsiTheme="minorHAnsi"/>
        </w:rPr>
        <w:t xml:space="preserve">Etykiety itp. na opakowaniach jednostkowych i zewnętrznych substytutów tytoniu</w:t>
      </w:r>
    </w:p>
    <w:p w14:paraId="1EC058AA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54162BE7" w14:textId="77777777" w:rsid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9.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Etykiety przewidziane w niniejszym rozporządzeniu nie mogą całkowicie ani częściowo zasłaniać tekstu, ostrzeżeń lub innych etykiet itp. wymaganych innymi przepisami.</w:t>
      </w:r>
    </w:p>
    <w:p w14:paraId="719F14F5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7EF3E540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b/>
          <w:rFonts w:asciiTheme="minorHAnsi" w:hAnsiTheme="minorHAnsi"/>
        </w:rPr>
        <w:t xml:space="preserve">§ 10.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Opakowania jednostkowe i opakowania zewnętrzne mogą być oznakowane w dwóch miejscach znakiem towarowym i nazwą produktu.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Oznaczenie to wykonuje się zgodnie z następującymi wytycznymi:</w:t>
      </w:r>
    </w:p>
    <w:p w14:paraId="6DAEB7F7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może składać się z małych liter od a do å, przy czym pierwsza litera może być wielka,</w:t>
      </w:r>
    </w:p>
    <w:p w14:paraId="62D47856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może składać się z cyfr od 0 do 9,</w:t>
      </w:r>
    </w:p>
    <w:p w14:paraId="0C1973F5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może składać się z symboli akcentu ostrego ('), apostrofu (’) i znaku Et (&amp;) oraz</w:t>
      </w:r>
    </w:p>
    <w:p w14:paraId="47822305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musi zostać zapisane czcionką Helvetica,</w:t>
      </w:r>
    </w:p>
    <w:p w14:paraId="66864650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5)</w:t>
      </w:r>
      <w:r>
        <w:rPr>
          <w:sz w:val="22"/>
          <w:rFonts w:asciiTheme="minorHAnsi" w:hAnsiTheme="minorHAnsi"/>
        </w:rPr>
        <w:t xml:space="preserve"> musi być koloru matowego Pantone Cool Gray 2 C,</w:t>
      </w:r>
    </w:p>
    <w:p w14:paraId="4844608D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6)</w:t>
      </w:r>
      <w:r>
        <w:rPr>
          <w:sz w:val="22"/>
          <w:rFonts w:asciiTheme="minorHAnsi" w:hAnsiTheme="minorHAnsi"/>
        </w:rPr>
        <w:t xml:space="preserve"> rozmiar czcionki nie może przekraczać 10 punktów oraz</w:t>
      </w:r>
    </w:p>
    <w:p w14:paraId="0238D3DF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7)</w:t>
      </w:r>
      <w:r>
        <w:rPr>
          <w:sz w:val="22"/>
          <w:rFonts w:asciiTheme="minorHAnsi" w:hAnsiTheme="minorHAnsi"/>
        </w:rPr>
        <w:t xml:space="preserve"> musi być równoległe do górnej krawędzi opakowania.</w:t>
      </w:r>
    </w:p>
    <w:p w14:paraId="5924D2E6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(2)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Oznaczenie marki musi mieścić się w jednej linii.</w:t>
      </w:r>
    </w:p>
    <w:p w14:paraId="74BBA6EF" w14:textId="0A8BE880" w:rsid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(3)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Nazwa produktu musi mieścić się w jednej linii i być umieszczona bezpośrednio pod znakiem towarowym.</w:t>
      </w:r>
    </w:p>
    <w:p w14:paraId="346324F5" w14:textId="5A8DAD26" w:rsidR="00D508ED" w:rsidRPr="00D508ED" w:rsidRDefault="00D508ED" w:rsidP="00D508ED">
      <w:pPr>
        <w:pStyle w:val="Ingenafstand"/>
        <w:rPr>
          <w:rFonts w:asciiTheme="minorHAnsi" w:hAnsiTheme="minorHAnsi" w:cstheme="minorHAnsi"/>
          <w:sz w:val="22"/>
        </w:rPr>
      </w:pPr>
    </w:p>
    <w:p w14:paraId="7148277D" w14:textId="019B7DD9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b/>
          <w:rFonts w:asciiTheme="minorHAnsi" w:hAnsiTheme="minorHAnsi"/>
        </w:rPr>
        <w:t xml:space="preserve">§ 11.</w:t>
      </w:r>
      <w:r>
        <w:rPr>
          <w:sz w:val="22"/>
          <w:rFonts w:asciiTheme="minorHAnsi" w:hAnsiTheme="minorHAnsi"/>
        </w:rPr>
        <w:t xml:space="preserve"> </w:t>
      </w:r>
      <w:r>
        <w:rPr>
          <w:sz w:val="22"/>
          <w:rFonts w:asciiTheme="minorHAnsi" w:hAnsiTheme="minorHAnsi"/>
        </w:rPr>
        <w:t xml:space="preserve">Opakowanie zewnętrzne i opakowania jednostkowe substytutów tytoniu zawierających środek aromatyzujący mogą być opatrzone jedną etykietą o treści:</w:t>
      </w:r>
    </w:p>
    <w:p w14:paraId="781FCF28" w14:textId="77777777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1) „O aromacie tytoniu” lub</w:t>
      </w:r>
    </w:p>
    <w:p w14:paraId="775B2F55" w14:textId="77777777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2) „O aromacie mentolowym”.</w:t>
      </w:r>
    </w:p>
    <w:p w14:paraId="0033CF30" w14:textId="7851E0B2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i/>
          <w:rFonts w:asciiTheme="minorHAnsi" w:hAnsiTheme="minorHAnsi"/>
        </w:rPr>
        <w:t xml:space="preserve">(2)</w:t>
      </w:r>
      <w:r>
        <w:rPr>
          <w:sz w:val="22"/>
          <w:rFonts w:asciiTheme="minorHAnsi" w:hAnsiTheme="minorHAnsi"/>
        </w:rPr>
        <w:t xml:space="preserve"> </w:t>
      </w:r>
      <w:r>
        <w:rPr>
          <w:sz w:val="22"/>
          <w:rFonts w:asciiTheme="minorHAnsi" w:hAnsiTheme="minorHAnsi"/>
        </w:rPr>
        <w:t xml:space="preserve">Oznaczenie to wykonuje się zgodnie z następującymi wytycznymi:</w:t>
      </w:r>
    </w:p>
    <w:p w14:paraId="5EA008ED" w14:textId="77777777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1) może składać się z małych liter od a do å, przy czym pierwsza litera może być wielka,</w:t>
      </w:r>
    </w:p>
    <w:p w14:paraId="3C83578C" w14:textId="77777777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2) może składać się z cyfr od 0 do 9,</w:t>
      </w:r>
    </w:p>
    <w:p w14:paraId="15C269DB" w14:textId="77777777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3) musi zostać zapisane czcionką Helvetica,</w:t>
      </w:r>
    </w:p>
    <w:p w14:paraId="5E63C1C9" w14:textId="77777777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4) musi być koloru matowego Pantone Cool Gray 2 C,</w:t>
      </w:r>
    </w:p>
    <w:p w14:paraId="340E23F2" w14:textId="77777777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5) rozmiar czcionki nie może przekraczać 10 punktów oraz</w:t>
      </w:r>
    </w:p>
    <w:p w14:paraId="083879D1" w14:textId="78261149" w:rsidR="00D508ED" w:rsidRPr="00D508ED" w:rsidRDefault="00D508ED" w:rsidP="00D508ED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6) musi zostać zapisane w tym samym kierunku, co ostrzeżenie zdrowotne.</w:t>
      </w:r>
    </w:p>
    <w:p w14:paraId="5E000673" w14:textId="77777777" w:rsidR="007F572C" w:rsidRPr="00D508ED" w:rsidRDefault="007F572C" w:rsidP="00D508ED">
      <w:pPr>
        <w:pStyle w:val="Ingenafstand"/>
        <w:rPr>
          <w:rStyle w:val="paragrafnr"/>
          <w:rFonts w:asciiTheme="minorHAnsi" w:hAnsiTheme="minorHAnsi" w:cstheme="minorHAnsi"/>
          <w:sz w:val="22"/>
        </w:rPr>
      </w:pPr>
    </w:p>
    <w:p w14:paraId="42044BB5" w14:textId="4765DE6E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12.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Opakowania jednostkowe i opakowania zewnętrzne muszą zostać opatrzone jedną etykietą zawierającą nazwę przedsiębiorstwa, adres, adres poczty elektronicznej, numer telefonu i informację o kraju produkcji danego substytutu tytoniu sformułowaną z wykorzystaniem następujących słów: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„Wyprodukowano w”, po których następuje nazwa kraju produkcji.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Oznaczenie to wykonuje się zgodnie z następującymi wytycznymi:</w:t>
      </w:r>
    </w:p>
    <w:p w14:paraId="39D9481B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może składać się z małych liter od a do å, przy czym pierwsza litera może być wielka,</w:t>
      </w:r>
    </w:p>
    <w:p w14:paraId="5FAFF61E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może składać się z cyfr od 0 do 9,</w:t>
      </w:r>
    </w:p>
    <w:p w14:paraId="7C81D395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może zawierać symbol @ w adresie poczty elektronicznej,</w:t>
      </w:r>
    </w:p>
    <w:p w14:paraId="1B9EF08B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może zawierać symbol + poprzedzający numer kierunkowy kraju umieszczony przed numerem telefonu,</w:t>
      </w:r>
    </w:p>
    <w:p w14:paraId="3B7ED040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5)</w:t>
      </w:r>
      <w:r>
        <w:rPr>
          <w:sz w:val="22"/>
          <w:rFonts w:asciiTheme="minorHAnsi" w:hAnsiTheme="minorHAnsi"/>
        </w:rPr>
        <w:t xml:space="preserve"> musi zostać zapisane czcionką Helvetica,</w:t>
      </w:r>
    </w:p>
    <w:p w14:paraId="0B07F33B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6)</w:t>
      </w:r>
      <w:r>
        <w:rPr>
          <w:sz w:val="22"/>
          <w:rFonts w:asciiTheme="minorHAnsi" w:hAnsiTheme="minorHAnsi"/>
        </w:rPr>
        <w:t xml:space="preserve"> musi być koloru matowego Pantone Cool Gray 2 C oraz</w:t>
      </w:r>
    </w:p>
    <w:p w14:paraId="4B0AD8F4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7)</w:t>
      </w:r>
      <w:r>
        <w:rPr>
          <w:sz w:val="22"/>
          <w:rFonts w:asciiTheme="minorHAnsi" w:hAnsiTheme="minorHAnsi"/>
        </w:rPr>
        <w:t xml:space="preserve"> rozmiar czcionki nie może przekraczać 10 punktów.</w:t>
      </w:r>
    </w:p>
    <w:p w14:paraId="7A31DD28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65FE4389" w14:textId="5D42CF01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13.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Opakowanie zewnętrzne zawierające więcej niż jedno opakowanie jednostkowe musi zostać opatrzone jedną etykietą zawierającą następujące informacje:</w:t>
      </w:r>
    </w:p>
    <w:p w14:paraId="6671D049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„Produkt nikotynowy” zgodnie z zawartością opakowania</w:t>
      </w:r>
    </w:p>
    <w:p w14:paraId="3750617A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liczbę opakowań jednostkowych umieszczonych w opakowaniu oraz</w:t>
      </w:r>
    </w:p>
    <w:p w14:paraId="21B860CF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liczbę sztuk w opakowaniu jednostkowym lub jego masę netto.</w:t>
      </w:r>
    </w:p>
    <w:p w14:paraId="3966B6B9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(2)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Oznaczenie to wykonuje się zgodnie z następującymi wytycznymi:</w:t>
      </w:r>
    </w:p>
    <w:p w14:paraId="347CA2A9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może składać się z małych liter od a do å, przy czym pierwsza litera może być wielka,</w:t>
      </w:r>
    </w:p>
    <w:p w14:paraId="2C7903DD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może składać się z cyfr od 0 do 9,</w:t>
      </w:r>
    </w:p>
    <w:p w14:paraId="3996004A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musi zostać zapisane czcionką Helvetica,</w:t>
      </w:r>
    </w:p>
    <w:p w14:paraId="4A95E9E7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musi być koloru matowego Pantone Cool Gray 2 C,</w:t>
      </w:r>
    </w:p>
    <w:p w14:paraId="743B26A5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5)</w:t>
      </w:r>
      <w:r>
        <w:rPr>
          <w:sz w:val="22"/>
          <w:rFonts w:asciiTheme="minorHAnsi" w:hAnsiTheme="minorHAnsi"/>
        </w:rPr>
        <w:t xml:space="preserve"> rozmiar czcionki nie może przekraczać 10 punktów oraz</w:t>
      </w:r>
    </w:p>
    <w:p w14:paraId="1C467F14" w14:textId="130EDB1F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6)</w:t>
      </w:r>
      <w:r>
        <w:rPr>
          <w:sz w:val="22"/>
          <w:rFonts w:asciiTheme="minorHAnsi" w:hAnsiTheme="minorHAnsi"/>
        </w:rPr>
        <w:t xml:space="preserve"> musi zostać zapisane równolegle do górnej krawędzi opakowania.</w:t>
      </w:r>
    </w:p>
    <w:p w14:paraId="5785F4E9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491175E5" w14:textId="5E8A5038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14.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Opakowania jednostkowe mogą być opatrzone pojedynczą etykietą zawierającą następujące informacje:</w:t>
      </w:r>
    </w:p>
    <w:p w14:paraId="3DE4B792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„Produkt nikotynowy” zgodnie z zawartością opakowania oraz</w:t>
      </w:r>
    </w:p>
    <w:p w14:paraId="0A632CAA" w14:textId="44D44551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liczbę sztuk w opakowaniu jednostkowym.</w:t>
      </w:r>
    </w:p>
    <w:p w14:paraId="19B53A52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rFonts w:asciiTheme="minorHAnsi" w:hAnsiTheme="minorHAnsi"/>
        </w:rPr>
        <w:t xml:space="preserve">(2)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Oznaczenie to wykonuje się zgodnie z następującymi wytycznymi:</w:t>
      </w:r>
    </w:p>
    <w:p w14:paraId="588B16FB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może składać się z małych liter od a do å, przy czym pierwsza litera może być wielka,</w:t>
      </w:r>
    </w:p>
    <w:p w14:paraId="6AFD880D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może składać się z cyfr od 0 do 9,</w:t>
      </w:r>
    </w:p>
    <w:p w14:paraId="1B595801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musi zostać zapisane czcionką Helvetica,</w:t>
      </w:r>
    </w:p>
    <w:p w14:paraId="4D91ECD0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musi być koloru matowego Pantone Cool Gray 2 C,</w:t>
      </w:r>
    </w:p>
    <w:p w14:paraId="7236C838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5)</w:t>
      </w:r>
      <w:r>
        <w:rPr>
          <w:sz w:val="22"/>
          <w:rFonts w:asciiTheme="minorHAnsi" w:hAnsiTheme="minorHAnsi"/>
        </w:rPr>
        <w:t xml:space="preserve"> rozmiar czcionki nie może przekraczać 10 punktów oraz</w:t>
      </w:r>
    </w:p>
    <w:p w14:paraId="3AABF252" w14:textId="7271DF6C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6)</w:t>
      </w:r>
      <w:r>
        <w:rPr>
          <w:sz w:val="22"/>
          <w:rFonts w:asciiTheme="minorHAnsi" w:hAnsiTheme="minorHAnsi"/>
        </w:rPr>
        <w:t xml:space="preserve"> musi zostać zapisane równolegle do górnej krawędzi opakowania.</w:t>
      </w:r>
    </w:p>
    <w:p w14:paraId="717C15DE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405FDCEF" w14:textId="229F3C1E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15.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Opakowanie jednostkowe substytutu tytoniu zawierające materiał niezbędny do użycia tego substytutu tytoniu może zostać opatrzone jedną etykietą zawierającą informacje dotyczące tego materiału, zgodnie z materiałem umieszczonym w opakowaniu jednostkowym.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Style w:val="stknr"/>
          <w:rFonts w:asciiTheme="minorHAnsi" w:hAnsiTheme="minorHAnsi"/>
        </w:rPr>
        <w:t xml:space="preserve">Przedmiotowy tekst</w:t>
      </w:r>
      <w:r>
        <w:rPr>
          <w:sz w:val="22"/>
          <w:rStyle w:val="stknr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 </w:t>
      </w:r>
    </w:p>
    <w:p w14:paraId="38AB9D42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może składać się z małych liter, przy czym pierwsza litera może być wielka,</w:t>
      </w:r>
    </w:p>
    <w:p w14:paraId="2ABCBE0D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musi zostać zapisany czcionką Helvetica,</w:t>
      </w:r>
    </w:p>
    <w:p w14:paraId="25D3C0BB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musi być koloru matowego Pantone Cool Gray 2 C oraz</w:t>
      </w:r>
    </w:p>
    <w:p w14:paraId="47958EC4" w14:textId="77777777" w:rsid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rozmiar czcionki nie może przekraczać 10 punktów.</w:t>
      </w:r>
    </w:p>
    <w:p w14:paraId="4F92BDF5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4B8E4827" w14:textId="01322DE1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16.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Opakowania jednostkowe i opakowania zewnętrzne substytutów tytoniu mogą być opatrzone etykietą z tekstem „najlepiej spożyć przed”, po którym następuje data.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Oznaczenie to wykonuje się zgodnie z następującymi wytycznymi:</w:t>
      </w:r>
    </w:p>
    <w:p w14:paraId="2C72EC71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może składać się z małych liter od a do å, przy czym pierwsza litera może być wielka,</w:t>
      </w:r>
    </w:p>
    <w:p w14:paraId="4FE57095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może składać się z cyfr od 0 do 9,</w:t>
      </w:r>
    </w:p>
    <w:p w14:paraId="301CF38C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musi zostać zapisane czcionką Helvetica,</w:t>
      </w:r>
    </w:p>
    <w:p w14:paraId="61B81F85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musi być koloru matowego Pantone Cool Gray 2 C,</w:t>
      </w:r>
    </w:p>
    <w:p w14:paraId="6F9E0D1A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5)</w:t>
      </w:r>
      <w:r>
        <w:rPr>
          <w:sz w:val="22"/>
          <w:rFonts w:asciiTheme="minorHAnsi" w:hAnsiTheme="minorHAnsi"/>
        </w:rPr>
        <w:t xml:space="preserve"> rozmiar czcionki nie może przekraczać 10 punktów oraz</w:t>
      </w:r>
    </w:p>
    <w:p w14:paraId="1D698BD8" w14:textId="0EC713CE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6)</w:t>
      </w:r>
      <w:r>
        <w:rPr>
          <w:sz w:val="22"/>
          <w:rFonts w:asciiTheme="minorHAnsi" w:hAnsiTheme="minorHAnsi"/>
        </w:rPr>
        <w:t xml:space="preserve"> musi zostać zapisane równolegle do górnej krawędzi opakowania.</w:t>
      </w:r>
    </w:p>
    <w:p w14:paraId="7526986F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64B2D8A7" w14:textId="6A58E758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17.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Opakowania jednostkowe i opakowania zewnętrzne zawierające substytut tytoniu mogą zostać opatrzone kodem kreskowym, jeżeli:</w:t>
      </w:r>
    </w:p>
    <w:p w14:paraId="3C2E6219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służy on do celów płatności, dystrybucji lub kontroli zapasów;</w:t>
      </w:r>
    </w:p>
    <w:p w14:paraId="5A763458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został naniesiony w kolorze czarnym na białym tle lub w matowym kolorze Pantone Cool Gray 2 C na białym tle;</w:t>
      </w:r>
    </w:p>
    <w:p w14:paraId="03C2F6F4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nie tworzy obrazu, wzoru lub symbolu, który może być postrzegany inaczej niż kod kreskowy;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oraz</w:t>
      </w:r>
    </w:p>
    <w:p w14:paraId="6988A017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znajduje się na dolnej lub bocznej ściance opakowania,</w:t>
      </w:r>
    </w:p>
    <w:p w14:paraId="39728E10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bookmarkStart w:id="2" w:name="_Hlk168657884"/>
      <w:r>
        <w:rPr>
          <w:sz w:val="22"/>
          <w:rFonts w:asciiTheme="minorHAnsi" w:hAnsiTheme="minorHAnsi"/>
        </w:rPr>
        <w:t xml:space="preserve">5) nie może zostać z innych powodów uznany za sprzeczny z wymogiem znormalizowanego wzoru przeznaczonego do substytutów tytoniu.</w:t>
      </w:r>
    </w:p>
    <w:bookmarkEnd w:id="2"/>
    <w:p w14:paraId="7AC0D161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522D60B6" w14:textId="51B33CCB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18.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Opakowania jednostkowe i opakowania zewnętrzne zawierające substytut tytoniu mogą zostać opatrzone oznakowaniem produkcyjnym, w tym numerem partii, pod warunkiem że oznakowanie to</w:t>
      </w:r>
    </w:p>
    <w:p w14:paraId="31E4044E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1)</w:t>
      </w:r>
      <w:r>
        <w:rPr>
          <w:sz w:val="22"/>
          <w:rFonts w:asciiTheme="minorHAnsi" w:hAnsiTheme="minorHAnsi"/>
        </w:rPr>
        <w:t xml:space="preserve"> jest stosowane w celu zapewnienia zgodności z innymi obowiązującymi przepisami, w tym przepisami dotyczącymi opodatkowania,</w:t>
      </w:r>
    </w:p>
    <w:p w14:paraId="1385E42E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2)</w:t>
      </w:r>
      <w:r>
        <w:rPr>
          <w:sz w:val="22"/>
          <w:rFonts w:asciiTheme="minorHAnsi" w:hAnsiTheme="minorHAnsi"/>
        </w:rPr>
        <w:t xml:space="preserve"> jest wykonane w kolorze czarnym na białym tle, albo w matowym kolorze Pantone Cool Gray 2 C na białym tle,</w:t>
      </w:r>
    </w:p>
    <w:p w14:paraId="128F62E6" w14:textId="3EBB0EC3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3)</w:t>
      </w:r>
      <w:r>
        <w:rPr>
          <w:sz w:val="22"/>
          <w:rFonts w:asciiTheme="minorHAnsi" w:hAnsiTheme="minorHAnsi"/>
        </w:rPr>
        <w:t xml:space="preserve"> nie tworzy obrazu, wzoru lub symbolu, który może być postrzegany inaczej niż oznakowanie produkcyjne,</w:t>
      </w:r>
    </w:p>
    <w:p w14:paraId="21D1CF26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4)</w:t>
      </w:r>
      <w:r>
        <w:rPr>
          <w:sz w:val="22"/>
          <w:rFonts w:asciiTheme="minorHAnsi" w:hAnsiTheme="minorHAnsi"/>
        </w:rPr>
        <w:t xml:space="preserve"> znajduje się na dolnej lub bocznej ściance opakowania jednostkowego oraz</w:t>
      </w:r>
    </w:p>
    <w:p w14:paraId="0904A41F" w14:textId="77777777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liste1nr"/>
          <w:rFonts w:asciiTheme="minorHAnsi" w:hAnsiTheme="minorHAnsi"/>
        </w:rPr>
        <w:t xml:space="preserve">5)</w:t>
      </w:r>
      <w:r>
        <w:rPr>
          <w:sz w:val="22"/>
          <w:rFonts w:asciiTheme="minorHAnsi" w:hAnsiTheme="minorHAnsi"/>
        </w:rPr>
        <w:t xml:space="preserve"> nie może zostać z innych powodów uznane za sprzeczne z wymogiem znormalizowanego wzoru przeznaczonego do wszystkich wyrobów zawierających substytut tytoniu.</w:t>
      </w:r>
    </w:p>
    <w:p w14:paraId="1218FF66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640AA021" w14:textId="77777777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Rozdział 6</w:t>
      </w:r>
    </w:p>
    <w:p w14:paraId="06ADF50C" w14:textId="77777777" w:rsidR="007F572C" w:rsidRDefault="007F572C" w:rsidP="007F572C">
      <w:pPr>
        <w:pStyle w:val="Ingenafstand"/>
        <w:jc w:val="center"/>
        <w:rPr>
          <w:rFonts w:asciiTheme="minorHAnsi" w:hAnsiTheme="minorHAnsi" w:cstheme="minorHAnsi"/>
          <w:i/>
          <w:sz w:val="22"/>
        </w:rPr>
      </w:pPr>
    </w:p>
    <w:p w14:paraId="5A9E85C7" w14:textId="77777777" w:rsidR="007F572C" w:rsidRPr="007F572C" w:rsidRDefault="007F572C" w:rsidP="007F572C">
      <w:pPr>
        <w:pStyle w:val="Ingenafstand"/>
        <w:jc w:val="center"/>
        <w:rPr>
          <w:i/>
          <w:sz w:val="22"/>
          <w:rFonts w:asciiTheme="minorHAnsi" w:hAnsiTheme="minorHAnsi" w:cstheme="minorHAnsi"/>
        </w:rPr>
      </w:pPr>
      <w:r>
        <w:rPr>
          <w:i/>
          <w:sz w:val="22"/>
          <w:rFonts w:asciiTheme="minorHAnsi" w:hAnsiTheme="minorHAnsi"/>
        </w:rPr>
        <w:t xml:space="preserve">Wielkość opakowania jednostkowego</w:t>
      </w:r>
    </w:p>
    <w:p w14:paraId="0E7F1AE2" w14:textId="77777777" w:rsidR="007F572C" w:rsidRDefault="007F572C" w:rsidP="007F572C">
      <w:pPr>
        <w:pStyle w:val="Ingenafstand"/>
        <w:rPr>
          <w:rStyle w:val="paragrafnr"/>
          <w:rFonts w:asciiTheme="minorHAnsi" w:eastAsiaTheme="majorEastAsia" w:hAnsiTheme="minorHAnsi" w:cstheme="minorHAnsi"/>
          <w:sz w:val="22"/>
        </w:rPr>
      </w:pPr>
    </w:p>
    <w:p w14:paraId="01FB9D2B" w14:textId="2597DCB7" w:rsidR="007F572C" w:rsidRDefault="007F572C" w:rsidP="00B25BE4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rFonts w:asciiTheme="minorHAnsi" w:hAnsiTheme="minorHAnsi"/>
        </w:rPr>
        <w:t xml:space="preserve">§ 19.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Wielkość jednostkowego opakowania </w:t>
      </w:r>
      <w:r>
        <w:rPr>
          <w:sz w:val="22"/>
          <w:rStyle w:val="italic"/>
          <w:rFonts w:asciiTheme="minorHAnsi" w:hAnsiTheme="minorHAnsi"/>
        </w:rPr>
        <w:t xml:space="preserve">substytutu tytoniu musi być proporcjonalna do zawartości opakowania, a zatem nie większa niż zawartość tego wymaga</w:t>
      </w:r>
      <w:r>
        <w:rPr>
          <w:sz w:val="22"/>
          <w:rFonts w:asciiTheme="minorHAnsi" w:hAnsiTheme="minorHAnsi"/>
        </w:rPr>
        <w:t xml:space="preserve">.</w:t>
      </w:r>
      <w:r>
        <w:rPr>
          <w:sz w:val="22"/>
          <w:rFonts w:asciiTheme="minorHAnsi" w:hAnsiTheme="minorHAnsi"/>
        </w:rPr>
        <w:t xml:space="preserve"> </w:t>
      </w:r>
    </w:p>
    <w:p w14:paraId="199AEEC0" w14:textId="77777777" w:rsidR="00B25BE4" w:rsidRDefault="00B25BE4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27999EF9" w14:textId="417A0BBE" w:rsidR="00511FB8" w:rsidRPr="008B3B1D" w:rsidRDefault="00511FB8" w:rsidP="00511FB8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Rozdział 7</w:t>
      </w:r>
    </w:p>
    <w:p w14:paraId="4B7486A1" w14:textId="77777777" w:rsidR="00511FB8" w:rsidRDefault="00511FB8" w:rsidP="00511FB8">
      <w:pPr>
        <w:pStyle w:val="Ingenafstand"/>
        <w:jc w:val="center"/>
        <w:rPr>
          <w:rStyle w:val="italic"/>
          <w:rFonts w:cstheme="minorHAnsi"/>
          <w:i/>
          <w:iCs/>
          <w:color w:val="212529"/>
        </w:rPr>
      </w:pPr>
    </w:p>
    <w:p w14:paraId="505DB5F7" w14:textId="77777777" w:rsidR="00511FB8" w:rsidRPr="008B3B1D" w:rsidRDefault="00511FB8" w:rsidP="00511FB8">
      <w:pPr>
        <w:pStyle w:val="Ingenafstand"/>
        <w:jc w:val="center"/>
        <w:rPr>
          <w:i/>
          <w:iCs/>
          <w:sz w:val="22"/>
          <w:rFonts w:asciiTheme="minorHAnsi" w:hAnsiTheme="minorHAnsi" w:cstheme="minorHAnsi"/>
        </w:rPr>
      </w:pPr>
      <w:r>
        <w:rPr>
          <w:rStyle w:val="italic"/>
          <w:i/>
          <w:color w:val="212529"/>
          <w:sz w:val="22"/>
          <w:rFonts w:asciiTheme="minorHAnsi" w:hAnsiTheme="minorHAnsi"/>
        </w:rPr>
        <w:t xml:space="preserve">Przepisy karne</w:t>
      </w:r>
    </w:p>
    <w:p w14:paraId="361A98A7" w14:textId="77777777" w:rsidR="00511FB8" w:rsidRDefault="00511FB8" w:rsidP="00511FB8">
      <w:pPr>
        <w:pStyle w:val="Ingenafstand"/>
        <w:rPr>
          <w:rStyle w:val="paragrafnr"/>
          <w:rFonts w:cstheme="minorHAnsi"/>
          <w:b/>
          <w:bCs/>
          <w:color w:val="212529"/>
        </w:rPr>
      </w:pPr>
    </w:p>
    <w:p w14:paraId="355F02EE" w14:textId="0B518FD1" w:rsidR="00511FB8" w:rsidRPr="008B3B1D" w:rsidRDefault="00511FB8" w:rsidP="00511FB8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paragrafnr"/>
          <w:b/>
          <w:color w:val="212529"/>
          <w:rFonts w:asciiTheme="minorHAnsi" w:hAnsiTheme="minorHAnsi"/>
        </w:rPr>
        <w:t xml:space="preserve">§ 20.</w:t>
      </w:r>
      <w:r>
        <w:rPr>
          <w:sz w:val="22"/>
          <w:rFonts w:asciiTheme="minorHAnsi" w:hAnsiTheme="minorHAnsi"/>
        </w:rPr>
        <w:t xml:space="preserve"> </w:t>
      </w:r>
      <w:r>
        <w:rPr>
          <w:sz w:val="22"/>
          <w:rFonts w:asciiTheme="minorHAnsi" w:hAnsiTheme="minorHAnsi"/>
        </w:rPr>
        <w:t xml:space="preserve">O ile inne przepisy prawa nie przewidują wyższej kary, karze grzywny podlega ten, kto narusza przepisy §§ 2–19.</w:t>
      </w:r>
    </w:p>
    <w:p w14:paraId="19002A26" w14:textId="77777777" w:rsidR="00511FB8" w:rsidRPr="008B3B1D" w:rsidRDefault="00511FB8" w:rsidP="00511FB8">
      <w:pPr>
        <w:pStyle w:val="Ingenafstand"/>
        <w:rPr>
          <w:sz w:val="22"/>
          <w:rFonts w:asciiTheme="minorHAnsi" w:hAnsiTheme="minorHAnsi" w:cstheme="minorHAnsi"/>
        </w:rPr>
      </w:pPr>
      <w:r>
        <w:rPr>
          <w:sz w:val="22"/>
          <w:rStyle w:val="stknr"/>
          <w:i/>
          <w:color w:val="212529"/>
          <w:rFonts w:asciiTheme="minorHAnsi" w:hAnsiTheme="minorHAnsi"/>
        </w:rPr>
        <w:t xml:space="preserve">(2)</w:t>
      </w:r>
      <w:r>
        <w:rPr>
          <w:sz w:val="22"/>
          <w:rFonts w:asciiTheme="minorHAnsi" w:hAnsiTheme="minorHAnsi"/>
        </w:rPr>
        <w:t xml:space="preserve"> </w:t>
      </w:r>
      <w:r>
        <w:rPr>
          <w:sz w:val="22"/>
          <w:rFonts w:asciiTheme="minorHAnsi" w:hAnsiTheme="minorHAnsi"/>
        </w:rPr>
        <w:t xml:space="preserve">Przedsiębiorstwa itp.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(osoby prawne) mogą zostać pociągnięte do odpowiedzialności karnej zgodnie z przepisami rozdziału 5 kodeksu karnego.</w:t>
      </w:r>
    </w:p>
    <w:p w14:paraId="3A87A2F3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00831E58" w14:textId="53B5D84D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Rozdział 8</w:t>
      </w:r>
    </w:p>
    <w:p w14:paraId="412FD62F" w14:textId="77777777" w:rsidR="007F572C" w:rsidRPr="007F572C" w:rsidRDefault="007F572C" w:rsidP="007F572C">
      <w:pPr>
        <w:pStyle w:val="Ingenafstand"/>
        <w:jc w:val="center"/>
        <w:rPr>
          <w:rStyle w:val="italic"/>
          <w:rFonts w:asciiTheme="minorHAnsi" w:hAnsiTheme="minorHAnsi" w:cstheme="minorHAnsi"/>
          <w:sz w:val="22"/>
        </w:rPr>
      </w:pPr>
    </w:p>
    <w:p w14:paraId="6338961A" w14:textId="77777777" w:rsidR="007F572C" w:rsidRPr="007F572C" w:rsidRDefault="007F572C" w:rsidP="007F572C">
      <w:pPr>
        <w:pStyle w:val="Ingenafstand"/>
        <w:jc w:val="center"/>
        <w:rPr>
          <w:i/>
          <w:sz w:val="22"/>
          <w:rFonts w:asciiTheme="minorHAnsi" w:hAnsiTheme="minorHAnsi" w:cstheme="minorHAnsi"/>
        </w:rPr>
      </w:pPr>
      <w:r>
        <w:rPr>
          <w:rStyle w:val="italic"/>
          <w:i/>
          <w:sz w:val="22"/>
          <w:rFonts w:asciiTheme="minorHAnsi" w:hAnsiTheme="minorHAnsi"/>
        </w:rPr>
        <w:t xml:space="preserve">Wejście w życie</w:t>
      </w:r>
    </w:p>
    <w:p w14:paraId="0CE33E43" w14:textId="77777777" w:rsidR="007F572C" w:rsidRPr="007F572C" w:rsidRDefault="007F572C" w:rsidP="007F572C">
      <w:pPr>
        <w:pStyle w:val="Ingenafstand"/>
        <w:rPr>
          <w:rStyle w:val="paragrafnr"/>
          <w:rFonts w:asciiTheme="minorHAnsi" w:hAnsiTheme="minorHAnsi" w:cstheme="minorHAnsi"/>
          <w:sz w:val="22"/>
        </w:rPr>
      </w:pPr>
    </w:p>
    <w:p w14:paraId="7888F0C4" w14:textId="39C79ACC" w:rsidR="007F572C" w:rsidRPr="007F572C" w:rsidRDefault="007F572C" w:rsidP="007F572C">
      <w:pPr>
        <w:pStyle w:val="Ingenafstand"/>
        <w:rPr>
          <w:sz w:val="22"/>
          <w:rFonts w:asciiTheme="minorHAnsi" w:hAnsiTheme="minorHAnsi" w:cstheme="minorHAnsi"/>
        </w:rPr>
      </w:pPr>
      <w:bookmarkStart w:id="3" w:name="_Hlk169508176"/>
      <w:r>
        <w:rPr>
          <w:sz w:val="22"/>
          <w:rStyle w:val="paragrafnr"/>
          <w:b/>
          <w:rFonts w:asciiTheme="minorHAnsi" w:hAnsiTheme="minorHAnsi"/>
        </w:rPr>
        <w:t xml:space="preserve">§ 21.</w:t>
      </w:r>
      <w:r>
        <w:rPr>
          <w:sz w:val="22"/>
          <w:rFonts w:asciiTheme="minorHAnsi" w:hAnsiTheme="minorHAnsi"/>
        </w:rPr>
        <w:t xml:space="preserve"> </w:t>
      </w:r>
      <w:r>
        <w:rPr>
          <w:sz w:val="22"/>
          <w:i/>
          <w:rFonts w:asciiTheme="minorHAnsi" w:hAnsiTheme="minorHAnsi"/>
        </w:rPr>
        <w:t xml:space="preserve">(1)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Niniejsze rozporządzenie wchodzi w życie dnia 1 kwietnia 2025 r.</w:t>
      </w:r>
    </w:p>
    <w:bookmarkEnd w:id="3"/>
    <w:p w14:paraId="388988AA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0F4CA62C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0A8F933F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41108046" w14:textId="77777777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Ministerstwo Spraw Wewnętrznych i Zdrowia </w:t>
      </w:r>
      <w:r>
        <w:rPr>
          <w:sz w:val="22"/>
          <w:highlight w:val="yellow"/>
          <w:rFonts w:asciiTheme="minorHAnsi" w:hAnsiTheme="minorHAnsi"/>
        </w:rPr>
        <w:t xml:space="preserve">x</w:t>
      </w:r>
    </w:p>
    <w:p w14:paraId="3115D399" w14:textId="77777777" w:rsidR="007F572C" w:rsidRPr="007F572C" w:rsidRDefault="007F572C" w:rsidP="007F572C">
      <w:pPr>
        <w:pStyle w:val="Ingenafstand"/>
        <w:jc w:val="center"/>
        <w:rPr>
          <w:rFonts w:asciiTheme="minorHAnsi" w:hAnsiTheme="minorHAnsi" w:cstheme="minorHAnsi"/>
          <w:sz w:val="22"/>
        </w:rPr>
      </w:pPr>
    </w:p>
    <w:p w14:paraId="2D636A14" w14:textId="77777777" w:rsidR="007F572C" w:rsidRPr="007F572C" w:rsidRDefault="007F572C" w:rsidP="007F572C">
      <w:pPr>
        <w:pStyle w:val="Ingenafstand"/>
        <w:jc w:val="center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Sophie Løhde</w:t>
      </w:r>
    </w:p>
    <w:p w14:paraId="59E93E68" w14:textId="77777777" w:rsidR="007F572C" w:rsidRPr="007F572C" w:rsidRDefault="007F572C" w:rsidP="007F572C">
      <w:pPr>
        <w:pStyle w:val="Ingenafstand"/>
        <w:jc w:val="right"/>
        <w:rPr>
          <w:sz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/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Camilla Madsen</w:t>
      </w:r>
    </w:p>
    <w:p w14:paraId="640BFE03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3B1C97F3" w14:textId="77777777" w:rsidR="007F572C" w:rsidRPr="007F572C" w:rsidRDefault="007F572C" w:rsidP="007F572C">
      <w:pPr>
        <w:rPr>
          <w:rFonts w:asciiTheme="minorHAnsi" w:hAnsiTheme="minorHAnsi" w:cstheme="minorHAnsi"/>
          <w:sz w:val="22"/>
        </w:rPr>
      </w:pPr>
    </w:p>
    <w:p w14:paraId="52FE1D78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79BD566A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6FA907D5" w14:textId="77777777" w:rsidR="007F572C" w:rsidRPr="007F572C" w:rsidRDefault="007F572C" w:rsidP="007F572C">
      <w:pPr>
        <w:pStyle w:val="Ingenafstand"/>
        <w:rPr>
          <w:rFonts w:asciiTheme="minorHAnsi" w:hAnsiTheme="minorHAnsi" w:cstheme="minorHAnsi"/>
          <w:sz w:val="22"/>
        </w:rPr>
      </w:pPr>
    </w:p>
    <w:p w14:paraId="429E62CD" w14:textId="77777777" w:rsidR="00DB4C4F" w:rsidRPr="007F572C" w:rsidRDefault="00DB4C4F" w:rsidP="007F572C">
      <w:pPr>
        <w:rPr>
          <w:rFonts w:asciiTheme="minorHAnsi" w:hAnsiTheme="minorHAnsi" w:cstheme="minorHAnsi"/>
          <w:sz w:val="22"/>
        </w:rPr>
      </w:pPr>
    </w:p>
    <w:sectPr w:rsidR="00DB4C4F" w:rsidRPr="007F572C" w:rsidSect="007F572C">
      <w:headerReference w:type="even" r:id="rId6"/>
      <w:headerReference w:type="default" r:id="rId7"/>
      <w:headerReference w:type="first" r:id="rId8"/>
      <w:pgSz w:w="11906" w:h="16838" w:code="9"/>
      <w:pgMar w:top="1701" w:right="1133" w:bottom="-170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690D" w14:textId="77777777" w:rsidR="00A3704F" w:rsidRDefault="00A3704F" w:rsidP="007F572C">
      <w:pPr>
        <w:spacing w:line="240" w:lineRule="auto"/>
      </w:pPr>
      <w:r>
        <w:separator/>
      </w:r>
    </w:p>
  </w:endnote>
  <w:endnote w:type="continuationSeparator" w:id="0">
    <w:p w14:paraId="4F1F6B39" w14:textId="77777777" w:rsidR="00A3704F" w:rsidRDefault="00A3704F" w:rsidP="007F5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9B94" w14:textId="77777777" w:rsidR="00A3704F" w:rsidRDefault="00A3704F" w:rsidP="007F572C">
      <w:pPr>
        <w:spacing w:line="240" w:lineRule="auto"/>
      </w:pPr>
      <w:r>
        <w:separator/>
      </w:r>
    </w:p>
  </w:footnote>
  <w:footnote w:type="continuationSeparator" w:id="0">
    <w:p w14:paraId="50E35B91" w14:textId="77777777" w:rsidR="00A3704F" w:rsidRDefault="00A3704F" w:rsidP="007F5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0B67" w14:textId="77777777" w:rsidR="002C552F" w:rsidRDefault="00A3704F">
    <w:pPr>
      <w:pStyle w:val="Sidehoved"/>
    </w:pPr>
    <w:r>
      <w:pict w14:anchorId="497A72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922" o:spid="_x0000_s2053" type="#_x0000_t136" style="position:absolute;margin-left:0;margin-top:0;width:509.6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4124" w14:textId="77777777" w:rsidR="002C552F" w:rsidRDefault="00A3704F">
    <w:pPr>
      <w:pStyle w:val="Sidehoved"/>
    </w:pPr>
    <w:r>
      <w:pict w14:anchorId="79883C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923" o:spid="_x0000_s2054" type="#_x0000_t136" style="position:absolute;margin-left:0;margin-top:0;width:509.6pt;height:16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BF6A" w14:textId="77777777" w:rsidR="002C552F" w:rsidRDefault="00A3704F">
    <w:pPr>
      <w:pStyle w:val="Sidehoved"/>
    </w:pPr>
    <w:r>
      <w:pict w14:anchorId="7A746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921" o:spid="_x0000_s2052" type="#_x0000_t136" style="position:absolute;margin-left:0;margin-top:0;width:509.6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2C"/>
    <w:rsid w:val="000508BD"/>
    <w:rsid w:val="000A1619"/>
    <w:rsid w:val="000A2D20"/>
    <w:rsid w:val="00141C4D"/>
    <w:rsid w:val="0014598F"/>
    <w:rsid w:val="001653F6"/>
    <w:rsid w:val="001E6AE9"/>
    <w:rsid w:val="00222BD4"/>
    <w:rsid w:val="00235424"/>
    <w:rsid w:val="002455BD"/>
    <w:rsid w:val="002B7F89"/>
    <w:rsid w:val="002D5477"/>
    <w:rsid w:val="0033681C"/>
    <w:rsid w:val="00344C4B"/>
    <w:rsid w:val="003E71DF"/>
    <w:rsid w:val="003F3D6F"/>
    <w:rsid w:val="00402493"/>
    <w:rsid w:val="004B1F8A"/>
    <w:rsid w:val="004B3081"/>
    <w:rsid w:val="00511FB8"/>
    <w:rsid w:val="0055071B"/>
    <w:rsid w:val="005740EC"/>
    <w:rsid w:val="00600150"/>
    <w:rsid w:val="00602915"/>
    <w:rsid w:val="006D1C49"/>
    <w:rsid w:val="007F572C"/>
    <w:rsid w:val="0085266F"/>
    <w:rsid w:val="00880A12"/>
    <w:rsid w:val="00880F0A"/>
    <w:rsid w:val="008E44C7"/>
    <w:rsid w:val="00A34176"/>
    <w:rsid w:val="00A3704F"/>
    <w:rsid w:val="00A37553"/>
    <w:rsid w:val="00B25BE4"/>
    <w:rsid w:val="00C95E23"/>
    <w:rsid w:val="00D1532C"/>
    <w:rsid w:val="00D34A21"/>
    <w:rsid w:val="00D508ED"/>
    <w:rsid w:val="00DA0B14"/>
    <w:rsid w:val="00DA6187"/>
    <w:rsid w:val="00DB4C4F"/>
    <w:rsid w:val="00E20A63"/>
    <w:rsid w:val="00F05E30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38D488B"/>
  <w15:chartTrackingRefBased/>
  <w15:docId w15:val="{CFAE5050-9CE9-4525-BF23-FB133D47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72C"/>
    <w:pPr>
      <w:spacing w:after="0" w:line="270" w:lineRule="atLeast"/>
    </w:pPr>
    <w:rPr>
      <w:rFonts w:ascii="Times New Roman" w:hAnsi="Times New Roman"/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572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572C"/>
    <w:rPr>
      <w:rFonts w:ascii="Times New Roman" w:hAnsi="Times New Roman"/>
      <w:sz w:val="23"/>
    </w:rPr>
  </w:style>
  <w:style w:type="paragraph" w:styleId="Sidefod">
    <w:name w:val="footer"/>
    <w:basedOn w:val="Normal"/>
    <w:link w:val="SidefodTegn"/>
    <w:uiPriority w:val="99"/>
    <w:unhideWhenUsed/>
    <w:rsid w:val="007F572C"/>
    <w:pPr>
      <w:tabs>
        <w:tab w:val="center" w:pos="3686"/>
        <w:tab w:val="right" w:pos="7371"/>
        <w:tab w:val="left" w:pos="8165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572C"/>
    <w:rPr>
      <w:rFonts w:ascii="Times New Roman" w:hAnsi="Times New Roman"/>
      <w:sz w:val="23"/>
    </w:rPr>
  </w:style>
  <w:style w:type="paragraph" w:styleId="Listeafsnit">
    <w:name w:val="List Paragraph"/>
    <w:basedOn w:val="Normal"/>
    <w:uiPriority w:val="34"/>
    <w:qFormat/>
    <w:rsid w:val="007F572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F572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7F572C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F572C"/>
    <w:rPr>
      <w:rFonts w:ascii="Times New Roman" w:hAnsi="Times New Roman"/>
      <w:sz w:val="24"/>
      <w:szCs w:val="24"/>
    </w:rPr>
  </w:style>
  <w:style w:type="paragraph" w:customStyle="1" w:styleId="titel2">
    <w:name w:val="titel2"/>
    <w:basedOn w:val="Normal"/>
    <w:rsid w:val="007F57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pl-PL" w:eastAsia="en-GB"/>
    </w:rPr>
  </w:style>
  <w:style w:type="paragraph" w:customStyle="1" w:styleId="indledning2">
    <w:name w:val="indledning2"/>
    <w:basedOn w:val="Normal"/>
    <w:rsid w:val="007F57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pl-PL" w:eastAsia="en-GB"/>
    </w:rPr>
  </w:style>
  <w:style w:type="paragraph" w:customStyle="1" w:styleId="kapitel">
    <w:name w:val="kapitel"/>
    <w:basedOn w:val="Normal"/>
    <w:rsid w:val="007F57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pl-PL" w:eastAsia="en-GB"/>
    </w:rPr>
  </w:style>
  <w:style w:type="paragraph" w:customStyle="1" w:styleId="kapiteloverskrift2">
    <w:name w:val="kapiteloverskrift2"/>
    <w:basedOn w:val="Normal"/>
    <w:rsid w:val="007F57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pl-PL" w:eastAsia="en-GB"/>
    </w:rPr>
  </w:style>
  <w:style w:type="character" w:customStyle="1" w:styleId="italic">
    <w:name w:val="italic"/>
    <w:basedOn w:val="Standardskrifttypeiafsnit"/>
    <w:rsid w:val="007F572C"/>
  </w:style>
  <w:style w:type="paragraph" w:customStyle="1" w:styleId="paragraf">
    <w:name w:val="paragraf"/>
    <w:basedOn w:val="Normal"/>
    <w:rsid w:val="007F57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pl-PL" w:eastAsia="en-GB"/>
    </w:rPr>
  </w:style>
  <w:style w:type="character" w:customStyle="1" w:styleId="paragrafnr">
    <w:name w:val="paragrafnr"/>
    <w:basedOn w:val="Standardskrifttypeiafsnit"/>
    <w:rsid w:val="007F572C"/>
  </w:style>
  <w:style w:type="paragraph" w:customStyle="1" w:styleId="liste1">
    <w:name w:val="liste1"/>
    <w:basedOn w:val="Normal"/>
    <w:rsid w:val="007F57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pl-PL" w:eastAsia="en-GB"/>
    </w:rPr>
  </w:style>
  <w:style w:type="character" w:customStyle="1" w:styleId="liste1nr">
    <w:name w:val="liste1nr"/>
    <w:basedOn w:val="Standardskrifttypeiafsnit"/>
    <w:rsid w:val="007F572C"/>
  </w:style>
  <w:style w:type="paragraph" w:customStyle="1" w:styleId="stk2">
    <w:name w:val="stk2"/>
    <w:basedOn w:val="Normal"/>
    <w:rsid w:val="007F57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pl-PL" w:eastAsia="en-GB"/>
    </w:rPr>
  </w:style>
  <w:style w:type="character" w:customStyle="1" w:styleId="stknr">
    <w:name w:val="stknr"/>
    <w:basedOn w:val="Standardskrifttypeiafsnit"/>
    <w:rsid w:val="007F572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57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572C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F572C"/>
    <w:pPr>
      <w:spacing w:after="0" w:line="240" w:lineRule="auto"/>
    </w:pPr>
    <w:rPr>
      <w:rFonts w:ascii="Times New Roman" w:hAnsi="Times New Roman"/>
      <w:sz w:val="23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05E3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5E3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1669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Friborg Madsen</dc:creator>
  <cp:keywords/>
  <dc:description/>
  <cp:lastModifiedBy>Camilla Friborg Madsen</cp:lastModifiedBy>
  <cp:revision>2</cp:revision>
  <dcterms:created xsi:type="dcterms:W3CDTF">2024-08-30T09:41:00Z</dcterms:created>
  <dcterms:modified xsi:type="dcterms:W3CDTF">2024-08-30T09:41:00Z</dcterms:modified>
</cp:coreProperties>
</file>