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0A" w:rsidRPr="00977BC2" w:rsidRDefault="006255E9" w:rsidP="00B25F68">
      <w:pPr>
        <w:jc w:val="center"/>
        <w:rPr>
          <w:rFonts w:eastAsia="Calibri"/>
          <w:b/>
          <w:bCs/>
          <w:sz w:val="32"/>
          <w:szCs w:val="32"/>
          <w:u w:val="single"/>
        </w:rPr>
      </w:pPr>
      <w:r w:rsidRPr="00977BC2">
        <w:rPr>
          <w:b/>
          <w:bCs/>
          <w:sz w:val="32"/>
          <w:szCs w:val="32"/>
          <w:u w:val="single"/>
        </w:rPr>
        <w:t>Direktiivi (EL) 2015/1535 puudutav kohtupraktika</w:t>
      </w:r>
    </w:p>
    <w:p w:rsidR="00794472" w:rsidRPr="00977BC2" w:rsidRDefault="00794472" w:rsidP="00B25F68">
      <w:pPr>
        <w:jc w:val="both"/>
      </w:pPr>
    </w:p>
    <w:p w:rsidR="008F01F8" w:rsidRPr="00977BC2" w:rsidRDefault="00794472" w:rsidP="00B25F68">
      <w:pPr>
        <w:jc w:val="both"/>
      </w:pPr>
      <w:r w:rsidRPr="00977BC2">
        <w:t xml:space="preserve">Dokument on kokkuvõte kõige asjakohasematest Euroopa Kohtu kohtuasjadest, mis puudutavad direktiivi (EL) 2015/1535 (millega nähakse ette tehnilistest eeskirjadest ning infoühiskonna teenuste eeskirjadest teatamise kord) kohaldamisala ja kohaldatavust. See on suuniseks liikmesriikide esindajatele, tööstusele ja kodanikele. Dokument ei ole ammendav ja selles valdkonnas või olla olemas muid asjakohaseid kohtuasju. Dokument koosneb kolmest põhiosast ja asjaomased kohtuasjad on loetletud kronoloogilises järjestuses (uuemad eespool). </w:t>
      </w:r>
    </w:p>
    <w:p w:rsidR="008F01F8" w:rsidRPr="00977BC2" w:rsidRDefault="008F01F8" w:rsidP="00B25F68">
      <w:pPr>
        <w:jc w:val="both"/>
      </w:pPr>
    </w:p>
    <w:p w:rsidR="008F01F8" w:rsidRPr="00977BC2" w:rsidRDefault="005134D0" w:rsidP="00B25F68">
      <w:pPr>
        <w:pStyle w:val="ListParagraph"/>
        <w:numPr>
          <w:ilvl w:val="0"/>
          <w:numId w:val="18"/>
        </w:numPr>
        <w:jc w:val="both"/>
        <w:rPr>
          <w:color w:val="000000" w:themeColor="text1"/>
        </w:rPr>
      </w:pPr>
      <w:hyperlink w:anchor="First_heading" w:history="1">
        <w:r w:rsidR="00CD6E6A" w:rsidRPr="00977BC2">
          <w:rPr>
            <w:rStyle w:val="Hyperlink"/>
            <w:color w:val="000000" w:themeColor="text1"/>
          </w:rPr>
          <w:t>Direktiivi (EL) 2015/1535 kohaldamisala</w:t>
        </w:r>
      </w:hyperlink>
    </w:p>
    <w:p w:rsidR="008F01F8" w:rsidRPr="00977BC2" w:rsidRDefault="006A4C68" w:rsidP="00B25F68">
      <w:pPr>
        <w:pStyle w:val="ListParagraph"/>
        <w:numPr>
          <w:ilvl w:val="1"/>
          <w:numId w:val="18"/>
        </w:numPr>
        <w:jc w:val="both"/>
        <w:rPr>
          <w:rStyle w:val="Hyperlink"/>
        </w:rPr>
      </w:pPr>
      <w:r w:rsidRPr="00977BC2">
        <w:fldChar w:fldCharType="begin"/>
      </w:r>
      <w:r w:rsidRPr="00977BC2">
        <w:instrText xml:space="preserve"> HYPERLINK  \l "a_heading" </w:instrText>
      </w:r>
      <w:r w:rsidRPr="00977BC2">
        <w:fldChar w:fldCharType="separate"/>
      </w:r>
      <w:r w:rsidRPr="00977BC2">
        <w:rPr>
          <w:rStyle w:val="Hyperlink"/>
        </w:rPr>
        <w:t>Tehnilised eeskirjad</w:t>
      </w:r>
    </w:p>
    <w:p w:rsidR="008F01F8" w:rsidRPr="00977BC2" w:rsidRDefault="006A4C68" w:rsidP="00B25F68">
      <w:pPr>
        <w:pStyle w:val="ListParagraph"/>
        <w:numPr>
          <w:ilvl w:val="1"/>
          <w:numId w:val="18"/>
        </w:numPr>
        <w:jc w:val="both"/>
      </w:pPr>
      <w:r w:rsidRPr="00977BC2">
        <w:fldChar w:fldCharType="end"/>
      </w:r>
      <w:hyperlink w:anchor="b_heading" w:history="1">
        <w:r w:rsidRPr="00977BC2">
          <w:rPr>
            <w:rStyle w:val="Hyperlink"/>
          </w:rPr>
          <w:t>Infoühiskonna teenused</w:t>
        </w:r>
      </w:hyperlink>
    </w:p>
    <w:p w:rsidR="008F01F8" w:rsidRPr="00977BC2" w:rsidRDefault="005134D0" w:rsidP="00B25F68">
      <w:pPr>
        <w:pStyle w:val="ListParagraph"/>
        <w:numPr>
          <w:ilvl w:val="1"/>
          <w:numId w:val="18"/>
        </w:numPr>
        <w:jc w:val="both"/>
      </w:pPr>
      <w:hyperlink w:anchor="c_heading" w:history="1">
        <w:r w:rsidR="00CD6E6A" w:rsidRPr="00977BC2">
          <w:rPr>
            <w:rStyle w:val="Hyperlink"/>
          </w:rPr>
          <w:t>Fiskaalmeetmed</w:t>
        </w:r>
      </w:hyperlink>
    </w:p>
    <w:p w:rsidR="008F01F8" w:rsidRPr="00977BC2" w:rsidRDefault="005134D0" w:rsidP="00B25F68">
      <w:pPr>
        <w:pStyle w:val="ListParagraph"/>
        <w:numPr>
          <w:ilvl w:val="1"/>
          <w:numId w:val="18"/>
        </w:numPr>
        <w:jc w:val="both"/>
      </w:pPr>
      <w:hyperlink w:anchor="d_heading" w:history="1">
        <w:r w:rsidR="00CD6E6A" w:rsidRPr="00977BC2">
          <w:rPr>
            <w:rStyle w:val="Hyperlink"/>
          </w:rPr>
          <w:t>Uuesti teavitamise kohustus</w:t>
        </w:r>
      </w:hyperlink>
    </w:p>
    <w:p w:rsidR="00AE51A7" w:rsidRPr="00977BC2" w:rsidRDefault="00AE51A7" w:rsidP="00B25F68">
      <w:pPr>
        <w:jc w:val="both"/>
      </w:pPr>
    </w:p>
    <w:p w:rsidR="008F01F8" w:rsidRPr="00977BC2" w:rsidRDefault="005134D0" w:rsidP="00B25F68">
      <w:pPr>
        <w:pStyle w:val="ListParagraph"/>
        <w:numPr>
          <w:ilvl w:val="0"/>
          <w:numId w:val="18"/>
        </w:numPr>
        <w:jc w:val="both"/>
      </w:pPr>
      <w:hyperlink w:anchor="Second_heading" w:history="1">
        <w:r w:rsidR="00CD6E6A" w:rsidRPr="00977BC2">
          <w:rPr>
            <w:rStyle w:val="Hyperlink"/>
          </w:rPr>
          <w:t>Mitteteavitamise või enne ooteaja lõppu vastuvõtmise juhtumid</w:t>
        </w:r>
      </w:hyperlink>
      <w:r w:rsidR="00CD6E6A" w:rsidRPr="00977BC2">
        <w:rPr>
          <w:rStyle w:val="Hyperlink"/>
        </w:rPr>
        <w:t xml:space="preserve"> (</w:t>
      </w:r>
      <w:proofErr w:type="spellStart"/>
      <w:r w:rsidR="00CD6E6A" w:rsidRPr="00977BC2">
        <w:rPr>
          <w:rStyle w:val="Hyperlink"/>
        </w:rPr>
        <w:t>kohaldamatus</w:t>
      </w:r>
      <w:proofErr w:type="spellEnd"/>
      <w:r w:rsidR="00CD6E6A" w:rsidRPr="00977BC2">
        <w:rPr>
          <w:rStyle w:val="Hyperlink"/>
        </w:rPr>
        <w:t>)</w:t>
      </w:r>
    </w:p>
    <w:p w:rsidR="00AE51A7" w:rsidRPr="00977BC2" w:rsidRDefault="00AE51A7" w:rsidP="00B25F68">
      <w:pPr>
        <w:ind w:left="720" w:hanging="360"/>
        <w:jc w:val="both"/>
      </w:pPr>
    </w:p>
    <w:p w:rsidR="008F01F8" w:rsidRPr="00977BC2" w:rsidRDefault="005134D0" w:rsidP="00B25F68">
      <w:pPr>
        <w:pStyle w:val="ListParagraph"/>
        <w:numPr>
          <w:ilvl w:val="0"/>
          <w:numId w:val="18"/>
        </w:numPr>
        <w:jc w:val="both"/>
      </w:pPr>
      <w:hyperlink w:anchor="Third_heading" w:history="1">
        <w:r w:rsidR="00CD6E6A" w:rsidRPr="00977BC2">
          <w:rPr>
            <w:rStyle w:val="Hyperlink"/>
          </w:rPr>
          <w:t>Liikmesriigi suutmatus oma kohustusi täita</w:t>
        </w:r>
      </w:hyperlink>
    </w:p>
    <w:p w:rsidR="00794472" w:rsidRPr="00977BC2" w:rsidRDefault="00794472" w:rsidP="00B25F68">
      <w:pPr>
        <w:jc w:val="both"/>
      </w:pPr>
      <w:r w:rsidRPr="00977BC2">
        <w:t xml:space="preserve"> </w:t>
      </w:r>
    </w:p>
    <w:p w:rsidR="00794472" w:rsidRPr="00977BC2" w:rsidRDefault="00794472" w:rsidP="00B25F68">
      <w:pPr>
        <w:jc w:val="both"/>
      </w:pPr>
    </w:p>
    <w:p w:rsidR="006255E9" w:rsidRPr="00977BC2" w:rsidRDefault="006255E9" w:rsidP="00B25F68">
      <w:pPr>
        <w:pStyle w:val="Style1"/>
        <w:jc w:val="left"/>
      </w:pPr>
      <w:r w:rsidRPr="00977BC2">
        <w:br w:type="page"/>
      </w:r>
    </w:p>
    <w:p w:rsidR="00DE6496" w:rsidRPr="00977BC2" w:rsidRDefault="008F01F8" w:rsidP="00B25F68">
      <w:pPr>
        <w:pStyle w:val="Style1"/>
      </w:pPr>
      <w:bookmarkStart w:id="0" w:name="First_heading"/>
      <w:r w:rsidRPr="00977BC2">
        <w:lastRenderedPageBreak/>
        <w:t>I. Direktiivi (EL) 2015/1535 kohaldamisala</w:t>
      </w:r>
    </w:p>
    <w:bookmarkEnd w:id="0"/>
    <w:p w:rsidR="00B65378" w:rsidRPr="00977BC2" w:rsidRDefault="00B65378" w:rsidP="00B25F68">
      <w:pPr>
        <w:jc w:val="both"/>
        <w:rPr>
          <w:rFonts w:eastAsia="Calibri"/>
          <w:b/>
          <w:lang w:eastAsia="en-US"/>
        </w:rPr>
      </w:pPr>
    </w:p>
    <w:p w:rsidR="00600D1E" w:rsidRPr="00977BC2" w:rsidRDefault="008F01F8" w:rsidP="00B25F68">
      <w:pPr>
        <w:jc w:val="both"/>
        <w:rPr>
          <w:rFonts w:eastAsia="Calibri"/>
          <w:b/>
          <w:u w:val="single"/>
        </w:rPr>
      </w:pPr>
      <w:r w:rsidRPr="00977BC2">
        <w:rPr>
          <w:b/>
          <w:u w:val="single"/>
        </w:rPr>
        <w:t>a. Tehnilised eeskirjad</w:t>
      </w:r>
    </w:p>
    <w:p w:rsidR="00600D1E" w:rsidRPr="00977BC2" w:rsidRDefault="00600D1E" w:rsidP="00B25F68">
      <w:pPr>
        <w:jc w:val="both"/>
        <w:rPr>
          <w:rFonts w:eastAsia="Calibri"/>
          <w:b/>
          <w:i/>
          <w:lang w:eastAsia="en-US"/>
        </w:rPr>
      </w:pPr>
    </w:p>
    <w:p w:rsidR="00B83CD6" w:rsidRPr="00977BC2" w:rsidRDefault="00B83CD6" w:rsidP="00B25F68">
      <w:pPr>
        <w:jc w:val="both"/>
        <w:rPr>
          <w:rFonts w:eastAsia="Calibri"/>
          <w:b/>
          <w:i/>
        </w:rPr>
      </w:pPr>
      <w:r w:rsidRPr="00977BC2">
        <w:rPr>
          <w:b/>
          <w:i/>
        </w:rPr>
        <w:t xml:space="preserve">26. septembri 2018. aasta otsus kohtuasjas C-137/17: Van </w:t>
      </w:r>
      <w:proofErr w:type="spellStart"/>
      <w:r w:rsidRPr="00977BC2">
        <w:rPr>
          <w:b/>
          <w:i/>
        </w:rPr>
        <w:t>Gennip</w:t>
      </w:r>
      <w:proofErr w:type="spellEnd"/>
      <w:r w:rsidRPr="00977BC2">
        <w:rPr>
          <w:b/>
          <w:i/>
        </w:rPr>
        <w:t xml:space="preserve"> ja teised (EU:C: 2018:771)</w:t>
      </w:r>
    </w:p>
    <w:p w:rsidR="00B83CD6" w:rsidRPr="00977BC2" w:rsidRDefault="00160B40" w:rsidP="00B25F68">
      <w:pPr>
        <w:jc w:val="both"/>
        <w:rPr>
          <w:rFonts w:eastAsia="Calibri"/>
        </w:rPr>
      </w:pPr>
      <w:r w:rsidRPr="00977BC2">
        <w:t>– Riiklikud sätted, milles sätestatakse, et toodete turustamise suhtes kohaldatakse tingimust, et ostja omab luba, ei kuulu direktiivi (EL) 2015/1535 tähenduses tehnilise eeskirja mõiste alla.</w:t>
      </w:r>
    </w:p>
    <w:p w:rsidR="00B83CD6" w:rsidRPr="00977BC2" w:rsidRDefault="00B83CD6" w:rsidP="00B25F68">
      <w:pPr>
        <w:jc w:val="both"/>
        <w:rPr>
          <w:rFonts w:eastAsia="Calibri"/>
          <w:b/>
          <w:i/>
          <w:lang w:eastAsia="en-US"/>
        </w:rPr>
      </w:pPr>
    </w:p>
    <w:p w:rsidR="00600D1E" w:rsidRPr="00977BC2" w:rsidRDefault="00600D1E" w:rsidP="00B25F68">
      <w:pPr>
        <w:jc w:val="both"/>
        <w:rPr>
          <w:rFonts w:eastAsia="Calibri"/>
          <w:b/>
          <w:i/>
        </w:rPr>
      </w:pPr>
      <w:r w:rsidRPr="00977BC2">
        <w:rPr>
          <w:b/>
          <w:i/>
        </w:rPr>
        <w:t xml:space="preserve">1. veebruari 2017. aasta otsus kohtuasjas C-144/16: </w:t>
      </w:r>
      <w:proofErr w:type="spellStart"/>
      <w:r w:rsidRPr="00977BC2">
        <w:rPr>
          <w:b/>
          <w:i/>
        </w:rPr>
        <w:t>Município</w:t>
      </w:r>
      <w:proofErr w:type="spellEnd"/>
      <w:r w:rsidRPr="00977BC2">
        <w:rPr>
          <w:b/>
          <w:i/>
        </w:rPr>
        <w:t xml:space="preserve"> de </w:t>
      </w:r>
      <w:proofErr w:type="spellStart"/>
      <w:r w:rsidRPr="00977BC2">
        <w:rPr>
          <w:b/>
          <w:i/>
        </w:rPr>
        <w:t>Palmela</w:t>
      </w:r>
      <w:proofErr w:type="spellEnd"/>
      <w:r w:rsidRPr="00977BC2">
        <w:rPr>
          <w:b/>
          <w:i/>
        </w:rPr>
        <w:t xml:space="preserve"> (EU:C:2017:76, punkt 23)</w:t>
      </w:r>
    </w:p>
    <w:p w:rsidR="00600D1E" w:rsidRPr="00977BC2" w:rsidRDefault="00B15802" w:rsidP="00B25F68">
      <w:pPr>
        <w:jc w:val="both"/>
      </w:pPr>
      <w:r w:rsidRPr="00977BC2">
        <w:t>– Säte kujutab endast tehnilist eeskirja direktiivi 98/34/EÜ tähenduses, kuna selles nähakse ette tootele tarbijakaitse eesmärgil esitatavad ohutusnõuded, mis on suunatud kogu turuleviimise järgsele elutsüklile ja mõjutavad olulisel määral sellise toote koostist ja turustamist. See säte kuulub muude nõuete kategooriasse nii direktiivi 83/189/EMÜ artikli 1 lõike 3 kui ka direktiivi 98/34/EÜ artikli 1 lõike 4 tähenduses.</w:t>
      </w:r>
    </w:p>
    <w:p w:rsidR="00600D1E" w:rsidRPr="00977BC2" w:rsidRDefault="00B15802" w:rsidP="00B25F68">
      <w:pPr>
        <w:jc w:val="both"/>
      </w:pPr>
      <w:r w:rsidRPr="00977BC2">
        <w:t>– Eeskiri, millega kehtestatakse nõue näidata mängu- ja puhkealal mitmes kohas teavet ala maksimaalse mahutavuse kohta, ei ole tehniline eeskiri direktiivi 98/34/EÜ tähenduses.</w:t>
      </w:r>
    </w:p>
    <w:p w:rsidR="00600D1E" w:rsidRPr="00977BC2" w:rsidRDefault="00600D1E" w:rsidP="00B25F68">
      <w:pPr>
        <w:jc w:val="both"/>
      </w:pPr>
    </w:p>
    <w:p w:rsidR="00600D1E" w:rsidRPr="00977BC2" w:rsidRDefault="00600D1E" w:rsidP="00B25F68">
      <w:pPr>
        <w:jc w:val="both"/>
        <w:rPr>
          <w:rFonts w:eastAsia="Calibri"/>
          <w:b/>
          <w:i/>
        </w:rPr>
      </w:pPr>
      <w:r w:rsidRPr="00977BC2">
        <w:rPr>
          <w:b/>
          <w:i/>
        </w:rPr>
        <w:t>27. oktoobri 2016. aasta otsus kohtuasjas C-613/14: James Elliott Construction (EU:C:2016:821, punkt 72)</w:t>
      </w:r>
    </w:p>
    <w:p w:rsidR="00600D1E" w:rsidRPr="00977BC2" w:rsidRDefault="00600D1E" w:rsidP="00B25F68">
      <w:pPr>
        <w:jc w:val="both"/>
        <w:rPr>
          <w:rFonts w:eastAsia="Calibri"/>
          <w:lang w:eastAsia="en-US"/>
        </w:rPr>
      </w:pPr>
    </w:p>
    <w:p w:rsidR="00600D1E" w:rsidRPr="00977BC2" w:rsidRDefault="00160B40" w:rsidP="00B25F68">
      <w:pPr>
        <w:jc w:val="both"/>
        <w:rPr>
          <w:rFonts w:eastAsia="Calibri"/>
        </w:rPr>
      </w:pPr>
      <w:r w:rsidRPr="00977BC2">
        <w:t>– Riiklikud sätted, millega nähakse ette, et kui pooled ei lepi kokku teisiti, siis kohaldatakse toodete müügi- ja kasutuskõlblikkuse või kvaliteedi suhtes vaikimisi lepingutingimusi, ei kujuta endast tehnilisi eeskirju direktiivi 98/34/EÜ artikli 1 lõike 11 tähenduses.</w:t>
      </w:r>
    </w:p>
    <w:p w:rsidR="00600D1E" w:rsidRPr="00977BC2" w:rsidRDefault="00600D1E" w:rsidP="00B25F68">
      <w:pPr>
        <w:jc w:val="both"/>
        <w:rPr>
          <w:rFonts w:eastAsia="Calibri"/>
          <w:highlight w:val="green"/>
          <w:lang w:eastAsia="en-US"/>
        </w:rPr>
      </w:pPr>
    </w:p>
    <w:p w:rsidR="00600D1E" w:rsidRPr="00977BC2" w:rsidRDefault="00600D1E" w:rsidP="00B25F68">
      <w:pPr>
        <w:jc w:val="both"/>
        <w:rPr>
          <w:rFonts w:eastAsia="Calibri"/>
          <w:b/>
          <w:i/>
        </w:rPr>
      </w:pPr>
      <w:r w:rsidRPr="00977BC2">
        <w:rPr>
          <w:b/>
          <w:i/>
        </w:rPr>
        <w:t>13. oktoobri 2016. aasta otsus kohtuasjas C-303/15: M. ja S. (EU:C:2016:771, punktid 23–31)</w:t>
      </w:r>
    </w:p>
    <w:p w:rsidR="00600D1E" w:rsidRPr="00977BC2" w:rsidRDefault="00600D1E" w:rsidP="00B25F68">
      <w:pPr>
        <w:jc w:val="both"/>
      </w:pPr>
    </w:p>
    <w:p w:rsidR="00600D1E" w:rsidRPr="00977BC2" w:rsidRDefault="00B15802" w:rsidP="00B25F68">
      <w:pPr>
        <w:jc w:val="both"/>
      </w:pPr>
      <w:r w:rsidRPr="00977BC2">
        <w:t xml:space="preserve">– Liikmesriigi õigusaktide sätete puhul, millega nähakse ette ettevõtjate asutamise või nende poolt teenuste osutamise tingimused, näiteks sätted, mille kohaselt kutsetegevuse tegemiseks on vajalik eelnev luba, ei ole tegemist tehniliste eeskirjadega direktiivi 98/34/EÜ artikli 1 lõike 11 tähenduses. </w:t>
      </w:r>
    </w:p>
    <w:p w:rsidR="00600D1E" w:rsidRPr="00977BC2" w:rsidRDefault="00B15802" w:rsidP="00B25F68">
      <w:pPr>
        <w:jc w:val="both"/>
      </w:pPr>
      <w:r w:rsidRPr="00977BC2">
        <w:t xml:space="preserve">– Riiklik meede, millega lubatakse teatavate hasartmängude korraldamine üksnes kasiinodes, kujutab endast tehnilist eeskirja direktiivi 98/34/EÜ artikli 1 lõike 11 tähenduses, kuivõrd see võib selles kontekstis oluliselt mõjutada asjaomaste toodete olemust või turustamist, ning teiseks võib teatud toodete mujal kui kasiinos käitamise keeld oluliselt mõjutada nende toodete turustamist, vähendades nende käitamisväljundeid. Säte, mille kohaselt on ruleti, kaardimängude, täringumängude ja mänguautomaatide käitamise jaoks vaja kasiino tegevusluba, ei ole tehniline spetsifikatsioon direktiivi 98/34/EÜ artikli 1 lõike 3 tähenduses, sest selles ei viidata tootele ega selle pakendile kui sellisele ega sätestata mõnda toote nõutavat omadust. Seda sätet ei saa liigitada infoühiskonna „teenuseid puudutava eeskirja“ kategooriasse direktiivi 98/34/EÜ artikli 1 lõike 5 tähenduses, sest sellega ei käsitleta „infoühiskonna teenuseid“ selle direktiivi artikli 1 lõike 2 mõttes. </w:t>
      </w:r>
    </w:p>
    <w:p w:rsidR="00295CA4" w:rsidRPr="00977BC2" w:rsidRDefault="00295CA4" w:rsidP="00B25F68">
      <w:pPr>
        <w:jc w:val="both"/>
      </w:pPr>
    </w:p>
    <w:p w:rsidR="00295CA4" w:rsidRPr="00977BC2" w:rsidRDefault="00295CA4" w:rsidP="00B25F68">
      <w:pPr>
        <w:jc w:val="both"/>
        <w:rPr>
          <w:rFonts w:eastAsia="Calibri"/>
          <w:b/>
          <w:i/>
        </w:rPr>
      </w:pPr>
      <w:r w:rsidRPr="00977BC2">
        <w:rPr>
          <w:b/>
          <w:i/>
        </w:rPr>
        <w:t xml:space="preserve">11. juuni 2015. aasta otsus kohtuasjas C-98/14: </w:t>
      </w:r>
      <w:proofErr w:type="spellStart"/>
      <w:r w:rsidRPr="00977BC2">
        <w:rPr>
          <w:b/>
          <w:i/>
        </w:rPr>
        <w:t>Berlington</w:t>
      </w:r>
      <w:proofErr w:type="spellEnd"/>
      <w:r w:rsidRPr="00977BC2">
        <w:rPr>
          <w:b/>
          <w:i/>
        </w:rPr>
        <w:t xml:space="preserve"> </w:t>
      </w:r>
      <w:proofErr w:type="spellStart"/>
      <w:r w:rsidRPr="00977BC2">
        <w:rPr>
          <w:b/>
          <w:i/>
        </w:rPr>
        <w:t>Hungary</w:t>
      </w:r>
      <w:proofErr w:type="spellEnd"/>
      <w:r w:rsidRPr="00977BC2">
        <w:rPr>
          <w:b/>
          <w:i/>
        </w:rPr>
        <w:t xml:space="preserve"> ja teised (EU:C:2015:386, punktid 42 ja 98–99)</w:t>
      </w:r>
    </w:p>
    <w:p w:rsidR="00295CA4" w:rsidRPr="00977BC2" w:rsidRDefault="00295CA4" w:rsidP="00B25F68">
      <w:pPr>
        <w:jc w:val="both"/>
        <w:rPr>
          <w:rFonts w:eastAsia="Calibri"/>
          <w:lang w:eastAsia="en-US"/>
        </w:rPr>
      </w:pPr>
    </w:p>
    <w:p w:rsidR="00295CA4" w:rsidRPr="00977BC2" w:rsidRDefault="00B15802" w:rsidP="00B25F68">
      <w:pPr>
        <w:jc w:val="both"/>
        <w:rPr>
          <w:rFonts w:eastAsia="Calibri"/>
        </w:rPr>
      </w:pPr>
      <w:r w:rsidRPr="00977BC2">
        <w:t>– Liikmesriigi õigusaktide sätted, millega mängukoha mänguautomaatide käitamiselt võetava kindlasummalise maksu määr üleminekuaega ette nägemata viiekordistatakse ning kehtestatakse lisaks sellele nimetatud tegevuselt võetav proportsionaalne maks, ei ole direktiivi 98/34/EÜ mõistes tehnilised eeskirjad.</w:t>
      </w:r>
    </w:p>
    <w:p w:rsidR="00295CA4" w:rsidRPr="00977BC2" w:rsidRDefault="00B15802" w:rsidP="00B25F68">
      <w:pPr>
        <w:jc w:val="both"/>
      </w:pPr>
      <w:r w:rsidRPr="00977BC2">
        <w:lastRenderedPageBreak/>
        <w:t>– Liikmesriigi õigusaktide sätted, millega keelatakse käitada mänguautomaate mujal kui kasiinos, on tehnilised eeskirjad direktiivi 98/34/EÜ tähenduses, kui see võib sellises kontekstis oluliselt mõjutada nende automaatide olemust või turustamist.</w:t>
      </w:r>
    </w:p>
    <w:p w:rsidR="00295CA4" w:rsidRPr="00977BC2" w:rsidRDefault="00295CA4" w:rsidP="00B25F68">
      <w:pPr>
        <w:jc w:val="both"/>
      </w:pPr>
    </w:p>
    <w:p w:rsidR="00B15802" w:rsidRPr="00977BC2" w:rsidRDefault="00B15802" w:rsidP="00B25F68">
      <w:pPr>
        <w:jc w:val="both"/>
        <w:rPr>
          <w:rFonts w:eastAsia="Calibri"/>
          <w:b/>
          <w:i/>
        </w:rPr>
      </w:pPr>
      <w:r w:rsidRPr="00977BC2">
        <w:rPr>
          <w:b/>
          <w:i/>
        </w:rPr>
        <w:t>10. juuli 2014. aasta otsus kohtuasjas C</w:t>
      </w:r>
      <w:r w:rsidRPr="00977BC2">
        <w:rPr>
          <w:rFonts w:ascii="MS Gothic" w:hAnsi="MS Gothic"/>
          <w:b/>
          <w:i/>
        </w:rPr>
        <w:t>-</w:t>
      </w:r>
      <w:r w:rsidRPr="00977BC2">
        <w:rPr>
          <w:b/>
          <w:i/>
        </w:rPr>
        <w:t xml:space="preserve">307/13: </w:t>
      </w:r>
      <w:proofErr w:type="spellStart"/>
      <w:r w:rsidRPr="00977BC2">
        <w:rPr>
          <w:b/>
          <w:i/>
        </w:rPr>
        <w:t>Ivansson</w:t>
      </w:r>
      <w:proofErr w:type="spellEnd"/>
      <w:r w:rsidRPr="00977BC2">
        <w:rPr>
          <w:b/>
          <w:i/>
        </w:rPr>
        <w:t xml:space="preserve"> ja teised (EU:C:2014:2058, punktid 30–31, 46–50)</w:t>
      </w:r>
    </w:p>
    <w:p w:rsidR="00B15802" w:rsidRPr="00977BC2" w:rsidRDefault="00B15802" w:rsidP="00B25F68">
      <w:pPr>
        <w:jc w:val="both"/>
        <w:rPr>
          <w:rFonts w:eastAsia="Calibri"/>
          <w:lang w:eastAsia="en-US"/>
        </w:rPr>
      </w:pPr>
    </w:p>
    <w:p w:rsidR="00B15802" w:rsidRPr="00977BC2" w:rsidRDefault="00B15802" w:rsidP="00B25F68">
      <w:pPr>
        <w:jc w:val="both"/>
        <w:rPr>
          <w:rFonts w:eastAsia="Calibri"/>
        </w:rPr>
      </w:pPr>
      <w:r w:rsidRPr="00977BC2">
        <w:t>– Viide üksikasjalikumatele halduseeskirjadele võib eeldusel, et neid eeskirju võib ise pidada „tehnilisteks kirjeldusteks“ või „muudeks nõueteks“, muuta teatise eelnõu „</w:t>
      </w:r>
      <w:r w:rsidRPr="00977BC2">
        <w:rPr>
          <w:i/>
          <w:iCs/>
        </w:rPr>
        <w:t>de facto</w:t>
      </w:r>
      <w:r w:rsidRPr="00977BC2">
        <w:t xml:space="preserve"> tehniliseks eeskirjaks“.</w:t>
      </w:r>
    </w:p>
    <w:p w:rsidR="00B15802" w:rsidRPr="00977BC2" w:rsidRDefault="00B15802" w:rsidP="00B25F68">
      <w:pPr>
        <w:jc w:val="both"/>
        <w:rPr>
          <w:rFonts w:eastAsia="Calibri"/>
        </w:rPr>
      </w:pPr>
      <w:r w:rsidRPr="00977BC2">
        <w:t xml:space="preserve">– Riiklike ametiasutuste lõpuks valitud riikliku meetme jõustumise kuupäeva suhtes kohaldatakse Euroopa Komisjoni teavitamise kohustust, mis on sätestatud direktiivi 98/34/EÜ artikli 8 lõike 1 kolmandas lõigus, kui riikliku meetme rakendamise ajakava muudeti ja see oli oluline – seda asjaolu peab kontrollima riiklik kohus. </w:t>
      </w:r>
    </w:p>
    <w:p w:rsidR="00B15802" w:rsidRPr="00977BC2" w:rsidRDefault="00B15802" w:rsidP="00B25F68">
      <w:pPr>
        <w:jc w:val="both"/>
        <w:rPr>
          <w:rFonts w:eastAsia="Calibri"/>
        </w:rPr>
      </w:pPr>
      <w:r w:rsidRPr="00977BC2">
        <w:t xml:space="preserve">– Algselt riiklike ametiasutuste poolt tehnilise eeskirja jõustumiseks ja rakendamiseks valitud ajakava olulise lühendamise suhtes kehtib Euroopa Komisjoni teavitamise kohustus, mis on sätestatud direktiivi 98/34/EÜ artikli 8 lõike 1 kolmandas lõigus. Sellise teavitamise puudumine muudaks asjaomase riikliku meetme </w:t>
      </w:r>
      <w:proofErr w:type="spellStart"/>
      <w:r w:rsidRPr="00977BC2">
        <w:t>kohaldamatuks</w:t>
      </w:r>
      <w:proofErr w:type="spellEnd"/>
      <w:r w:rsidRPr="00977BC2">
        <w:t xml:space="preserve"> ning seega isikute suhtes </w:t>
      </w:r>
      <w:proofErr w:type="spellStart"/>
      <w:r w:rsidRPr="00977BC2">
        <w:t>jõustamatuks</w:t>
      </w:r>
      <w:proofErr w:type="spellEnd"/>
      <w:r w:rsidRPr="00977BC2">
        <w:t>.</w:t>
      </w:r>
    </w:p>
    <w:p w:rsidR="00B15802" w:rsidRPr="00977BC2" w:rsidRDefault="00B15802" w:rsidP="00B25F68">
      <w:pPr>
        <w:jc w:val="both"/>
        <w:rPr>
          <w:rFonts w:eastAsia="Calibri"/>
          <w:b/>
          <w:i/>
          <w:highlight w:val="green"/>
          <w:lang w:eastAsia="en-US"/>
        </w:rPr>
      </w:pPr>
    </w:p>
    <w:p w:rsidR="00295CA4" w:rsidRPr="00977BC2" w:rsidRDefault="00295CA4" w:rsidP="00B25F68">
      <w:pPr>
        <w:jc w:val="both"/>
        <w:rPr>
          <w:rFonts w:eastAsia="Calibri"/>
          <w:b/>
          <w:i/>
        </w:rPr>
      </w:pPr>
      <w:r w:rsidRPr="00977BC2">
        <w:rPr>
          <w:b/>
          <w:i/>
        </w:rPr>
        <w:t xml:space="preserve">19. juuli 2012. aasta otsus kohtuasjades C-213/11 ja C-217/11: </w:t>
      </w:r>
      <w:proofErr w:type="spellStart"/>
      <w:r w:rsidRPr="00977BC2">
        <w:rPr>
          <w:b/>
          <w:i/>
        </w:rPr>
        <w:t>Fortuna</w:t>
      </w:r>
      <w:proofErr w:type="spellEnd"/>
      <w:r w:rsidRPr="00977BC2">
        <w:rPr>
          <w:b/>
          <w:i/>
        </w:rPr>
        <w:t xml:space="preserve"> ja teised (EU:C:2012:495, punktid 25 ja 40)</w:t>
      </w:r>
    </w:p>
    <w:p w:rsidR="00295CA4" w:rsidRPr="00977BC2" w:rsidRDefault="00295CA4" w:rsidP="00B25F68">
      <w:pPr>
        <w:jc w:val="both"/>
      </w:pPr>
    </w:p>
    <w:p w:rsidR="00DB04B3" w:rsidRPr="00977BC2" w:rsidRDefault="00160B40" w:rsidP="00B25F68">
      <w:pPr>
        <w:jc w:val="both"/>
      </w:pPr>
      <w:r w:rsidRPr="00977BC2">
        <w:t xml:space="preserve">– Riiklikud sätted, millega võidakse piirata või isegi muuta järk-järgult võimatuks piiratud võidusummadega mänguautomaatide käitamise mujal kui kasiinodes ja mängusaalides, võivad endast kujutada tehnilisi eeskirju, kuivõrd on kindlaks tehtud, et need sätted sisaldavad tingimusi, mis võivad märkimisväärselt mõjutada asjaomase toote olemust või turustamist. </w:t>
      </w:r>
    </w:p>
    <w:p w:rsidR="00295CA4" w:rsidRPr="00977BC2" w:rsidRDefault="00160B40" w:rsidP="00B25F68">
      <w:pPr>
        <w:jc w:val="both"/>
      </w:pPr>
      <w:r w:rsidRPr="00977BC2">
        <w:t>– Meedet, millega lubatakse mänguautomaatidel mängitavaid hasartmänge korraldada üksnes kasiinodes, tuleb lugeda tehniliseks eeskirjaks direktiivi 98/34/EÜ artikli 1 punkti 11 tähenduses.</w:t>
      </w:r>
    </w:p>
    <w:p w:rsidR="00295CA4" w:rsidRPr="00977BC2" w:rsidRDefault="00295CA4" w:rsidP="00B25F68">
      <w:pPr>
        <w:jc w:val="both"/>
        <w:rPr>
          <w:rFonts w:eastAsia="Calibri"/>
          <w:b/>
          <w:i/>
          <w:highlight w:val="green"/>
          <w:lang w:eastAsia="en-US"/>
        </w:rPr>
      </w:pPr>
    </w:p>
    <w:p w:rsidR="00295CA4" w:rsidRPr="00977BC2" w:rsidRDefault="00295CA4" w:rsidP="00B25F68">
      <w:pPr>
        <w:jc w:val="both"/>
        <w:rPr>
          <w:rFonts w:eastAsia="Calibri"/>
          <w:b/>
          <w:i/>
        </w:rPr>
      </w:pPr>
      <w:r w:rsidRPr="00977BC2">
        <w:rPr>
          <w:b/>
          <w:i/>
        </w:rPr>
        <w:t xml:space="preserve">14. aprilli 2011. aasta otsus liidetud kohtuasjades C-42/10, C-45/10 ja C-57/10: </w:t>
      </w:r>
      <w:proofErr w:type="spellStart"/>
      <w:r w:rsidRPr="00977BC2">
        <w:rPr>
          <w:b/>
          <w:i/>
        </w:rPr>
        <w:t>Vlaamse</w:t>
      </w:r>
      <w:proofErr w:type="spellEnd"/>
      <w:r w:rsidRPr="00977BC2">
        <w:rPr>
          <w:b/>
          <w:i/>
        </w:rPr>
        <w:t xml:space="preserve"> </w:t>
      </w:r>
      <w:proofErr w:type="spellStart"/>
      <w:r w:rsidRPr="00977BC2">
        <w:rPr>
          <w:b/>
          <w:i/>
        </w:rPr>
        <w:t>Dierenartsenvereniging</w:t>
      </w:r>
      <w:proofErr w:type="spellEnd"/>
      <w:r w:rsidRPr="00977BC2">
        <w:rPr>
          <w:b/>
          <w:i/>
        </w:rPr>
        <w:t xml:space="preserve"> VZW ja </w:t>
      </w:r>
      <w:proofErr w:type="spellStart"/>
      <w:r w:rsidRPr="00977BC2">
        <w:rPr>
          <w:b/>
          <w:i/>
        </w:rPr>
        <w:t>Janssens</w:t>
      </w:r>
      <w:proofErr w:type="spellEnd"/>
      <w:r w:rsidRPr="00977BC2">
        <w:rPr>
          <w:b/>
          <w:i/>
        </w:rPr>
        <w:t xml:space="preserve"> (EU:C:2011:253, punktid 69, 70) </w:t>
      </w:r>
    </w:p>
    <w:p w:rsidR="00295CA4" w:rsidRPr="00977BC2" w:rsidRDefault="00295CA4" w:rsidP="00B25F68">
      <w:pPr>
        <w:jc w:val="both"/>
        <w:rPr>
          <w:rFonts w:eastAsia="Calibri"/>
          <w:lang w:eastAsia="en-US"/>
        </w:rPr>
      </w:pPr>
    </w:p>
    <w:p w:rsidR="00295CA4" w:rsidRPr="00977BC2" w:rsidRDefault="00160B40" w:rsidP="00B25F68">
      <w:pPr>
        <w:jc w:val="both"/>
        <w:rPr>
          <w:rFonts w:eastAsia="Calibri"/>
        </w:rPr>
      </w:pPr>
      <w:r w:rsidRPr="00977BC2">
        <w:t>– Direktiiv 98/34/EÜ ei käsitle lemmikloomapasse, mida ei saa klassifitseerida toodeteks (need ei saa olla kaubanduslike tehingute esemeteks).</w:t>
      </w:r>
    </w:p>
    <w:p w:rsidR="00295CA4" w:rsidRPr="00977BC2" w:rsidRDefault="00160B40" w:rsidP="00B25F68">
      <w:pPr>
        <w:jc w:val="both"/>
        <w:rPr>
          <w:rFonts w:eastAsia="Calibri"/>
        </w:rPr>
      </w:pPr>
      <w:r w:rsidRPr="00977BC2">
        <w:t>– Riiklikud sätted, mis käsitlevad lemmikloomapasse ja mis näevad esiteks selle kasutamise ette nii koerte identifitseerimise kui ka registreerimise tõendina ning selle, et muudatuste tegemiseks looma ja omaniku nimes kasutatakse isekleepuvaid etikette, ning teiseks sellised sätted, mis on seotud kasside ja valgetuhkrute unikaalse numbri koostamisega, ei kujuta endast tehnilisi eeskirju direktiivi 98/34/EÜ artikli 1 tähenduses, millest tuleb kooskõlas selle direktiivi artikliga 8 eelnevalt komisjonile teatada.</w:t>
      </w:r>
    </w:p>
    <w:p w:rsidR="00295CA4" w:rsidRPr="00977BC2" w:rsidRDefault="00295CA4" w:rsidP="00B25F68">
      <w:pPr>
        <w:jc w:val="both"/>
      </w:pPr>
    </w:p>
    <w:p w:rsidR="00295CA4" w:rsidRPr="00977BC2" w:rsidRDefault="00295CA4" w:rsidP="00B25F68">
      <w:pPr>
        <w:jc w:val="both"/>
        <w:rPr>
          <w:rFonts w:eastAsia="Calibri"/>
          <w:b/>
          <w:i/>
        </w:rPr>
      </w:pPr>
      <w:r w:rsidRPr="00977BC2">
        <w:rPr>
          <w:b/>
          <w:i/>
        </w:rPr>
        <w:t xml:space="preserve">8. novembri 2007. aasta otsus kohtuasjas C-20/05: </w:t>
      </w:r>
      <w:proofErr w:type="spellStart"/>
      <w:r w:rsidRPr="00977BC2">
        <w:rPr>
          <w:b/>
          <w:i/>
        </w:rPr>
        <w:t>Schwibbert</w:t>
      </w:r>
      <w:proofErr w:type="spellEnd"/>
      <w:r w:rsidRPr="00977BC2">
        <w:rPr>
          <w:b/>
          <w:i/>
        </w:rPr>
        <w:t xml:space="preserve"> (EU:C:2007:652, punkt 45) </w:t>
      </w:r>
    </w:p>
    <w:p w:rsidR="00295CA4" w:rsidRPr="00977BC2" w:rsidRDefault="00295CA4" w:rsidP="00B25F68">
      <w:pPr>
        <w:jc w:val="both"/>
      </w:pPr>
    </w:p>
    <w:p w:rsidR="00295CA4" w:rsidRPr="00977BC2" w:rsidRDefault="00160B40" w:rsidP="00B25F68">
      <w:pPr>
        <w:jc w:val="both"/>
      </w:pPr>
      <w:r w:rsidRPr="00977BC2">
        <w:t>– Riiklikud sätted, millega kehtestatakse kohustus kinnitada toodetele asjassepuutuvas liikmesriigis nende turustamise eesmärgil eritähis, kujutavad endast tehnilisi eeskirju, millele ei saa tugineda üksikisiku vastu, kui neist komisjonile teatatud ei ole.</w:t>
      </w:r>
    </w:p>
    <w:p w:rsidR="00295CA4" w:rsidRPr="00977BC2" w:rsidRDefault="00295CA4" w:rsidP="00B25F68">
      <w:pPr>
        <w:jc w:val="center"/>
        <w:rPr>
          <w:rFonts w:eastAsia="Calibri"/>
          <w:b/>
          <w:i/>
          <w:lang w:eastAsia="en-US"/>
        </w:rPr>
      </w:pPr>
    </w:p>
    <w:p w:rsidR="00295CA4" w:rsidRPr="00977BC2" w:rsidRDefault="00295CA4" w:rsidP="00B25F68">
      <w:pPr>
        <w:jc w:val="both"/>
        <w:rPr>
          <w:rFonts w:eastAsia="Calibri"/>
          <w:b/>
          <w:i/>
        </w:rPr>
      </w:pPr>
      <w:r w:rsidRPr="00977BC2">
        <w:rPr>
          <w:b/>
          <w:i/>
        </w:rPr>
        <w:t>26. oktoobri 2006. aasta otsus kohtuasjas C-65/05: komisjon vs Kreeka (EU:C:2006:673, punkt 11)</w:t>
      </w:r>
    </w:p>
    <w:p w:rsidR="00295CA4" w:rsidRPr="00977BC2" w:rsidRDefault="00295CA4" w:rsidP="00B25F68">
      <w:pPr>
        <w:jc w:val="both"/>
      </w:pPr>
    </w:p>
    <w:p w:rsidR="00295CA4" w:rsidRPr="00977BC2" w:rsidRDefault="00160B40" w:rsidP="00B25F68">
      <w:pPr>
        <w:jc w:val="both"/>
      </w:pPr>
      <w:r w:rsidRPr="00977BC2">
        <w:lastRenderedPageBreak/>
        <w:t xml:space="preserve">– Meetmed, millega keelatakse elektriliste, </w:t>
      </w:r>
      <w:proofErr w:type="spellStart"/>
      <w:r w:rsidRPr="00977BC2">
        <w:t>elektromehaaniliste</w:t>
      </w:r>
      <w:proofErr w:type="spellEnd"/>
      <w:r w:rsidRPr="00977BC2">
        <w:t xml:space="preserve"> ja elektrooniliste mängude (k.a arvutimängude) paigaldamine avalikku ja eravaldusesse, v.a kasiinodesse, ja arvutimängude kasutamine internetiteenuseid osutavates ettevõtetes ning millega kehtestatakse niisugustele ettevõtetele eriloa taotlemise kohustus, tuleb lugeda tehnilisteks eeskirjadeks direktiivi 98/34/EÜ artikli 1 lõike 11 tähenduses.</w:t>
      </w:r>
    </w:p>
    <w:p w:rsidR="00295CA4" w:rsidRPr="00977BC2" w:rsidRDefault="00295CA4" w:rsidP="00B25F68">
      <w:pPr>
        <w:jc w:val="both"/>
        <w:rPr>
          <w:rFonts w:eastAsia="Calibri"/>
          <w:b/>
          <w:i/>
          <w:lang w:eastAsia="en-US"/>
        </w:rPr>
      </w:pPr>
    </w:p>
    <w:p w:rsidR="00295CA4" w:rsidRPr="00977BC2" w:rsidRDefault="00295CA4" w:rsidP="00B25F68">
      <w:pPr>
        <w:jc w:val="both"/>
        <w:rPr>
          <w:rFonts w:eastAsia="Calibri"/>
          <w:b/>
          <w:i/>
        </w:rPr>
      </w:pPr>
      <w:r w:rsidRPr="00977BC2">
        <w:rPr>
          <w:b/>
          <w:i/>
        </w:rPr>
        <w:t>8. septembri 2005. aasta otsus kohtuasjas C-303/04: Lidl Italia (EU:C:2005:528, punkt 14)</w:t>
      </w:r>
    </w:p>
    <w:p w:rsidR="00295CA4" w:rsidRPr="00977BC2" w:rsidRDefault="00295CA4" w:rsidP="00B25F68"/>
    <w:p w:rsidR="00295CA4" w:rsidRPr="00977BC2" w:rsidRDefault="00160B40" w:rsidP="00B25F68">
      <w:r w:rsidRPr="00977BC2">
        <w:t>– Liikmesriigi õigusakti säte, mis sisaldab selliste toodete turustamise keeldu, mis ei ole valmistatud teatavatest materjalidest, on tehniline eeskiri.</w:t>
      </w:r>
    </w:p>
    <w:p w:rsidR="00CE6151" w:rsidRPr="00977BC2" w:rsidRDefault="00CE6151" w:rsidP="00B25F68"/>
    <w:p w:rsidR="00B15802" w:rsidRPr="00977BC2" w:rsidRDefault="00B15802" w:rsidP="00B25F68">
      <w:pPr>
        <w:jc w:val="both"/>
        <w:rPr>
          <w:rFonts w:eastAsia="Calibri"/>
          <w:b/>
          <w:i/>
        </w:rPr>
      </w:pPr>
      <w:r w:rsidRPr="00977BC2">
        <w:rPr>
          <w:b/>
          <w:i/>
        </w:rPr>
        <w:t>21. aprilli 2005. aasta otsus kohtuasjas C</w:t>
      </w:r>
      <w:r w:rsidRPr="00977BC2">
        <w:rPr>
          <w:b/>
          <w:i/>
        </w:rPr>
        <w:noBreakHyphen/>
        <w:t xml:space="preserve">267/03: </w:t>
      </w:r>
      <w:proofErr w:type="spellStart"/>
      <w:r w:rsidRPr="00977BC2">
        <w:rPr>
          <w:b/>
          <w:i/>
        </w:rPr>
        <w:t>Lindberg</w:t>
      </w:r>
      <w:proofErr w:type="spellEnd"/>
      <w:r w:rsidRPr="00977BC2">
        <w:rPr>
          <w:b/>
          <w:i/>
        </w:rPr>
        <w:t xml:space="preserve"> (EU:C:2005:246, punktid 80, 85, 95)</w:t>
      </w:r>
    </w:p>
    <w:p w:rsidR="00B15802" w:rsidRPr="00977BC2" w:rsidRDefault="00B15802" w:rsidP="00B25F68">
      <w:pPr>
        <w:jc w:val="both"/>
      </w:pPr>
    </w:p>
    <w:p w:rsidR="00B15802" w:rsidRPr="00977BC2" w:rsidRDefault="00DB04B3" w:rsidP="00B25F68">
      <w:pPr>
        <w:jc w:val="both"/>
      </w:pPr>
      <w:r w:rsidRPr="00977BC2">
        <w:t>– Liikmesriigi õigusaktis toote disainiga seotud teenuse uuesti määratlemine võib olla tehniline eeskiri, millest tuleb teavitada, kui uus õigusakt ei piirdu pelgalt olemasolevate tehniliste eeskirjade uuesti sätestamise või asendamisega ilma sinna uusi või täiendavaid kirjeldusi lisamata, juhul kui need võeti asjaomases liikmesriigis vastu pärast direktiivi 83/189/EMÜ jõustumist ning nendest on nõuetekohaselt teavitatud.</w:t>
      </w:r>
    </w:p>
    <w:p w:rsidR="00B15802" w:rsidRPr="00977BC2" w:rsidRDefault="00DB04B3" w:rsidP="00B25F68">
      <w:pPr>
        <w:jc w:val="both"/>
      </w:pPr>
      <w:r w:rsidRPr="00977BC2">
        <w:t>– Liikmesriigi õigusaktides tegevusloa nõude asendamine keeluga võib teavitamiskohustust silmas pidades olla oluline asjaolu.</w:t>
      </w:r>
    </w:p>
    <w:p w:rsidR="00B15802" w:rsidRPr="00977BC2" w:rsidRDefault="00DB04B3" w:rsidP="00B25F68">
      <w:pPr>
        <w:jc w:val="both"/>
        <w:rPr>
          <w:rFonts w:eastAsia="Calibri"/>
          <w:b/>
          <w:i/>
        </w:rPr>
      </w:pPr>
      <w:r w:rsidRPr="00977BC2">
        <w:t>– Toote või teenuse suurem või väiksem väärtus või toote või teenuse turu suurus on asjaolud, mis ei ole nimetatud direktiivis sätestatud teavitamiskohustuse puhul asjassepuutuvad.</w:t>
      </w:r>
      <w:r w:rsidRPr="00977BC2">
        <w:rPr>
          <w:b/>
          <w:i/>
        </w:rPr>
        <w:t xml:space="preserve"> </w:t>
      </w:r>
    </w:p>
    <w:p w:rsidR="00B15802" w:rsidRPr="00977BC2" w:rsidRDefault="00DB04B3" w:rsidP="00B25F68">
      <w:pPr>
        <w:jc w:val="both"/>
      </w:pPr>
      <w:r w:rsidRPr="00977BC2">
        <w:t>– Riiklikud sätted, milles sisaldub keeld korraldada hasartmänge teatavaid mänguautomaate kasutades, võivad olla tehnilised eeskirjad direktiivi 83/189/EMÜ tähenduses, kui on tehtud kindlaks, et asjaomase keelu mõju on selline, et see ei jäta ruumi ühelegi muule kasutamisele kui puhtalt marginaalsele kasutamisele, mida võiks mõistlikult asjaomase tootega seoses oodata või, kui see ei ole nii, siis kui on tehtud kindlaks, et see keeld võib oluliselt mõjutada nimetatud toote koostist, olemust või turustamist.</w:t>
      </w:r>
    </w:p>
    <w:p w:rsidR="00CE6151" w:rsidRPr="00977BC2" w:rsidRDefault="00CE6151" w:rsidP="00B25F68"/>
    <w:p w:rsidR="00CE6151" w:rsidRPr="00977BC2" w:rsidRDefault="00CE6151" w:rsidP="00B25F68">
      <w:pPr>
        <w:rPr>
          <w:rFonts w:eastAsia="Calibri"/>
          <w:b/>
          <w:i/>
        </w:rPr>
      </w:pPr>
      <w:r w:rsidRPr="00977BC2">
        <w:rPr>
          <w:b/>
          <w:i/>
        </w:rPr>
        <w:t xml:space="preserve">6. juuni 2002. aasta otsus kohtuasjas C-159/00: </w:t>
      </w:r>
      <w:proofErr w:type="spellStart"/>
      <w:r w:rsidRPr="00977BC2">
        <w:rPr>
          <w:b/>
          <w:i/>
        </w:rPr>
        <w:t>Sapod</w:t>
      </w:r>
      <w:proofErr w:type="spellEnd"/>
      <w:r w:rsidRPr="00977BC2">
        <w:rPr>
          <w:b/>
          <w:i/>
        </w:rPr>
        <w:t xml:space="preserve"> </w:t>
      </w:r>
      <w:proofErr w:type="spellStart"/>
      <w:r w:rsidRPr="00977BC2">
        <w:rPr>
          <w:b/>
          <w:i/>
        </w:rPr>
        <w:t>Audic</w:t>
      </w:r>
      <w:proofErr w:type="spellEnd"/>
      <w:r w:rsidRPr="00977BC2">
        <w:rPr>
          <w:b/>
          <w:i/>
        </w:rPr>
        <w:t xml:space="preserve"> (EU:C:2002:343, punktid 30 ja 39)</w:t>
      </w:r>
    </w:p>
    <w:p w:rsidR="00CE6151" w:rsidRPr="00977BC2" w:rsidRDefault="00CE6151" w:rsidP="00B25F68">
      <w:pPr>
        <w:jc w:val="both"/>
      </w:pPr>
    </w:p>
    <w:p w:rsidR="00CE6151" w:rsidRPr="00977BC2" w:rsidRDefault="00160B40" w:rsidP="00B25F68">
      <w:pPr>
        <w:jc w:val="both"/>
      </w:pPr>
      <w:r w:rsidRPr="00977BC2">
        <w:t xml:space="preserve">– Liikmesriigi õigusakti säte, millega kehtestatakse pakendi tuvastamise kohustus, on tehniline eeskiri, millest tuleb teavitada, kuivõrd sellega kaasneb selle pakendi märgistamise või </w:t>
      </w:r>
      <w:proofErr w:type="spellStart"/>
      <w:r w:rsidRPr="00977BC2">
        <w:t>sildistamise</w:t>
      </w:r>
      <w:proofErr w:type="spellEnd"/>
      <w:r w:rsidRPr="00977BC2">
        <w:t xml:space="preserve"> kohustus.</w:t>
      </w:r>
    </w:p>
    <w:p w:rsidR="00CE6151" w:rsidRPr="00977BC2" w:rsidRDefault="00CE6151" w:rsidP="00B25F68"/>
    <w:p w:rsidR="00B15802" w:rsidRPr="00977BC2" w:rsidRDefault="00B15802" w:rsidP="00B25F68">
      <w:pPr>
        <w:rPr>
          <w:rFonts w:eastAsia="Calibri"/>
          <w:b/>
          <w:i/>
        </w:rPr>
      </w:pPr>
      <w:r w:rsidRPr="00977BC2">
        <w:rPr>
          <w:b/>
          <w:i/>
        </w:rPr>
        <w:t xml:space="preserve">8. märtsi 2001. aasta otsus kohtuasjas C-278/99: Van </w:t>
      </w:r>
      <w:proofErr w:type="spellStart"/>
      <w:r w:rsidRPr="00977BC2">
        <w:rPr>
          <w:b/>
          <w:i/>
        </w:rPr>
        <w:t>der</w:t>
      </w:r>
      <w:proofErr w:type="spellEnd"/>
      <w:r w:rsidRPr="00977BC2">
        <w:rPr>
          <w:b/>
          <w:i/>
        </w:rPr>
        <w:t xml:space="preserve"> </w:t>
      </w:r>
      <w:proofErr w:type="spellStart"/>
      <w:r w:rsidRPr="00977BC2">
        <w:rPr>
          <w:b/>
          <w:i/>
        </w:rPr>
        <w:t>Burg</w:t>
      </w:r>
      <w:proofErr w:type="spellEnd"/>
      <w:r w:rsidRPr="00977BC2">
        <w:rPr>
          <w:b/>
          <w:i/>
        </w:rPr>
        <w:t xml:space="preserve"> (EU:C:2001:143, punkt 20)</w:t>
      </w:r>
    </w:p>
    <w:p w:rsidR="00B15802" w:rsidRPr="00977BC2" w:rsidRDefault="00B15802" w:rsidP="00B25F68"/>
    <w:p w:rsidR="00B15802" w:rsidRPr="00977BC2" w:rsidRDefault="00160B40" w:rsidP="00B25F68">
      <w:pPr>
        <w:jc w:val="both"/>
      </w:pPr>
      <w:r w:rsidRPr="00977BC2">
        <w:t xml:space="preserve">– Eeskiri, millega pelgalt keelustatakse kaubanduslik reklaam ning millega ei sätestata toote nõutavaid omadusi, ei ole tehniline kirjeldus direktiivi 83/189/EMÜ tähenduses ning seega ei saa seda pidada tehniliseks eeskirjaks, mis jääks nimetatud direktiivi kohaldamisalasse. </w:t>
      </w:r>
    </w:p>
    <w:p w:rsidR="00B15802" w:rsidRPr="00977BC2" w:rsidRDefault="00B15802" w:rsidP="00B25F68">
      <w:pPr>
        <w:jc w:val="both"/>
        <w:rPr>
          <w:b/>
          <w:i/>
          <w:highlight w:val="green"/>
        </w:rPr>
      </w:pPr>
    </w:p>
    <w:p w:rsidR="00B15802" w:rsidRPr="00977BC2" w:rsidRDefault="00B15802" w:rsidP="00B25F68">
      <w:pPr>
        <w:jc w:val="both"/>
        <w:rPr>
          <w:rFonts w:eastAsia="Calibri"/>
          <w:b/>
          <w:i/>
        </w:rPr>
      </w:pPr>
      <w:r w:rsidRPr="00977BC2">
        <w:rPr>
          <w:b/>
          <w:i/>
        </w:rPr>
        <w:t xml:space="preserve">22. jaanuari 2001. aasta otsus kohtuasjas C-390/99: </w:t>
      </w:r>
      <w:proofErr w:type="spellStart"/>
      <w:r w:rsidRPr="00977BC2">
        <w:rPr>
          <w:b/>
          <w:i/>
        </w:rPr>
        <w:t>Canal</w:t>
      </w:r>
      <w:proofErr w:type="spellEnd"/>
      <w:r w:rsidRPr="00977BC2">
        <w:rPr>
          <w:b/>
          <w:i/>
        </w:rPr>
        <w:t xml:space="preserve"> </w:t>
      </w:r>
      <w:proofErr w:type="spellStart"/>
      <w:r w:rsidRPr="00977BC2">
        <w:rPr>
          <w:b/>
          <w:i/>
        </w:rPr>
        <w:t>Satélite</w:t>
      </w:r>
      <w:proofErr w:type="spellEnd"/>
      <w:r w:rsidRPr="00977BC2">
        <w:rPr>
          <w:b/>
          <w:i/>
        </w:rPr>
        <w:t xml:space="preserve"> </w:t>
      </w:r>
      <w:proofErr w:type="spellStart"/>
      <w:r w:rsidRPr="00977BC2">
        <w:rPr>
          <w:b/>
          <w:i/>
        </w:rPr>
        <w:t>Digital</w:t>
      </w:r>
      <w:proofErr w:type="spellEnd"/>
      <w:r w:rsidRPr="00977BC2">
        <w:rPr>
          <w:b/>
          <w:i/>
        </w:rPr>
        <w:t xml:space="preserve"> (EU:C:2002:34, punktid 47, 48)</w:t>
      </w:r>
    </w:p>
    <w:p w:rsidR="00B15802" w:rsidRPr="00977BC2" w:rsidRDefault="00B15802" w:rsidP="00B25F68">
      <w:pPr>
        <w:jc w:val="both"/>
        <w:rPr>
          <w:rFonts w:ascii="Helvetica" w:hAnsi="Helvetica" w:cs="Helvetica"/>
          <w:sz w:val="21"/>
          <w:szCs w:val="21"/>
        </w:rPr>
      </w:pPr>
    </w:p>
    <w:p w:rsidR="00B15802" w:rsidRPr="00977BC2" w:rsidRDefault="00DB04B3" w:rsidP="00B25F68">
      <w:pPr>
        <w:jc w:val="both"/>
      </w:pPr>
      <w:r w:rsidRPr="00977BC2">
        <w:t>– Liikmesriigi eeskiri, millega nõutakse tingimusliku juurdepääsuga teenuste operaatoritelt satelliidi abil televisioonisignaale digitaalselt edastavate ja vastuvõtvate seadmete, dekoodrite või süsteemide (mida nad kavatsevad turustada) turustamiseelset registreerimist ning nendele toodetele enne turustamist sertifikaadi taotlemist, kujutab endast tehnilist eeskirja.</w:t>
      </w:r>
    </w:p>
    <w:p w:rsidR="00B15802" w:rsidRPr="00977BC2" w:rsidRDefault="00DB04B3" w:rsidP="00B25F68">
      <w:pPr>
        <w:jc w:val="both"/>
      </w:pPr>
      <w:r w:rsidRPr="00977BC2">
        <w:lastRenderedPageBreak/>
        <w:t>– Riiklike sätete puhul, mille kohaselt liikmesriigid peavad täitma siduvaid ühenduse meetmeid, mille tulemuseks on tehniliste kirjelduste vastuvõtmine, ei ole direktiivi 83/189/EMÜ raames teavitamise kohustust, kuivõrd kõnealuste riiklike õigusaktidega võetakse üle siduvad ühenduse meetmed.</w:t>
      </w:r>
    </w:p>
    <w:p w:rsidR="00403A6E" w:rsidRPr="00977BC2" w:rsidRDefault="00403A6E" w:rsidP="00B25F68">
      <w:pPr>
        <w:jc w:val="both"/>
      </w:pPr>
    </w:p>
    <w:p w:rsidR="0017652C" w:rsidRPr="00977BC2" w:rsidRDefault="0017652C" w:rsidP="00B25F68">
      <w:pPr>
        <w:jc w:val="both"/>
        <w:rPr>
          <w:rFonts w:eastAsia="Calibri"/>
          <w:b/>
          <w:i/>
        </w:rPr>
      </w:pPr>
      <w:r w:rsidRPr="00977BC2">
        <w:rPr>
          <w:b/>
          <w:i/>
        </w:rPr>
        <w:t xml:space="preserve">16. novembri 2000. aasta otsus kohtuasjas C-37/99: </w:t>
      </w:r>
      <w:proofErr w:type="spellStart"/>
      <w:r w:rsidRPr="00977BC2">
        <w:rPr>
          <w:b/>
          <w:i/>
        </w:rPr>
        <w:t>Donkersteeg</w:t>
      </w:r>
      <w:proofErr w:type="spellEnd"/>
      <w:r w:rsidRPr="00977BC2">
        <w:rPr>
          <w:b/>
          <w:i/>
        </w:rPr>
        <w:t xml:space="preserve"> (EU:C:2000:636, punktid 21, 30–34)</w:t>
      </w:r>
    </w:p>
    <w:p w:rsidR="0017652C" w:rsidRPr="00977BC2" w:rsidRDefault="0017652C" w:rsidP="00B25F68">
      <w:pPr>
        <w:jc w:val="both"/>
      </w:pPr>
    </w:p>
    <w:p w:rsidR="0017652C" w:rsidRPr="00977BC2" w:rsidRDefault="0017652C" w:rsidP="00B25F68">
      <w:pPr>
        <w:jc w:val="both"/>
      </w:pPr>
      <w:r w:rsidRPr="00977BC2">
        <w:t>– Põllumajandustoodete puhul on tehniline kirjeldus dokumendis sisalduv kirjeldus, milles nähakse ette toote nõutavad omadused või selle tootmismeetod või -protsessid.</w:t>
      </w:r>
    </w:p>
    <w:p w:rsidR="0017652C" w:rsidRPr="00977BC2" w:rsidRDefault="0017652C" w:rsidP="00B25F68">
      <w:pPr>
        <w:jc w:val="both"/>
      </w:pPr>
      <w:r w:rsidRPr="00977BC2">
        <w:t>– Riiklik säte, millega ei sätestata asjaomaste toodete nõutavaid omadusi ega nende põllumajandustoodete tootmismeetodit või -protsessi, ei ole tehniline kirjeldus direktiivi 83/189/EMÜ tähenduses ning seega ei saa seda nimetatud direktiivi mõistes tehniliseks eeskirjaks pidada.</w:t>
      </w:r>
    </w:p>
    <w:p w:rsidR="0017652C" w:rsidRPr="00977BC2" w:rsidRDefault="0017652C" w:rsidP="00B25F68">
      <w:pPr>
        <w:jc w:val="both"/>
      </w:pPr>
      <w:r w:rsidRPr="00977BC2">
        <w:t>– Liikmesriigi õigusakti säte, millega nõutakse üksnes jalanõude desinfitseerimiseks mõeldud desinfitseeriva vahendi mahutite või asjakohaste puhastusruumide olemasolu seakasvatustes, ei käsitle kitsas tähenduses kõnealuse põllumajandustoote tootmist ega ole tehniline eeskiri.</w:t>
      </w:r>
    </w:p>
    <w:p w:rsidR="0017652C" w:rsidRPr="00977BC2" w:rsidRDefault="0017652C" w:rsidP="00B25F68">
      <w:pPr>
        <w:jc w:val="both"/>
      </w:pPr>
      <w:r w:rsidRPr="00977BC2">
        <w:t>– Täpseid ja üksikasjalikke vaktsineerimiseeskirju kehtestav säte on tehniline kirjeldus, arvestades, et vaktsineerimiseeskirjad on kitsas tähenduses seotud asjaomase põllumajandustoote tootmisega. Kui vaktsineerimiseeskirju mittetäitvate toodete turustamisele või kasutamisele ei seata sättega piiranguid, ei ole see tehniline eeskiri, millest peaks enne selle vastuvõtmist teavitama.</w:t>
      </w:r>
    </w:p>
    <w:p w:rsidR="0017652C" w:rsidRPr="00977BC2" w:rsidRDefault="0017652C" w:rsidP="00B25F68">
      <w:pPr>
        <w:jc w:val="both"/>
      </w:pPr>
    </w:p>
    <w:p w:rsidR="0017652C" w:rsidRPr="00977BC2" w:rsidRDefault="0017652C" w:rsidP="00B25F68">
      <w:pPr>
        <w:rPr>
          <w:rFonts w:eastAsia="Calibri"/>
          <w:b/>
          <w:i/>
        </w:rPr>
      </w:pPr>
      <w:r w:rsidRPr="00977BC2">
        <w:rPr>
          <w:b/>
          <w:i/>
        </w:rPr>
        <w:t xml:space="preserve">12. oktoobri 2000. aasta otsus kohtuasjas C-314/98: </w:t>
      </w:r>
      <w:proofErr w:type="spellStart"/>
      <w:r w:rsidRPr="00977BC2">
        <w:rPr>
          <w:b/>
          <w:i/>
        </w:rPr>
        <w:t>Snellers</w:t>
      </w:r>
      <w:proofErr w:type="spellEnd"/>
      <w:r w:rsidRPr="00977BC2">
        <w:rPr>
          <w:b/>
          <w:i/>
        </w:rPr>
        <w:t xml:space="preserve"> (EU:C:2000:557, punktid 37–40)</w:t>
      </w:r>
    </w:p>
    <w:p w:rsidR="0017652C" w:rsidRPr="00977BC2" w:rsidRDefault="0017652C" w:rsidP="00B25F68">
      <w:pPr>
        <w:rPr>
          <w:rFonts w:ascii="Helvetica" w:hAnsi="Helvetica" w:cs="Helvetica"/>
          <w:sz w:val="21"/>
          <w:szCs w:val="21"/>
          <w:highlight w:val="yellow"/>
        </w:rPr>
      </w:pPr>
    </w:p>
    <w:p w:rsidR="0017652C" w:rsidRPr="00977BC2" w:rsidRDefault="0017652C" w:rsidP="00B25F68">
      <w:pPr>
        <w:jc w:val="both"/>
      </w:pPr>
      <w:r w:rsidRPr="00977BC2">
        <w:t>– Direktiivi 83/189/EMÜ mõistes peavad tehnilised kirjeldused viitama tootele kui sellisele. Eeskirjaga, millega kehtestatakse registreerimistunnistuse koostamise jaoks kriteeriumid, mille alusel määratakse kuupäev, mil sõiduk loetakse avalikult kasutatavatel teedel kasutamiseks sobivaks, ei määrata toote kui sellise ühtki nõutavat omadust ning seega ei saa seda liigitada direktiivi kohaldamisalasse jäävaks tehniliseks eeskirjaks ning sellest ei tule teavitada.</w:t>
      </w:r>
    </w:p>
    <w:p w:rsidR="0017652C" w:rsidRPr="00977BC2" w:rsidRDefault="0017652C" w:rsidP="00B25F68">
      <w:pPr>
        <w:jc w:val="both"/>
      </w:pPr>
    </w:p>
    <w:p w:rsidR="0017652C" w:rsidRPr="00977BC2" w:rsidRDefault="0017652C" w:rsidP="00B25F68">
      <w:pPr>
        <w:rPr>
          <w:rFonts w:eastAsia="Calibri"/>
          <w:b/>
          <w:i/>
        </w:rPr>
      </w:pPr>
      <w:r w:rsidRPr="00977BC2">
        <w:rPr>
          <w:b/>
          <w:i/>
        </w:rPr>
        <w:t>26. septembri 2000. aasta otsus kohtuasjas C-443/98: Unilever (EU:C:2000:496, punktid 26–30)</w:t>
      </w:r>
    </w:p>
    <w:p w:rsidR="0017652C" w:rsidRPr="00977BC2" w:rsidRDefault="0017652C" w:rsidP="00B25F68">
      <w:pPr>
        <w:rPr>
          <w:rFonts w:ascii="Helvetica" w:hAnsi="Helvetica" w:cs="Helvetica"/>
          <w:sz w:val="21"/>
          <w:szCs w:val="21"/>
        </w:rPr>
      </w:pPr>
    </w:p>
    <w:p w:rsidR="0017652C" w:rsidRPr="00977BC2" w:rsidRDefault="0017652C" w:rsidP="00B25F68">
      <w:pPr>
        <w:jc w:val="both"/>
      </w:pPr>
      <w:r w:rsidRPr="00977BC2">
        <w:t xml:space="preserve">– Säte, millega reguleeritakse märgistusi, millel esitatakse oliiviõlide päritolu, sisaldab eeskirju, mis tuleb klassifitseerida tehniliseks kirjelduseks direktiivi 98/34/EÜ tähenduses. </w:t>
      </w:r>
    </w:p>
    <w:p w:rsidR="0017652C" w:rsidRPr="00977BC2" w:rsidRDefault="0017652C" w:rsidP="00B25F68">
      <w:pPr>
        <w:jc w:val="both"/>
      </w:pPr>
      <w:r w:rsidRPr="00977BC2">
        <w:t xml:space="preserve">– Kui ELi direktiiviga jäetakse liikmesriikidele piisavalt tegutsemisruumi, ei saa sellise direktiivi alusel kehtestatud riiklikke meetmeid pidada õiguslikult siduva liidu õigusaktiga kooskõlas olevateks riiklikeks säteteks direktiivi 83/189/EMÜ artikli 10 lõike 1 esimese taande tähenduses. </w:t>
      </w:r>
    </w:p>
    <w:p w:rsidR="0017652C" w:rsidRPr="00977BC2" w:rsidRDefault="0017652C" w:rsidP="00B25F68">
      <w:pPr>
        <w:jc w:val="both"/>
      </w:pPr>
    </w:p>
    <w:p w:rsidR="0017652C" w:rsidRPr="00977BC2" w:rsidRDefault="0017652C" w:rsidP="00B25F68">
      <w:pPr>
        <w:ind w:right="-86"/>
        <w:rPr>
          <w:rFonts w:eastAsia="Calibri"/>
          <w:b/>
          <w:i/>
        </w:rPr>
      </w:pPr>
      <w:r w:rsidRPr="00977BC2">
        <w:rPr>
          <w:b/>
          <w:i/>
        </w:rPr>
        <w:t xml:space="preserve">3. juuni 1999. aasta otsus kohtuasjas C-33/97: </w:t>
      </w:r>
      <w:proofErr w:type="spellStart"/>
      <w:r w:rsidRPr="00977BC2">
        <w:rPr>
          <w:b/>
          <w:i/>
        </w:rPr>
        <w:t>Colim</w:t>
      </w:r>
      <w:proofErr w:type="spellEnd"/>
      <w:r w:rsidRPr="00977BC2">
        <w:rPr>
          <w:b/>
          <w:i/>
        </w:rPr>
        <w:t xml:space="preserve"> (EU:C:1999:274, punktid 22, 27–30, 36)</w:t>
      </w:r>
    </w:p>
    <w:p w:rsidR="0017652C" w:rsidRPr="00977BC2" w:rsidRDefault="0017652C" w:rsidP="00B25F68">
      <w:pPr>
        <w:jc w:val="both"/>
        <w:rPr>
          <w:highlight w:val="yellow"/>
        </w:rPr>
      </w:pPr>
    </w:p>
    <w:p w:rsidR="0017652C" w:rsidRPr="00977BC2" w:rsidRDefault="0017652C" w:rsidP="00B25F68">
      <w:pPr>
        <w:jc w:val="both"/>
      </w:pPr>
      <w:r w:rsidRPr="00977BC2">
        <w:t>– Riiklikku meedet, millega sätestatakse uuesti või asendatakse olemasolevad tehnilised eeskirjad ilma uusi või täiendavaid tehnilisi kirjeldusi lisamata, millest on komisjoni nõuetekohaselt teavitatud (juhul, kui need võeti vastu pärast direktiivi 83/189/EMÜ jõustumist), ei saa käsitleda tehnilise eeskirja eelnõuna ega sellest tulenevalt teavitamiskohustuslikuna.</w:t>
      </w:r>
    </w:p>
    <w:p w:rsidR="0017652C" w:rsidRPr="00977BC2" w:rsidRDefault="0017652C" w:rsidP="00B25F68">
      <w:pPr>
        <w:jc w:val="both"/>
      </w:pPr>
      <w:r w:rsidRPr="00977BC2">
        <w:t xml:space="preserve">– Liikmesriigi eeskirju, mille alusel tuleb toodete riigis turustamiseks kasutada kohustuslike siltide, kasutusjuhiste ja garantiisertifikaatide puhul ühte või rohkemat kindlat keelt, võib pidada direktiivi 83/189/EMÜ artikli 1 lõike 1 tähenduses nõueteks, mida tuleb toodetele kohaldada seoses terminoloogia, sümbolite, [...] pakendite, märgistamise või </w:t>
      </w:r>
      <w:proofErr w:type="spellStart"/>
      <w:r w:rsidRPr="00977BC2">
        <w:t>sildistamisega</w:t>
      </w:r>
      <w:proofErr w:type="spellEnd"/>
      <w:r w:rsidRPr="00977BC2">
        <w:t xml:space="preserve">, ning seega on </w:t>
      </w:r>
      <w:r w:rsidRPr="00977BC2">
        <w:lastRenderedPageBreak/>
        <w:t xml:space="preserve">need selle direktiivi tähenduses tehnilised eeskirjad. Samas on oluline eristada kohustust anda tarbijale toote kohta konkreetset teavet, kinnitades tootele andmeid või lisades sellele dokumente (nagu kasutusjuhised ja garantiisertifikaat), ning kohustust anda seda teavet kindlas keeles. Erinevalt esimesest kohustusest, mis on tootega otseselt seotud, on teine mõeldud üksnes sellise keele määramiseks, milles esimene kohustus täita tuleb. Kohustus, mille järgi peavad kauplejad ostjatele või lõpptarbijatele teavet esitama kindlas keeles, ei ole iseenesest direktiivi 83/189/EMÜ tähenduses tehniline eeskiri, vaid lisaeeskiri, mis on vajalik teabe tõhusaks edastamiseks. </w:t>
      </w:r>
    </w:p>
    <w:p w:rsidR="0017652C" w:rsidRPr="00977BC2" w:rsidRDefault="0017652C" w:rsidP="00B25F68">
      <w:pPr>
        <w:jc w:val="both"/>
      </w:pPr>
      <w:r w:rsidRPr="00977BC2">
        <w:t>– Kuigi siltidele, kasutusjuhistele ja garantiisertifikaatidele kehtestatud keelenõuded ei ole direktiivi tähenduses tehnilised eeskirjad, kujutavad nad endast tõket liidusisesele kaubandusele, kuivõrd teistest liikmesriikidest pärinevatele toodetele tuleb panna uued sildid, millega kaasnevad täiendavad pakendamiskulud.</w:t>
      </w:r>
    </w:p>
    <w:p w:rsidR="0017652C" w:rsidRPr="00977BC2" w:rsidRDefault="0017652C" w:rsidP="00B25F68">
      <w:pPr>
        <w:jc w:val="both"/>
      </w:pPr>
    </w:p>
    <w:p w:rsidR="0017652C" w:rsidRPr="00977BC2" w:rsidRDefault="0017652C" w:rsidP="00B25F68">
      <w:pPr>
        <w:jc w:val="both"/>
        <w:rPr>
          <w:rFonts w:eastAsia="Calibri"/>
          <w:b/>
          <w:i/>
        </w:rPr>
      </w:pPr>
      <w:r w:rsidRPr="00977BC2">
        <w:rPr>
          <w:b/>
          <w:i/>
        </w:rPr>
        <w:t xml:space="preserve">11. mai 1999. aasta otsus liidetud kohtuasjas C-425/97–427/97: </w:t>
      </w:r>
      <w:proofErr w:type="spellStart"/>
      <w:r w:rsidRPr="00977BC2">
        <w:rPr>
          <w:b/>
          <w:i/>
        </w:rPr>
        <w:t>Albers</w:t>
      </w:r>
      <w:proofErr w:type="spellEnd"/>
      <w:r w:rsidRPr="00977BC2">
        <w:rPr>
          <w:b/>
          <w:i/>
        </w:rPr>
        <w:t xml:space="preserve"> (EU:C:1999:243, punktid 16–24)</w:t>
      </w:r>
    </w:p>
    <w:p w:rsidR="0017652C" w:rsidRPr="00977BC2" w:rsidRDefault="0017652C" w:rsidP="00B25F68">
      <w:pPr>
        <w:jc w:val="both"/>
      </w:pPr>
    </w:p>
    <w:p w:rsidR="0017652C" w:rsidRPr="00977BC2" w:rsidRDefault="0017652C" w:rsidP="00B25F68">
      <w:pPr>
        <w:jc w:val="both"/>
      </w:pPr>
      <w:r w:rsidRPr="00977BC2">
        <w:t>– Eeskirjad, mille eesmärk on vältida teatavate ainete manustamist nuumloomadele, on direktiivi 83/189/EMÜ tähenduses tehnilised kirjeldused. Kuna eeskirju kehtestavad liikmesriikide haldusasutused ning need kehtivad kogu riigi territooriumil ja on siduvaid neile, kellele eeskirjad on suunatud, on tegemist tehniliste eeskirjadega direktiivi 83/189/EMÜ tähenduses.</w:t>
      </w:r>
    </w:p>
    <w:p w:rsidR="0017652C" w:rsidRPr="00977BC2" w:rsidRDefault="0017652C" w:rsidP="00B25F68"/>
    <w:p w:rsidR="0017652C" w:rsidRPr="00977BC2" w:rsidRDefault="0017652C" w:rsidP="00B25F68">
      <w:r w:rsidRPr="00977BC2">
        <w:rPr>
          <w:b/>
          <w:i/>
        </w:rPr>
        <w:t xml:space="preserve">16. juuni 1998. aasta otsus kohtuasjas C-226/97: </w:t>
      </w:r>
      <w:proofErr w:type="spellStart"/>
      <w:r w:rsidRPr="00977BC2">
        <w:rPr>
          <w:b/>
          <w:i/>
        </w:rPr>
        <w:t>Lemmens</w:t>
      </w:r>
      <w:proofErr w:type="spellEnd"/>
      <w:r w:rsidRPr="00977BC2">
        <w:rPr>
          <w:b/>
          <w:i/>
        </w:rPr>
        <w:t xml:space="preserve"> (EU:C:1998:296, punktid 19–21, 24–26)</w:t>
      </w:r>
    </w:p>
    <w:p w:rsidR="0017652C" w:rsidRPr="00977BC2" w:rsidRDefault="0017652C" w:rsidP="00B25F68"/>
    <w:p w:rsidR="0017652C" w:rsidRPr="00977BC2" w:rsidRDefault="0017652C" w:rsidP="00B25F68">
      <w:pPr>
        <w:jc w:val="both"/>
      </w:pPr>
      <w:r w:rsidRPr="00977BC2">
        <w:t xml:space="preserve">– Direktiivi 83/189/EMÜ kohaldatakse tehnilistele eeskirjadele olenemata sellest, millistel alustel need vastu võeti. Kuigi põhimõtteliselt vastutavad kriminaalõiguse ja kriminaalmenetluse eeskirjade eest liikmesriigid, ei tähenda see, et tehnilised eeskirjad direktiivi artikli 1 tähenduses oleksid teavitamiskohustusest välja arvatud, kuna need kuuluvad kriminaalõiguse kohaldamisalasse, või et direktiivi kohaldamine oleks piiratud toodetega, mida kasutatakse muul viisil kui avaliku võimu rakendamisega seoses. </w:t>
      </w:r>
    </w:p>
    <w:p w:rsidR="0017652C" w:rsidRPr="00977BC2" w:rsidRDefault="0017652C" w:rsidP="00B25F68">
      <w:pPr>
        <w:jc w:val="both"/>
      </w:pPr>
      <w:r w:rsidRPr="00977BC2">
        <w:t xml:space="preserve">– Riiklikud sätted alkoholisisalduse mõõtmiseks politsei kasutatavate alkomeetrite kohta kujutavad endast tehnilist eeskirja, millest tuleks enne selle vastuvõtmist komisjoni nimetatud direktiivi artikli 8 alusel teavitada. </w:t>
      </w:r>
    </w:p>
    <w:p w:rsidR="0017652C" w:rsidRPr="00977BC2" w:rsidRDefault="0017652C" w:rsidP="00B25F68">
      <w:pPr>
        <w:rPr>
          <w:highlight w:val="yellow"/>
        </w:rPr>
      </w:pPr>
    </w:p>
    <w:p w:rsidR="0017652C" w:rsidRPr="00977BC2" w:rsidRDefault="0017652C" w:rsidP="00B25F68">
      <w:pPr>
        <w:ind w:right="56"/>
        <w:jc w:val="both"/>
      </w:pPr>
      <w:r w:rsidRPr="00977BC2">
        <w:rPr>
          <w:b/>
          <w:i/>
        </w:rPr>
        <w:t>7. mai 1998. aasta otsus kohtuasjas C-145/97: komisjon vs Belgia (EU:C:1998:212, punkt 12)</w:t>
      </w:r>
    </w:p>
    <w:p w:rsidR="0017652C" w:rsidRPr="00977BC2" w:rsidRDefault="0017652C" w:rsidP="00B25F68">
      <w:pPr>
        <w:jc w:val="both"/>
      </w:pPr>
    </w:p>
    <w:p w:rsidR="0017652C" w:rsidRPr="00977BC2" w:rsidRDefault="0017652C" w:rsidP="00B25F68">
      <w:pPr>
        <w:jc w:val="both"/>
      </w:pPr>
      <w:r w:rsidRPr="00977BC2">
        <w:t>– Direktiivi artikli 8 kohaselt peavad liikmesriigid edastama mitte ainult tehnilisi eeskirju sisaldava teksti eelnõu, vaid ka põhimõtteliselt ja otseselt seonduvate õigusaktide või reguleerivate sätete tekstid. Selle sätte eesmärk on anda komisjonile võimalikult palju teavet, et ta saaks võimalikult tõhusalt täita talle direktiiviga antud volitusi.</w:t>
      </w:r>
    </w:p>
    <w:p w:rsidR="00CE6151" w:rsidRPr="00977BC2" w:rsidRDefault="00CE6151" w:rsidP="00B25F68">
      <w:pPr>
        <w:pStyle w:val="NormalWeb"/>
        <w:jc w:val="both"/>
      </w:pPr>
      <w:r w:rsidRPr="00977BC2">
        <w:rPr>
          <w:b/>
          <w:i/>
        </w:rPr>
        <w:t xml:space="preserve">20. märtsi 1997. aasta otsus kohtuasjas C-13/96: </w:t>
      </w:r>
      <w:proofErr w:type="spellStart"/>
      <w:r w:rsidRPr="00977BC2">
        <w:rPr>
          <w:b/>
          <w:i/>
        </w:rPr>
        <w:t>Bic</w:t>
      </w:r>
      <w:proofErr w:type="spellEnd"/>
      <w:r w:rsidRPr="00977BC2">
        <w:rPr>
          <w:b/>
          <w:i/>
        </w:rPr>
        <w:t xml:space="preserve"> </w:t>
      </w:r>
      <w:proofErr w:type="spellStart"/>
      <w:r w:rsidRPr="00977BC2">
        <w:rPr>
          <w:b/>
          <w:i/>
        </w:rPr>
        <w:t>Benelux</w:t>
      </w:r>
      <w:proofErr w:type="spellEnd"/>
      <w:r w:rsidRPr="00977BC2">
        <w:rPr>
          <w:b/>
          <w:i/>
        </w:rPr>
        <w:t xml:space="preserve"> (EU:C:1997:173, punktid 20–26)</w:t>
      </w:r>
    </w:p>
    <w:p w:rsidR="00CE6151" w:rsidRPr="00977BC2" w:rsidRDefault="00DB04B3" w:rsidP="00B25F68">
      <w:pPr>
        <w:autoSpaceDE w:val="0"/>
        <w:autoSpaceDN w:val="0"/>
        <w:adjustRightInd w:val="0"/>
        <w:jc w:val="both"/>
      </w:pPr>
      <w:r w:rsidRPr="00977BC2">
        <w:t xml:space="preserve">– Kohustus lisada spetsiifilised eritähised toodetele, mida maksustatakse seoses keskkonnakahjuga, mida põhjustavaks neid loetakse, kujutab endast tehnilist kirjeldust direktiivi 83/189/EMÜ tähenduses ning selle kehtestanud riiklik õigusakt on tehniline eeskiri sama direktiivi tähenduses. </w:t>
      </w:r>
    </w:p>
    <w:p w:rsidR="00CE6151" w:rsidRPr="00977BC2" w:rsidRDefault="00DB04B3" w:rsidP="00B25F68">
      <w:pPr>
        <w:autoSpaceDE w:val="0"/>
        <w:autoSpaceDN w:val="0"/>
        <w:adjustRightInd w:val="0"/>
        <w:jc w:val="both"/>
      </w:pPr>
      <w:r w:rsidRPr="00977BC2">
        <w:t>– Asjaolu, et riiklik meede võeti keskkonna kaitsmiseks või et sellega ei rakendata tehnilist standardit, mis iseenesest võib takistada vaba liikumist, ei tähenda, et kõnealune meede ei saaks olla tehniline eeskiri direktiivi 83/189/EMÜ tähenduses.</w:t>
      </w:r>
    </w:p>
    <w:p w:rsidR="00CE6151" w:rsidRPr="00977BC2" w:rsidRDefault="00DB04B3" w:rsidP="00B25F68">
      <w:pPr>
        <w:autoSpaceDE w:val="0"/>
        <w:autoSpaceDN w:val="0"/>
        <w:adjustRightInd w:val="0"/>
        <w:jc w:val="both"/>
      </w:pPr>
      <w:r w:rsidRPr="00977BC2">
        <w:lastRenderedPageBreak/>
        <w:t>– Kuna märgistusnõuet ei saa mingil juhul pidada üksnes fiskaalmeetmeks, siis ei kujuta see endast direktiivi 83/189/EMÜ (muudetud direktiiviga 94/10/EÜ) artikli 1 lõike 9 teise lõigu kolmanda taande tähenduses fiskaalmeetmega seotud nõuet.</w:t>
      </w:r>
    </w:p>
    <w:p w:rsidR="00295CA4" w:rsidRPr="00977BC2" w:rsidRDefault="00295CA4" w:rsidP="00B25F68">
      <w:pPr>
        <w:jc w:val="both"/>
        <w:rPr>
          <w:rFonts w:eastAsia="Calibri"/>
          <w:b/>
          <w:i/>
          <w:lang w:eastAsia="en-US"/>
        </w:rPr>
      </w:pPr>
    </w:p>
    <w:p w:rsidR="00295CA4" w:rsidRPr="00977BC2" w:rsidRDefault="00295CA4" w:rsidP="00B25F68">
      <w:pPr>
        <w:jc w:val="both"/>
        <w:rPr>
          <w:rFonts w:eastAsia="Calibri"/>
          <w:b/>
          <w:i/>
        </w:rPr>
      </w:pPr>
      <w:r w:rsidRPr="00977BC2">
        <w:rPr>
          <w:b/>
          <w:i/>
        </w:rPr>
        <w:t>17. septembri 1996. aasta otsus kohtuasjas C-289/94: komisjon vs Itaalia (EU:C:1996:330, punktid 32, 36, 43–44, 51)</w:t>
      </w:r>
    </w:p>
    <w:p w:rsidR="00295CA4" w:rsidRPr="00977BC2" w:rsidRDefault="00295CA4" w:rsidP="00B25F68">
      <w:pPr>
        <w:jc w:val="both"/>
      </w:pPr>
    </w:p>
    <w:p w:rsidR="00295CA4" w:rsidRPr="00977BC2" w:rsidRDefault="00356040" w:rsidP="00B25F68">
      <w:pPr>
        <w:jc w:val="both"/>
      </w:pPr>
      <w:r w:rsidRPr="00977BC2">
        <w:t>– Tehnilise kirjelduse mõiste hõlmab meditsiinitoodete tootmismeetodeid ja -protsesse, nagu on määratletud direktiivi 65/65/EMÜ artiklis 1, alates direktiivi 83/189/EMÜ kohaldamisala laiendamisest direktiiviga 88/182/EMÜ.</w:t>
      </w:r>
    </w:p>
    <w:p w:rsidR="00295CA4" w:rsidRPr="00977BC2" w:rsidRDefault="00356040" w:rsidP="00B25F68">
      <w:pPr>
        <w:jc w:val="both"/>
      </w:pPr>
      <w:r w:rsidRPr="00977BC2">
        <w:t>– Liistaklõpuseliste molluskite kasvatamiseks ette nähtud vee kvaliteeti käsitlevaid eeskirju tuleb pidada teavitamiskohustusega tehniliseks eeskirjaks, arvestades, et sellise kasvatamise jaoks ette nähtud vee kvaliteedi ning asjaomaste toodete turustamise vahel on tugev seos, ning arvestades, et eeskirjade järgimine mõjutab otseselt kaupade turustamist, sest turustada võib ainult nende tehniliste eeskirjade kohaselt toodetud kaupu.</w:t>
      </w:r>
    </w:p>
    <w:p w:rsidR="00295CA4" w:rsidRPr="00977BC2" w:rsidRDefault="00356040" w:rsidP="00B25F68">
      <w:pPr>
        <w:jc w:val="both"/>
      </w:pPr>
      <w:r w:rsidRPr="00977BC2">
        <w:t xml:space="preserve">– Ühenduse õiguslikult siduva õigusakti ning riikliku meetme vahel peab olema otsene seos, et seda saaks lugeda rakendusmeetmeks, mille suhtes võib teha artikli 10 lõike 1 esimese taande alusel teavitamiskohustusest erandi. </w:t>
      </w:r>
    </w:p>
    <w:p w:rsidR="00295CA4" w:rsidRPr="00977BC2" w:rsidRDefault="00295CA4" w:rsidP="00B25F68">
      <w:pPr>
        <w:rPr>
          <w:rFonts w:eastAsia="Calibri"/>
          <w:b/>
          <w:i/>
          <w:highlight w:val="green"/>
          <w:lang w:eastAsia="en-US"/>
        </w:rPr>
      </w:pPr>
    </w:p>
    <w:p w:rsidR="00295CA4" w:rsidRPr="00977BC2" w:rsidRDefault="00295CA4" w:rsidP="00B25F68">
      <w:pPr>
        <w:jc w:val="both"/>
        <w:rPr>
          <w:rFonts w:eastAsia="Calibri"/>
          <w:b/>
          <w:i/>
        </w:rPr>
      </w:pPr>
      <w:r w:rsidRPr="00977BC2">
        <w:rPr>
          <w:b/>
          <w:i/>
        </w:rPr>
        <w:t>16. septembri 1996. aasta otsus kohtuasjas C-279/94: komisjon vs Itaalia (EU:C:1996:396, punktid 30, 34, 38–42)</w:t>
      </w:r>
    </w:p>
    <w:p w:rsidR="00295CA4" w:rsidRPr="00977BC2" w:rsidRDefault="00295CA4" w:rsidP="00B25F68">
      <w:pPr>
        <w:jc w:val="both"/>
      </w:pPr>
    </w:p>
    <w:p w:rsidR="00295CA4" w:rsidRPr="00977BC2" w:rsidRDefault="00356040" w:rsidP="00B25F68">
      <w:pPr>
        <w:jc w:val="both"/>
      </w:pPr>
      <w:r w:rsidRPr="00977BC2">
        <w:t>– Uus tehniline eeskiri peab olemasolevate eeskirjadega võrreldes kaasa tooma märgatava õigusmõju.</w:t>
      </w:r>
    </w:p>
    <w:p w:rsidR="00295CA4" w:rsidRPr="00977BC2" w:rsidRDefault="00356040" w:rsidP="00B25F68">
      <w:pPr>
        <w:jc w:val="both"/>
      </w:pPr>
      <w:r w:rsidRPr="00977BC2">
        <w:t>– Pidades silmas direktiivi artikli 8 eesmärki, mille mõte on tagada komisjonile võimalikult palju teavet iga tehnilise eeskirja eelnõu sisu, kohaldamisala ja üldise konteksti kohta, on liikmesriikide ülesandeks edastada tehnilisi eeskirju sisaldav täielik tekst. Sellest tulenevalt tuleb teavitamisel edastada täielik tekst, kuid ooteaega kohaldatakse ainult selles sisalduvatele tehnilistele eeskirjadele.</w:t>
      </w:r>
    </w:p>
    <w:p w:rsidR="00295CA4" w:rsidRPr="00977BC2" w:rsidRDefault="00356040" w:rsidP="00B25F68">
      <w:pPr>
        <w:jc w:val="both"/>
      </w:pPr>
      <w:r w:rsidRPr="00977BC2">
        <w:t>– Asbesti turustamist ja kasutamist keelav säte on tehniline eeskiri, millest tuleb teavitada eelnõu etapis.</w:t>
      </w:r>
    </w:p>
    <w:p w:rsidR="00295CA4" w:rsidRPr="00977BC2" w:rsidRDefault="00356040" w:rsidP="00B25F68">
      <w:pPr>
        <w:jc w:val="both"/>
      </w:pPr>
      <w:r w:rsidRPr="00977BC2">
        <w:t xml:space="preserve">– Sättes, millega sätestatakse piirväärtused </w:t>
      </w:r>
      <w:proofErr w:type="spellStart"/>
      <w:r w:rsidRPr="00977BC2">
        <w:t>sissehingatavate</w:t>
      </w:r>
      <w:proofErr w:type="spellEnd"/>
      <w:r w:rsidRPr="00977BC2">
        <w:t xml:space="preserve"> asbestikiudude kontsentratsioonile töökoha õhus, ei määrata kindlaks toote nõutavaid omadusi ning see ei kuulu seega põhimõtteliselt tehnilise kirjelduse mõiste alla ja seda ei saa pidada tehniliseks eeskirjaks, millest tuleb komisjoni teavitada, v.a kui piirväärtused mõjutavad asjaomase toote omadusi.</w:t>
      </w:r>
    </w:p>
    <w:p w:rsidR="00295CA4" w:rsidRPr="00977BC2" w:rsidRDefault="00356040" w:rsidP="00B25F68">
      <w:pPr>
        <w:jc w:val="both"/>
      </w:pPr>
      <w:r w:rsidRPr="00977BC2">
        <w:t>– Liikmesriikide kohustus on edastada eelnõu täistekst, sh sätted, mis ei ole tehnilised eeskirjad, et võimaldada komisjonile võimalikult palju teavet iga tehnilise eeskirja eelnõu sisu, kohaldamisala ja üldise konteksti kohta.</w:t>
      </w:r>
    </w:p>
    <w:p w:rsidR="00B15802" w:rsidRPr="00977BC2" w:rsidRDefault="00B15802" w:rsidP="00B25F68">
      <w:pPr>
        <w:autoSpaceDE w:val="0"/>
        <w:autoSpaceDN w:val="0"/>
        <w:adjustRightInd w:val="0"/>
        <w:jc w:val="both"/>
      </w:pPr>
    </w:p>
    <w:p w:rsidR="00B15802" w:rsidRPr="00977BC2" w:rsidRDefault="00B15802" w:rsidP="00B25F68">
      <w:pPr>
        <w:pStyle w:val="NormalWeb"/>
        <w:spacing w:before="0" w:beforeAutospacing="0" w:after="0" w:afterAutospacing="0"/>
        <w:jc w:val="both"/>
        <w:rPr>
          <w:rFonts w:eastAsia="Calibri"/>
          <w:b/>
          <w:i/>
        </w:rPr>
      </w:pPr>
      <w:r w:rsidRPr="00977BC2">
        <w:rPr>
          <w:b/>
          <w:i/>
        </w:rPr>
        <w:t>30. aprilli 1996. aasta otsus kohtuasjas C-194/94: CIA Security International SA (EU:C:1996:172, punktid 30, 54 ja 55)</w:t>
      </w:r>
    </w:p>
    <w:p w:rsidR="00B15802" w:rsidRPr="00977BC2" w:rsidRDefault="00B15802" w:rsidP="00B25F68">
      <w:pPr>
        <w:autoSpaceDE w:val="0"/>
        <w:autoSpaceDN w:val="0"/>
        <w:adjustRightInd w:val="0"/>
        <w:jc w:val="both"/>
      </w:pPr>
    </w:p>
    <w:p w:rsidR="00B15802" w:rsidRPr="00977BC2" w:rsidRDefault="00160B40" w:rsidP="00B25F68">
      <w:pPr>
        <w:autoSpaceDE w:val="0"/>
        <w:autoSpaceDN w:val="0"/>
        <w:adjustRightInd w:val="0"/>
        <w:jc w:val="both"/>
      </w:pPr>
      <w:r w:rsidRPr="00977BC2">
        <w:t>– Eeskiri tuleb määratleda tehnilise eeskirjana direktiivi 83/189/EMÜ tähenduses, kui</w:t>
      </w:r>
    </w:p>
    <w:p w:rsidR="00B15802" w:rsidRPr="00977BC2" w:rsidRDefault="00B15802" w:rsidP="00B25F68">
      <w:pPr>
        <w:autoSpaceDE w:val="0"/>
        <w:autoSpaceDN w:val="0"/>
        <w:adjustRightInd w:val="0"/>
        <w:jc w:val="both"/>
      </w:pPr>
      <w:r w:rsidRPr="00977BC2">
        <w:t>selles nõutakse, et asjaomased ettevõtjad peavad taotlema oma seadmete jaoks eelnevat heakskiitu, isegi siis, kui ettenähtud halduseeskirju ei ole vastu võetud.</w:t>
      </w:r>
    </w:p>
    <w:p w:rsidR="00B15802" w:rsidRPr="00977BC2" w:rsidRDefault="00B15802" w:rsidP="00B25F68">
      <w:pPr>
        <w:autoSpaceDE w:val="0"/>
        <w:autoSpaceDN w:val="0"/>
        <w:adjustRightInd w:val="0"/>
        <w:jc w:val="both"/>
      </w:pPr>
    </w:p>
    <w:p w:rsidR="00E91B63" w:rsidRPr="00977BC2" w:rsidRDefault="00E91B63" w:rsidP="00B25F68">
      <w:pPr>
        <w:jc w:val="both"/>
        <w:rPr>
          <w:rFonts w:eastAsia="Calibri"/>
          <w:b/>
          <w:i/>
        </w:rPr>
      </w:pPr>
      <w:r w:rsidRPr="00977BC2">
        <w:rPr>
          <w:b/>
          <w:i/>
        </w:rPr>
        <w:t>11. jaanuari 1996. aasta otsus kohtuasjas C-273/94: komisjon vs Madalmaad (EU:C:1996:4, punktid 13–15)</w:t>
      </w:r>
    </w:p>
    <w:p w:rsidR="00E91B63" w:rsidRPr="00977BC2" w:rsidRDefault="00E91B63" w:rsidP="00B25F68">
      <w:pPr>
        <w:autoSpaceDE w:val="0"/>
        <w:autoSpaceDN w:val="0"/>
        <w:adjustRightInd w:val="0"/>
        <w:jc w:val="both"/>
        <w:rPr>
          <w:rFonts w:eastAsia="Calibri"/>
          <w:lang w:eastAsia="en-US"/>
        </w:rPr>
      </w:pPr>
    </w:p>
    <w:p w:rsidR="00E91B63" w:rsidRPr="00977BC2" w:rsidRDefault="00356040" w:rsidP="00B25F68">
      <w:pPr>
        <w:autoSpaceDE w:val="0"/>
        <w:autoSpaceDN w:val="0"/>
        <w:adjustRightInd w:val="0"/>
        <w:jc w:val="both"/>
        <w:rPr>
          <w:rFonts w:eastAsia="Calibri"/>
        </w:rPr>
      </w:pPr>
      <w:r w:rsidRPr="00977BC2">
        <w:lastRenderedPageBreak/>
        <w:t>– Konkreetsele tootele kohaldatava liikmesriigi õigusakti puhul kujutab juba olemasoleva sama toote kohase tehnilise eeskirja erand endast tehnilist eeskirja direktiivi 83/189/EMÜ tähenduses, sest sellega kehtestatakse alternatiivsed tehnilised kirjeldused, mille järgimine on seda toodet turustades või kasutades kohustuslik (</w:t>
      </w:r>
      <w:r w:rsidRPr="00977BC2">
        <w:rPr>
          <w:i/>
          <w:iCs/>
        </w:rPr>
        <w:t>de jure</w:t>
      </w:r>
      <w:r w:rsidRPr="00977BC2">
        <w:t xml:space="preserve"> või </w:t>
      </w:r>
      <w:r w:rsidRPr="00977BC2">
        <w:rPr>
          <w:i/>
          <w:iCs/>
        </w:rPr>
        <w:t>de facto</w:t>
      </w:r>
      <w:r w:rsidRPr="00977BC2">
        <w:t>). Isik, kes soovib olemasolevat eeskirja mitte järgida, on kohustatud kõnealuse toote tootmiseks või turule laskmiseks täitma alternatiivse kirjelduse nõudeid.</w:t>
      </w:r>
    </w:p>
    <w:p w:rsidR="00E91B63" w:rsidRPr="00977BC2" w:rsidRDefault="00356040" w:rsidP="00B25F68">
      <w:pPr>
        <w:jc w:val="both"/>
      </w:pPr>
      <w:r w:rsidRPr="00977BC2">
        <w:t xml:space="preserve">– Teavitamiskohustus ei sõltu asjaomase tehnilise eeskirja eeldatavast mõjust </w:t>
      </w:r>
      <w:proofErr w:type="spellStart"/>
      <w:r w:rsidRPr="00977BC2">
        <w:t>liikmesriikidevahelisele</w:t>
      </w:r>
      <w:proofErr w:type="spellEnd"/>
      <w:r w:rsidRPr="00977BC2">
        <w:t xml:space="preserve"> kaubandusele. Protseduuri eesmärk on hoopis kontrollida tõkete tekkimise ohtu ning teha kindlaks, kas selline tõke oleks ELi õigusakte silmas pidades õigustatud. Sellest tulenevalt tuleb teavitada ka eeskirjadest, millega liberaliseeritakse teatavatele toodetele kehtivat süsteemi.</w:t>
      </w:r>
    </w:p>
    <w:p w:rsidR="00160B40" w:rsidRPr="00977BC2" w:rsidRDefault="00160B40" w:rsidP="00B25F68">
      <w:pPr>
        <w:jc w:val="both"/>
        <w:rPr>
          <w:rFonts w:eastAsia="Calibri"/>
          <w:b/>
          <w:i/>
          <w:lang w:eastAsia="en-US"/>
        </w:rPr>
      </w:pPr>
    </w:p>
    <w:p w:rsidR="00295CA4" w:rsidRPr="00977BC2" w:rsidRDefault="00295CA4" w:rsidP="00B25F68">
      <w:pPr>
        <w:jc w:val="both"/>
        <w:rPr>
          <w:rFonts w:eastAsia="Calibri"/>
          <w:b/>
          <w:i/>
        </w:rPr>
      </w:pPr>
      <w:r w:rsidRPr="00977BC2">
        <w:rPr>
          <w:b/>
          <w:i/>
        </w:rPr>
        <w:t>1. juuni 1994. aasta otsus kohtuasjas C-317/92: komisjon vs Saksamaa (EU:C:1994:212, punktid 25 ja 26)</w:t>
      </w:r>
    </w:p>
    <w:p w:rsidR="00295CA4" w:rsidRPr="00977BC2" w:rsidRDefault="00295CA4" w:rsidP="00B25F68">
      <w:pPr>
        <w:autoSpaceDE w:val="0"/>
        <w:autoSpaceDN w:val="0"/>
        <w:adjustRightInd w:val="0"/>
        <w:jc w:val="both"/>
        <w:rPr>
          <w:lang w:eastAsia="fr-FR"/>
        </w:rPr>
      </w:pPr>
    </w:p>
    <w:p w:rsidR="00295CA4" w:rsidRPr="00977BC2" w:rsidRDefault="00356040" w:rsidP="00B25F68">
      <w:pPr>
        <w:autoSpaceDE w:val="0"/>
        <w:autoSpaceDN w:val="0"/>
        <w:adjustRightInd w:val="0"/>
        <w:jc w:val="both"/>
        <w:rPr>
          <w:rFonts w:ascii="Helvetica" w:hAnsi="Helvetica" w:cs="Helvetica"/>
          <w:sz w:val="21"/>
          <w:szCs w:val="21"/>
        </w:rPr>
      </w:pPr>
      <w:r w:rsidRPr="00977BC2">
        <w:t>– Eeskiri on direktiivi 83/189/EMÜ tähenduses tehnilise eeskirjana määratletud siis, kui sellel on oma õiguslik mõju. Kui liikmesriigi õiguse alusel on see eeskiri ainult selliste haldusmääruste vastuvõtmise aluseks, mis sisaldavad huvitatud pooltele siduvate eeskirjade vastuvõtmist nii, et sellel ei ole iseenesest isikutele õigusmõju, siis ei ole see eeskiri selle direktiivi tähenduses tehniline eeskiri. Asjaolu, et volitusnormist on komisjoni juba teavitatud, ei vabasta selle rakendusmeetmetest teavitamise kohustusest. Tõenäoliselt sisaldavad tehnilist kirjeldust just rakendusmeetmed, mitte volitusnorm.</w:t>
      </w:r>
    </w:p>
    <w:p w:rsidR="00295CA4" w:rsidRPr="00977BC2" w:rsidRDefault="00356040" w:rsidP="00B25F68">
      <w:pPr>
        <w:autoSpaceDE w:val="0"/>
        <w:autoSpaceDN w:val="0"/>
        <w:adjustRightInd w:val="0"/>
        <w:jc w:val="both"/>
      </w:pPr>
      <w:r w:rsidRPr="00977BC2">
        <w:t>– Varem muudele toodetele kohaldatud tehnilise eeskirja kohaldamine kõnealustele toodetele kujutab endast tehnilist eeskirja, millest tuleb seega teavitada.</w:t>
      </w:r>
    </w:p>
    <w:p w:rsidR="00295CA4" w:rsidRPr="00977BC2" w:rsidRDefault="00356040" w:rsidP="00B25F68">
      <w:pPr>
        <w:jc w:val="both"/>
      </w:pPr>
      <w:r w:rsidRPr="00977BC2">
        <w:t xml:space="preserve">– Kehtivusaega piirav meede, mis võib olla märgitud toote pakendile, on tehniline eeskiri direktiivi 83/189/EMÜ tähenduses. </w:t>
      </w:r>
    </w:p>
    <w:p w:rsidR="00160B40" w:rsidRPr="00977BC2" w:rsidRDefault="00160B40" w:rsidP="00B25F68">
      <w:pPr>
        <w:jc w:val="both"/>
        <w:rPr>
          <w:rFonts w:eastAsia="Calibri"/>
          <w:b/>
          <w:lang w:eastAsia="en-US"/>
        </w:rPr>
      </w:pPr>
    </w:p>
    <w:p w:rsidR="00B010E1" w:rsidRPr="00977BC2" w:rsidRDefault="00160B40" w:rsidP="00B25F68">
      <w:pPr>
        <w:jc w:val="both"/>
        <w:rPr>
          <w:rFonts w:eastAsia="Calibri"/>
          <w:b/>
          <w:u w:val="single"/>
        </w:rPr>
      </w:pPr>
      <w:bookmarkStart w:id="1" w:name="b_heading"/>
      <w:r w:rsidRPr="00977BC2">
        <w:rPr>
          <w:b/>
          <w:u w:val="single"/>
        </w:rPr>
        <w:t>b. Infoühiskonna teenused</w:t>
      </w:r>
    </w:p>
    <w:bookmarkEnd w:id="1"/>
    <w:p w:rsidR="00B010E1" w:rsidRPr="00977BC2" w:rsidRDefault="00B010E1" w:rsidP="00B25F68">
      <w:pPr>
        <w:jc w:val="both"/>
        <w:rPr>
          <w:rFonts w:eastAsia="Calibri"/>
          <w:b/>
          <w:i/>
          <w:lang w:eastAsia="en-US"/>
        </w:rPr>
      </w:pPr>
    </w:p>
    <w:p w:rsidR="00B010E1" w:rsidRPr="00977BC2" w:rsidRDefault="00B010E1" w:rsidP="00B25F68">
      <w:pPr>
        <w:jc w:val="both"/>
        <w:rPr>
          <w:rFonts w:eastAsia="Calibri"/>
          <w:b/>
          <w:i/>
        </w:rPr>
      </w:pPr>
      <w:r w:rsidRPr="00977BC2">
        <w:rPr>
          <w:b/>
          <w:i/>
        </w:rPr>
        <w:t>10. aprilli 2018. aasta otsus kohtuasjas C</w:t>
      </w:r>
      <w:r w:rsidRPr="00977BC2">
        <w:rPr>
          <w:b/>
          <w:i/>
        </w:rPr>
        <w:noBreakHyphen/>
        <w:t xml:space="preserve">320/16: </w:t>
      </w:r>
      <w:proofErr w:type="spellStart"/>
      <w:r w:rsidRPr="00977BC2">
        <w:rPr>
          <w:b/>
          <w:i/>
        </w:rPr>
        <w:t>Uber</w:t>
      </w:r>
      <w:proofErr w:type="spellEnd"/>
      <w:r w:rsidRPr="00977BC2">
        <w:rPr>
          <w:b/>
          <w:i/>
        </w:rPr>
        <w:t xml:space="preserve"> </w:t>
      </w:r>
      <w:proofErr w:type="spellStart"/>
      <w:r w:rsidRPr="00977BC2">
        <w:rPr>
          <w:b/>
          <w:i/>
        </w:rPr>
        <w:t>France</w:t>
      </w:r>
      <w:proofErr w:type="spellEnd"/>
      <w:r w:rsidRPr="00977BC2">
        <w:rPr>
          <w:b/>
          <w:i/>
        </w:rPr>
        <w:t xml:space="preserve"> (EU:C:2018:221, punktid 18–28)</w:t>
      </w:r>
    </w:p>
    <w:p w:rsidR="00B010E1" w:rsidRPr="00977BC2" w:rsidRDefault="00B010E1" w:rsidP="00B25F68">
      <w:pPr>
        <w:jc w:val="both"/>
      </w:pPr>
    </w:p>
    <w:p w:rsidR="00B010E1" w:rsidRPr="00977BC2" w:rsidRDefault="00160B40" w:rsidP="00B25F68">
      <w:pPr>
        <w:jc w:val="both"/>
      </w:pPr>
      <w:r w:rsidRPr="00977BC2">
        <w:t>– Liikmesriigi õigusakti säte, millega sätestatakse kriminaalkaristused sellise süsteemi korraldamise eest, millega ühendatakse kliendid isikutega, kes tegelevad reisijate maanteeveoga, et saada hüvitist vähem kui 10 istmega sõidukite kasutamise eest, ilma et selle tegemiseks oleks antud luba, puudutab transpordivaldkonna teenust, kuivõrd seda kohaldatakse vahendamisteenusele, mida pakutakse nutitelefoni rakenduse kaudu ja mis moodustab lahutamatu osa üldisest teenusest, mille põhielemendiks on transporditeenus. Selline teenus on direktiivi 2015/1535 kohaldamisalast välja jäetud.</w:t>
      </w:r>
    </w:p>
    <w:p w:rsidR="00B010E1" w:rsidRPr="00977BC2" w:rsidRDefault="00B010E1" w:rsidP="00B25F68">
      <w:pPr>
        <w:jc w:val="both"/>
        <w:rPr>
          <w:rFonts w:eastAsia="Calibri"/>
          <w:b/>
          <w:i/>
          <w:lang w:eastAsia="en-US"/>
        </w:rPr>
      </w:pPr>
    </w:p>
    <w:p w:rsidR="00B010E1" w:rsidRPr="00977BC2" w:rsidRDefault="00B010E1" w:rsidP="00B25F68">
      <w:pPr>
        <w:jc w:val="both"/>
        <w:rPr>
          <w:rFonts w:eastAsia="Calibri"/>
          <w:b/>
          <w:i/>
        </w:rPr>
      </w:pPr>
      <w:r w:rsidRPr="00977BC2">
        <w:rPr>
          <w:b/>
          <w:i/>
        </w:rPr>
        <w:t>20. detsembri 2017. aasta otsus kohtuasjas C</w:t>
      </w:r>
      <w:r w:rsidRPr="00977BC2">
        <w:rPr>
          <w:b/>
          <w:i/>
        </w:rPr>
        <w:noBreakHyphen/>
        <w:t xml:space="preserve">434/15: </w:t>
      </w:r>
      <w:proofErr w:type="spellStart"/>
      <w:r w:rsidRPr="00977BC2">
        <w:rPr>
          <w:b/>
          <w:i/>
        </w:rPr>
        <w:t>Asociación</w:t>
      </w:r>
      <w:proofErr w:type="spellEnd"/>
      <w:r w:rsidRPr="00977BC2">
        <w:rPr>
          <w:b/>
          <w:i/>
        </w:rPr>
        <w:t xml:space="preserve"> </w:t>
      </w:r>
      <w:proofErr w:type="spellStart"/>
      <w:r w:rsidRPr="00977BC2">
        <w:rPr>
          <w:b/>
          <w:i/>
        </w:rPr>
        <w:t>Profesional</w:t>
      </w:r>
      <w:proofErr w:type="spellEnd"/>
      <w:r w:rsidRPr="00977BC2">
        <w:rPr>
          <w:b/>
          <w:i/>
        </w:rPr>
        <w:t xml:space="preserve"> </w:t>
      </w:r>
      <w:proofErr w:type="spellStart"/>
      <w:r w:rsidRPr="00977BC2">
        <w:rPr>
          <w:b/>
          <w:i/>
        </w:rPr>
        <w:t>Elite</w:t>
      </w:r>
      <w:proofErr w:type="spellEnd"/>
      <w:r w:rsidRPr="00977BC2">
        <w:rPr>
          <w:b/>
          <w:i/>
        </w:rPr>
        <w:t xml:space="preserve"> </w:t>
      </w:r>
      <w:proofErr w:type="spellStart"/>
      <w:r w:rsidRPr="00977BC2">
        <w:rPr>
          <w:b/>
          <w:i/>
        </w:rPr>
        <w:t>Taxi</w:t>
      </w:r>
      <w:proofErr w:type="spellEnd"/>
      <w:r w:rsidRPr="00977BC2">
        <w:rPr>
          <w:b/>
          <w:i/>
        </w:rPr>
        <w:t xml:space="preserve"> (EU:C:2017:981, punkt 48)</w:t>
      </w:r>
    </w:p>
    <w:p w:rsidR="00B010E1" w:rsidRPr="00977BC2" w:rsidRDefault="00B010E1" w:rsidP="00B25F68">
      <w:pPr>
        <w:jc w:val="both"/>
      </w:pPr>
    </w:p>
    <w:p w:rsidR="00B010E1" w:rsidRPr="00977BC2" w:rsidRDefault="00160B40" w:rsidP="00B25F68">
      <w:pPr>
        <w:jc w:val="both"/>
      </w:pPr>
      <w:r w:rsidRPr="00977BC2">
        <w:t>– Vahendamisteenust, mille eesmärk on nutitelefoni rakenduse abil tasu eest kokku viia oma autot kasutavad mittekutselised juhid ja isikud, kes soovivad linnas ühest kohast teise sõita, tuleb pidada transporditeenusega lahutamatult seotuks ning seetõttu tuleb see liigitada transporditeenuseks (ja mitte infoühiskonna teenuseks).</w:t>
      </w:r>
    </w:p>
    <w:p w:rsidR="00B010E1" w:rsidRPr="00977BC2" w:rsidRDefault="00B010E1" w:rsidP="00B25F68">
      <w:pPr>
        <w:jc w:val="both"/>
      </w:pPr>
    </w:p>
    <w:p w:rsidR="00B010E1" w:rsidRPr="00977BC2" w:rsidRDefault="00B010E1" w:rsidP="00B25F68">
      <w:pPr>
        <w:jc w:val="both"/>
        <w:rPr>
          <w:rFonts w:eastAsia="Calibri"/>
          <w:b/>
          <w:i/>
        </w:rPr>
      </w:pPr>
      <w:r w:rsidRPr="00977BC2">
        <w:rPr>
          <w:b/>
          <w:i/>
        </w:rPr>
        <w:t xml:space="preserve">20. detsembri 2017. aasta otsus kohtuasjas C-255/16: </w:t>
      </w:r>
      <w:proofErr w:type="spellStart"/>
      <w:r w:rsidRPr="00977BC2">
        <w:rPr>
          <w:b/>
          <w:i/>
        </w:rPr>
        <w:t>Falbert</w:t>
      </w:r>
      <w:proofErr w:type="spellEnd"/>
      <w:r w:rsidRPr="00977BC2">
        <w:rPr>
          <w:b/>
          <w:i/>
        </w:rPr>
        <w:t xml:space="preserve"> ja teised (EU:C:2017:983,</w:t>
      </w:r>
      <w:r w:rsidRPr="00977BC2">
        <w:rPr>
          <w:rStyle w:val="outputecliaff"/>
          <w:b/>
          <w:i/>
        </w:rPr>
        <w:t xml:space="preserve"> </w:t>
      </w:r>
      <w:r w:rsidRPr="00977BC2">
        <w:rPr>
          <w:b/>
          <w:i/>
        </w:rPr>
        <w:t>punktid 27–30)</w:t>
      </w:r>
    </w:p>
    <w:p w:rsidR="00B010E1" w:rsidRPr="00977BC2" w:rsidRDefault="00B010E1" w:rsidP="00B25F68">
      <w:pPr>
        <w:jc w:val="both"/>
      </w:pPr>
    </w:p>
    <w:p w:rsidR="00B010E1" w:rsidRPr="00977BC2" w:rsidRDefault="00160B40" w:rsidP="00B25F68">
      <w:pPr>
        <w:jc w:val="both"/>
      </w:pPr>
      <w:r w:rsidRPr="00977BC2">
        <w:t xml:space="preserve">– Riiklik säte, millega kehtestatakse kriminaalkaristused juhtudel, mil riigi territooriumil tehakse hasartmängude, loteriide või kihlvedude puhul tegevusloata pakkumine, ei ole tehniline eeskiri direktiivi 2015/1535 tähenduses, mille suhtes kehtib kõnealuse direktiivi artikli 8 lõikes 1 sätestatud teavitamiskohustus. </w:t>
      </w:r>
    </w:p>
    <w:p w:rsidR="00B010E1" w:rsidRPr="00977BC2" w:rsidRDefault="00160B40" w:rsidP="00B25F68">
      <w:pPr>
        <w:jc w:val="both"/>
      </w:pPr>
      <w:r w:rsidRPr="00977BC2">
        <w:t>– Riiklik säte, millega kehtestatakse karistused tegevusloata hasartmängude, loteriide või kihlvedude reklaamimise korral, on siiski tehniline eeskiri direktiivi 2015/1535 tähenduses, mille suhtes kehtib kõnealuse direktiivi artikli 8 lõikes 1 sätestatud teavitamiskohustus, sest selle liikmesriigi õigusakti sätte ettevalmistavatest materjalidest on selge, et selle objekt ja eesmärk oli laiendada olemasolevat reklaamikeeldu, et hõlmata veebipõhiseid hasartmänguteenuseid, mis jääb riikliku kohtu otsustada.</w:t>
      </w:r>
    </w:p>
    <w:p w:rsidR="00B010E1" w:rsidRPr="00977BC2" w:rsidRDefault="00B010E1" w:rsidP="00B25F68">
      <w:pPr>
        <w:jc w:val="both"/>
      </w:pPr>
    </w:p>
    <w:p w:rsidR="00B010E1" w:rsidRPr="00977BC2" w:rsidRDefault="00B010E1" w:rsidP="00B25F68">
      <w:pPr>
        <w:jc w:val="both"/>
        <w:rPr>
          <w:rFonts w:eastAsia="Calibri"/>
          <w:b/>
          <w:i/>
        </w:rPr>
      </w:pPr>
      <w:r w:rsidRPr="00977BC2">
        <w:rPr>
          <w:b/>
          <w:i/>
        </w:rPr>
        <w:t xml:space="preserve">2. veebruari 2016. aasta otsus kohtuasjas C-336/14: </w:t>
      </w:r>
      <w:proofErr w:type="spellStart"/>
      <w:r w:rsidRPr="00977BC2">
        <w:rPr>
          <w:b/>
          <w:i/>
        </w:rPr>
        <w:t>Ince</w:t>
      </w:r>
      <w:proofErr w:type="spellEnd"/>
      <w:r w:rsidRPr="00977BC2">
        <w:rPr>
          <w:b/>
          <w:i/>
        </w:rPr>
        <w:t xml:space="preserve"> (EU:C:2016:72, punktid 75–76, 79, 84)</w:t>
      </w:r>
    </w:p>
    <w:p w:rsidR="00B010E1" w:rsidRPr="00977BC2" w:rsidRDefault="00B010E1" w:rsidP="00B25F68">
      <w:pPr>
        <w:jc w:val="both"/>
      </w:pPr>
    </w:p>
    <w:p w:rsidR="00B010E1" w:rsidRPr="00977BC2" w:rsidRDefault="00B010E1" w:rsidP="00B25F68">
      <w:pPr>
        <w:jc w:val="both"/>
      </w:pPr>
      <w:r w:rsidRPr="00977BC2">
        <w:t xml:space="preserve">– Riiklikke sätteid hasartmängude interneti kaudu pakkumise keelamise kohta, nende erandeid, elektrooniliste sidevahendite kaudu spordikihlvedude pakkumise piiranguid ja hasartmängude internetis või sidevahendite kaudu reklaamimise keeldu saab direktiivi 98/34/EÜ artikli 1 lõike 5 tähenduses lugeda teenuseid puudutavateks eeskirjadeks, kuna need käsitlevad mõnd infoühiskonna teenust nimetatud direktiivi artikli 1 lõike 2 tähenduses. </w:t>
      </w:r>
    </w:p>
    <w:p w:rsidR="00B010E1" w:rsidRPr="00977BC2" w:rsidRDefault="00B010E1" w:rsidP="00B25F68">
      <w:pPr>
        <w:jc w:val="both"/>
      </w:pPr>
      <w:r w:rsidRPr="00977BC2">
        <w:t xml:space="preserve">– Riiklikud sätted, millega kehtestatakse üksnes ettevõtjate asutamist või nende teenuste osutamist reguleerivad tingimused, nt sätted, millega kehtestatakse teatavale tegevusele eelneva loa taotlemise kohustus või see, et sellise loa andmine eraettevõtjatele ei ole võimalik, ei ole tehnilised eeskirjad direktiivi 98/34/EÜ tähenduses. </w:t>
      </w:r>
    </w:p>
    <w:p w:rsidR="00B010E1" w:rsidRPr="00977BC2" w:rsidRDefault="00B010E1" w:rsidP="00B25F68">
      <w:pPr>
        <w:jc w:val="both"/>
      </w:pPr>
      <w:r w:rsidRPr="00977BC2">
        <w:t xml:space="preserve">– Piirkondliku õigusakti eelnõu suhtes, millega jäetakse asjassepuutuvas piirkonnas jõusse liikmesriigi erinevate piirkondade ühise õigusakti sätted, mille kehtivusaeg on lõppenud, kehtib direktiivi 98/34/EÜ artikli 8 lõikes 1 sätestatud teavitamiskohustus, kui see eelnõu sisaldab tehnilisi eeskirju nimetatud direktiivi artikli 1 tähenduses. </w:t>
      </w:r>
    </w:p>
    <w:p w:rsidR="00B010E1" w:rsidRPr="00977BC2" w:rsidRDefault="00B010E1" w:rsidP="00B25F68">
      <w:pPr>
        <w:jc w:val="both"/>
      </w:pPr>
      <w:r w:rsidRPr="00977BC2">
        <w:t>– Seda kohustust ei muuda asjaolu, et kõnealune ühine õigusakt edastati direktiivi 98/34/EÜ artikli 8 lõike 1 kohaselt komisjonile varem eelnõu vormis ning piirkondlikus õigusaktis sätestatud eeskirjad on sisult identsed riiklikus õigusaktis sätestatud eeskirjadega, kuigi need erinevad ajalise ja territoriaalse kohaldamisala poolest.</w:t>
      </w:r>
    </w:p>
    <w:p w:rsidR="00B010E1" w:rsidRPr="00977BC2" w:rsidRDefault="00B010E1" w:rsidP="00B25F68">
      <w:pPr>
        <w:jc w:val="both"/>
      </w:pPr>
      <w:r w:rsidRPr="00977BC2">
        <w:t>– Direktiivi 98/34/EÜ artikli 8 lõike 1 kolmandas lõigus liikmesriikidele pandud kohustus tehniliste eeskirjade eelnõusse tehtud olulised muudatused „uuesti edastada“ käsitleb ainult olukorda, kus liikmesriigi seadusandlikus menetluses tehakse pärast tehnilise eeskirja eelnõu komisjonile edastamist sellesse olulisi muudatusi.</w:t>
      </w:r>
    </w:p>
    <w:p w:rsidR="00B010E1" w:rsidRPr="00977BC2" w:rsidRDefault="00B010E1" w:rsidP="00B25F68">
      <w:pPr>
        <w:jc w:val="both"/>
      </w:pPr>
      <w:r w:rsidRPr="00977BC2">
        <w:t>– Sätted, millega kehtestatakse kohustus omandada tegevusluba spordikihlvedude korraldamise või panuste vastuvõtmisega tegelemiseks ning võimatus anda selline tegevusluba eraettevõtjatele, ei kujuta endast „tehnilisi eeskirju“ nimetatud direktiivi artikli 1 lõike 11 tähenduses. Riiklike sätete puhul, milles nähakse ette ettevõtjate asutamise või nende poolt teenuste osutamise tingimused, näiteks sätted, mille kohaselt kutsetegevusega tegelemiseks on vajalik eelnev luba, on tegemist tehniliste eeskirjadega mainitud sätte tähenduses.</w:t>
      </w:r>
    </w:p>
    <w:p w:rsidR="00160B40" w:rsidRPr="00977BC2" w:rsidRDefault="00160B40" w:rsidP="00B25F68">
      <w:pPr>
        <w:pStyle w:val="NormalWeb"/>
        <w:spacing w:before="0" w:beforeAutospacing="0" w:after="0" w:afterAutospacing="0"/>
        <w:jc w:val="both"/>
      </w:pPr>
    </w:p>
    <w:p w:rsidR="00B010E1" w:rsidRPr="00977BC2" w:rsidRDefault="00160B40" w:rsidP="00B25F68">
      <w:pPr>
        <w:jc w:val="both"/>
        <w:rPr>
          <w:rFonts w:eastAsia="Calibri"/>
          <w:b/>
          <w:u w:val="single"/>
        </w:rPr>
      </w:pPr>
      <w:bookmarkStart w:id="2" w:name="c_heading"/>
      <w:r w:rsidRPr="00977BC2">
        <w:rPr>
          <w:b/>
          <w:u w:val="single"/>
        </w:rPr>
        <w:t>c. Fiskaalmeetmed</w:t>
      </w:r>
    </w:p>
    <w:bookmarkEnd w:id="2"/>
    <w:p w:rsidR="00B010E1" w:rsidRPr="00977BC2" w:rsidRDefault="00B010E1" w:rsidP="00B25F68">
      <w:pPr>
        <w:jc w:val="both"/>
        <w:rPr>
          <w:rFonts w:eastAsia="Calibri"/>
          <w:b/>
          <w:i/>
          <w:lang w:eastAsia="en-US"/>
        </w:rPr>
      </w:pPr>
    </w:p>
    <w:p w:rsidR="00B010E1" w:rsidRPr="00977BC2" w:rsidRDefault="00B010E1" w:rsidP="00B25F68">
      <w:pPr>
        <w:jc w:val="both"/>
        <w:rPr>
          <w:rFonts w:eastAsia="Calibri"/>
          <w:b/>
          <w:i/>
        </w:rPr>
      </w:pPr>
      <w:r w:rsidRPr="00977BC2">
        <w:rPr>
          <w:b/>
          <w:i/>
        </w:rPr>
        <w:t xml:space="preserve">20. märtsi 1997. aasta otsus kohtuasjas C-13/96: </w:t>
      </w:r>
      <w:proofErr w:type="spellStart"/>
      <w:r w:rsidRPr="00977BC2">
        <w:rPr>
          <w:b/>
          <w:i/>
        </w:rPr>
        <w:t>Bic</w:t>
      </w:r>
      <w:proofErr w:type="spellEnd"/>
      <w:r w:rsidRPr="00977BC2">
        <w:rPr>
          <w:b/>
          <w:i/>
        </w:rPr>
        <w:t xml:space="preserve"> </w:t>
      </w:r>
      <w:proofErr w:type="spellStart"/>
      <w:r w:rsidRPr="00977BC2">
        <w:rPr>
          <w:b/>
          <w:i/>
        </w:rPr>
        <w:t>Benelux</w:t>
      </w:r>
      <w:proofErr w:type="spellEnd"/>
      <w:r w:rsidRPr="00977BC2">
        <w:rPr>
          <w:b/>
          <w:i/>
        </w:rPr>
        <w:t xml:space="preserve"> (EU:C:1997:173, punktid 20–26)</w:t>
      </w:r>
    </w:p>
    <w:p w:rsidR="00B010E1" w:rsidRPr="00977BC2" w:rsidRDefault="00B010E1" w:rsidP="00B25F68">
      <w:pPr>
        <w:autoSpaceDE w:val="0"/>
        <w:autoSpaceDN w:val="0"/>
        <w:adjustRightInd w:val="0"/>
        <w:jc w:val="both"/>
      </w:pPr>
    </w:p>
    <w:p w:rsidR="00B010E1" w:rsidRPr="00977BC2" w:rsidRDefault="00B010E1" w:rsidP="00B25F68">
      <w:pPr>
        <w:autoSpaceDE w:val="0"/>
        <w:autoSpaceDN w:val="0"/>
        <w:adjustRightInd w:val="0"/>
        <w:jc w:val="both"/>
      </w:pPr>
      <w:r w:rsidRPr="00977BC2">
        <w:t xml:space="preserve">– Kohustus lisada spetsiifilised eritähised toodetele, mida maksustatakse seoses keskkonnakahjuga, mida põhjustavaks neid loetakse, kujutab endast tehnilist kirjeldust direktiivi </w:t>
      </w:r>
      <w:r w:rsidRPr="00977BC2">
        <w:lastRenderedPageBreak/>
        <w:t xml:space="preserve">83/189/EMÜ tähenduses ning selle kehtestanud riiklik õigusakt on tehniline eeskiri sama direktiivi tähenduses. </w:t>
      </w:r>
    </w:p>
    <w:p w:rsidR="00B010E1" w:rsidRPr="00977BC2" w:rsidRDefault="00160B40" w:rsidP="00B25F68">
      <w:pPr>
        <w:autoSpaceDE w:val="0"/>
        <w:autoSpaceDN w:val="0"/>
        <w:adjustRightInd w:val="0"/>
        <w:jc w:val="both"/>
      </w:pPr>
      <w:r w:rsidRPr="00977BC2">
        <w:t>– Asjaolu, et riiklik meede võeti keskkonna kaitsmiseks või et sellega ei rakendata tehnilist standardit, mis iseenesest võib takistada vaba liikumist, ei tähenda, et kõnealune meede ei saaks olla tehniline eeskiri direktiivi 83/189/EMÜ tähenduses.</w:t>
      </w:r>
    </w:p>
    <w:p w:rsidR="00B010E1" w:rsidRPr="00977BC2" w:rsidRDefault="00160B40" w:rsidP="00B25F68">
      <w:pPr>
        <w:autoSpaceDE w:val="0"/>
        <w:autoSpaceDN w:val="0"/>
        <w:adjustRightInd w:val="0"/>
        <w:jc w:val="both"/>
      </w:pPr>
      <w:r w:rsidRPr="00977BC2">
        <w:t>– Kuna märgistusnõuet ei saa mingil juhul pidada üksnes fiskaalmeetmeks, siis ei kujuta see endast direktiivi 83/189/EMÜ (muudetud direktiiviga 94/10/EÜ) artikli 1 lõike 9 teise lõigu kolmanda taande tähenduses fiskaalmeetmega seotud nõuet.</w:t>
      </w:r>
    </w:p>
    <w:p w:rsidR="00B010E1" w:rsidRPr="00977BC2" w:rsidRDefault="00B010E1" w:rsidP="00B25F68">
      <w:pPr>
        <w:jc w:val="both"/>
        <w:rPr>
          <w:rFonts w:eastAsia="Calibri"/>
          <w:b/>
          <w:lang w:eastAsia="en-US"/>
        </w:rPr>
      </w:pPr>
    </w:p>
    <w:p w:rsidR="00600D1E" w:rsidRPr="00977BC2" w:rsidRDefault="00160B40" w:rsidP="00B25F68">
      <w:pPr>
        <w:jc w:val="both"/>
        <w:rPr>
          <w:rFonts w:eastAsia="Calibri"/>
          <w:b/>
          <w:u w:val="single"/>
        </w:rPr>
      </w:pPr>
      <w:bookmarkStart w:id="3" w:name="d_heading"/>
      <w:proofErr w:type="spellStart"/>
      <w:r w:rsidRPr="00977BC2">
        <w:rPr>
          <w:b/>
          <w:u w:val="single"/>
        </w:rPr>
        <w:t>d.</w:t>
      </w:r>
      <w:proofErr w:type="spellEnd"/>
      <w:r w:rsidRPr="00977BC2">
        <w:rPr>
          <w:b/>
          <w:u w:val="single"/>
        </w:rPr>
        <w:t xml:space="preserve"> Uuesti teavitamise kohustus</w:t>
      </w:r>
    </w:p>
    <w:bookmarkEnd w:id="3"/>
    <w:p w:rsidR="00295CA4" w:rsidRPr="00977BC2" w:rsidRDefault="00295CA4" w:rsidP="00B25F68">
      <w:pPr>
        <w:jc w:val="both"/>
        <w:rPr>
          <w:rFonts w:eastAsia="Calibri"/>
          <w:b/>
          <w:lang w:eastAsia="en-US"/>
        </w:rPr>
      </w:pPr>
    </w:p>
    <w:p w:rsidR="00B15802" w:rsidRPr="00977BC2" w:rsidRDefault="00B15802" w:rsidP="00B25F68">
      <w:pPr>
        <w:jc w:val="both"/>
        <w:rPr>
          <w:rFonts w:eastAsia="Calibri"/>
          <w:b/>
          <w:i/>
        </w:rPr>
      </w:pPr>
      <w:r w:rsidRPr="00977BC2">
        <w:rPr>
          <w:b/>
          <w:i/>
        </w:rPr>
        <w:t>10. juuli 2014. aasta otsus kohtuasjas C</w:t>
      </w:r>
      <w:r w:rsidRPr="00977BC2">
        <w:rPr>
          <w:rFonts w:ascii="MS Gothic" w:hAnsi="MS Gothic"/>
          <w:b/>
          <w:i/>
        </w:rPr>
        <w:t>-</w:t>
      </w:r>
      <w:r w:rsidRPr="00977BC2">
        <w:rPr>
          <w:b/>
          <w:i/>
        </w:rPr>
        <w:t xml:space="preserve">307/13: </w:t>
      </w:r>
      <w:proofErr w:type="spellStart"/>
      <w:r w:rsidRPr="00977BC2">
        <w:rPr>
          <w:b/>
          <w:i/>
        </w:rPr>
        <w:t>Ivansson</w:t>
      </w:r>
      <w:proofErr w:type="spellEnd"/>
      <w:r w:rsidRPr="00977BC2">
        <w:rPr>
          <w:b/>
          <w:i/>
        </w:rPr>
        <w:t xml:space="preserve"> ja teised (EU:C:2014:2058, punktid 30–31, 46–50)</w:t>
      </w:r>
    </w:p>
    <w:p w:rsidR="00B15802" w:rsidRPr="00977BC2" w:rsidRDefault="00B15802" w:rsidP="00B25F68">
      <w:pPr>
        <w:jc w:val="both"/>
        <w:rPr>
          <w:rFonts w:eastAsia="Calibri"/>
          <w:lang w:eastAsia="en-US"/>
        </w:rPr>
      </w:pPr>
    </w:p>
    <w:p w:rsidR="00B15802" w:rsidRPr="00977BC2" w:rsidRDefault="00356040" w:rsidP="00B25F68">
      <w:pPr>
        <w:jc w:val="both"/>
      </w:pPr>
      <w:r w:rsidRPr="00977BC2">
        <w:t xml:space="preserve">– Riiklike ametiasutuste lõpuks valitud riikliku meetme jõustumise kuupäeva suhtes kohaldatakse Euroopa Komisjoni teavitamise kohustust, mis on sätestatud direktiivi 98/34/EÜ artikli 8 lõike 1 kolmandas lõigus, kui riikliku meetme rakendamise ajakava muudeti ja see oli oluline – seda asjaolu peab kontrollima riiklik kohus. </w:t>
      </w:r>
    </w:p>
    <w:p w:rsidR="00B15802" w:rsidRPr="00977BC2" w:rsidRDefault="00287FFE" w:rsidP="00B25F68">
      <w:pPr>
        <w:jc w:val="both"/>
        <w:rPr>
          <w:rFonts w:eastAsia="Calibri"/>
        </w:rPr>
      </w:pPr>
      <w:r w:rsidRPr="00977BC2">
        <w:t xml:space="preserve">– Algselt riiklike ametiasutuste poolt tehnilise eeskirja jõustumiseks ja rakendamiseks valitud ajakava olulise lühendamise suhtes kehtib Euroopa Komisjoni teavitamise kohustus, mis on sätestatud direktiivi 98/34/EÜ artikli 8 lõike 1 kolmandas lõigus. Sellise teavitamise puudumine muudaks asjaomase riikliku meetme </w:t>
      </w:r>
      <w:proofErr w:type="spellStart"/>
      <w:r w:rsidRPr="00977BC2">
        <w:t>kohaldamatuks</w:t>
      </w:r>
      <w:proofErr w:type="spellEnd"/>
      <w:r w:rsidRPr="00977BC2">
        <w:t xml:space="preserve"> ning seega isikute suhtes </w:t>
      </w:r>
      <w:proofErr w:type="spellStart"/>
      <w:r w:rsidRPr="00977BC2">
        <w:t>jõustamatuks</w:t>
      </w:r>
      <w:proofErr w:type="spellEnd"/>
      <w:r w:rsidRPr="00977BC2">
        <w:t>.</w:t>
      </w:r>
    </w:p>
    <w:p w:rsidR="00B15802" w:rsidRPr="00977BC2" w:rsidRDefault="00B15802" w:rsidP="00B25F68">
      <w:pPr>
        <w:jc w:val="both"/>
        <w:rPr>
          <w:rFonts w:eastAsia="Calibri"/>
          <w:lang w:eastAsia="en-US"/>
        </w:rPr>
      </w:pPr>
    </w:p>
    <w:p w:rsidR="00295CA4" w:rsidRPr="00977BC2" w:rsidRDefault="00295CA4" w:rsidP="00B25F68">
      <w:pPr>
        <w:jc w:val="both"/>
        <w:rPr>
          <w:rFonts w:eastAsia="Calibri"/>
          <w:b/>
          <w:i/>
        </w:rPr>
      </w:pPr>
      <w:r w:rsidRPr="00977BC2">
        <w:rPr>
          <w:b/>
          <w:i/>
        </w:rPr>
        <w:t xml:space="preserve">31. jaanuari 2013. aasta otsus kohtuasjas C-26/11: </w:t>
      </w:r>
      <w:proofErr w:type="spellStart"/>
      <w:r w:rsidRPr="00977BC2">
        <w:rPr>
          <w:b/>
          <w:i/>
        </w:rPr>
        <w:t>Belgische</w:t>
      </w:r>
      <w:proofErr w:type="spellEnd"/>
      <w:r w:rsidRPr="00977BC2">
        <w:rPr>
          <w:b/>
          <w:i/>
        </w:rPr>
        <w:t xml:space="preserve"> </w:t>
      </w:r>
      <w:proofErr w:type="spellStart"/>
      <w:r w:rsidRPr="00977BC2">
        <w:rPr>
          <w:b/>
          <w:i/>
        </w:rPr>
        <w:t>Petroleum</w:t>
      </w:r>
      <w:proofErr w:type="spellEnd"/>
      <w:r w:rsidRPr="00977BC2">
        <w:rPr>
          <w:b/>
          <w:i/>
        </w:rPr>
        <w:t xml:space="preserve"> </w:t>
      </w:r>
      <w:proofErr w:type="spellStart"/>
      <w:r w:rsidRPr="00977BC2">
        <w:rPr>
          <w:b/>
          <w:i/>
        </w:rPr>
        <w:t>Unie</w:t>
      </w:r>
      <w:proofErr w:type="spellEnd"/>
      <w:r w:rsidRPr="00977BC2">
        <w:rPr>
          <w:b/>
          <w:i/>
        </w:rPr>
        <w:t xml:space="preserve"> ja teised (EU:C:2013:44, punkt 50)</w:t>
      </w:r>
    </w:p>
    <w:p w:rsidR="00295CA4" w:rsidRPr="00977BC2" w:rsidRDefault="00295CA4" w:rsidP="00B25F68">
      <w:pPr>
        <w:jc w:val="both"/>
        <w:rPr>
          <w:rFonts w:eastAsia="Calibri"/>
          <w:lang w:eastAsia="en-US"/>
        </w:rPr>
      </w:pPr>
    </w:p>
    <w:p w:rsidR="00295CA4" w:rsidRPr="00977BC2" w:rsidRDefault="00160B40" w:rsidP="00B25F68">
      <w:pPr>
        <w:jc w:val="both"/>
        <w:rPr>
          <w:rFonts w:eastAsia="Calibri"/>
        </w:rPr>
      </w:pPr>
      <w:r w:rsidRPr="00977BC2">
        <w:t>– Direktiivi 98/34/EÜ artiklit 8 koosmõjus artikli 10 lõikega 1 tuleb tõlgendada nii, et selles ei nähta ette nõuet teavitada riikliku õigusnormi eelnõust, kui sellest eelnõust teavitati artikli 8 lõike 1 esimese lõigu kohaselt ning seejärel muudeti seda komisjoni vastavasisuliste märkuste põhjal ja selliselt muudetud eelnõust teavitati seejärel taas komisjoni.</w:t>
      </w:r>
    </w:p>
    <w:p w:rsidR="00600D1E" w:rsidRPr="00977BC2" w:rsidRDefault="00600D1E" w:rsidP="00B25F68">
      <w:pPr>
        <w:jc w:val="both"/>
        <w:rPr>
          <w:rFonts w:eastAsia="Calibri"/>
          <w:b/>
          <w:lang w:eastAsia="en-US"/>
        </w:rPr>
      </w:pPr>
    </w:p>
    <w:p w:rsidR="00295CA4" w:rsidRPr="00977BC2" w:rsidRDefault="00295CA4" w:rsidP="00B25F68">
      <w:pPr>
        <w:jc w:val="both"/>
        <w:rPr>
          <w:rFonts w:eastAsia="Calibri"/>
          <w:b/>
          <w:i/>
        </w:rPr>
      </w:pPr>
      <w:r w:rsidRPr="00977BC2">
        <w:rPr>
          <w:b/>
          <w:i/>
        </w:rPr>
        <w:t xml:space="preserve">15. aprilli 2010. aasta otsus kohtuasjas C-433/05: </w:t>
      </w:r>
      <w:proofErr w:type="spellStart"/>
      <w:r w:rsidRPr="00977BC2">
        <w:rPr>
          <w:b/>
          <w:i/>
        </w:rPr>
        <w:t>Sandström</w:t>
      </w:r>
      <w:proofErr w:type="spellEnd"/>
      <w:r w:rsidRPr="00977BC2">
        <w:rPr>
          <w:b/>
          <w:i/>
        </w:rPr>
        <w:t xml:space="preserve"> (EU:C:2010:184, punkt 47)</w:t>
      </w:r>
    </w:p>
    <w:p w:rsidR="00295CA4" w:rsidRPr="00977BC2" w:rsidRDefault="00295CA4" w:rsidP="00B25F68">
      <w:pPr>
        <w:jc w:val="both"/>
        <w:rPr>
          <w:rFonts w:eastAsia="Calibri"/>
          <w:b/>
          <w:i/>
        </w:rPr>
      </w:pPr>
      <w:r w:rsidRPr="00977BC2">
        <w:rPr>
          <w:b/>
          <w:i/>
        </w:rPr>
        <w:t xml:space="preserve"> </w:t>
      </w:r>
    </w:p>
    <w:p w:rsidR="00EC0275" w:rsidRPr="00977BC2" w:rsidRDefault="00160B40" w:rsidP="00B25F68">
      <w:pPr>
        <w:jc w:val="both"/>
      </w:pPr>
      <w:r w:rsidRPr="00977BC2">
        <w:t>– Muudatused, mis tehakse tehnilise eeskirja eelnõus, millest on juba komisjoni direktiivi 98/34/EÜ artikli 8 lõike 1 esimese lõigu kohaselt teavitatud ning mis sisaldavad võrreldes teatatud eelnõuga üksnes asjassepuutuva toote kasutamise tingimuste leevendamist ja seega vähendavad tehnilise eeskirja võimalikku mõju kaubavahetusele, ei kujuta endast eelnõusse tehtud olulisi muudatusi nimetatud direktiivi artikli 8 lõike 1 kolmanda lõigu tähenduses. Sellised muudatused ei ole seega allutatud eelnevale teatamiskohustusele. </w:t>
      </w:r>
    </w:p>
    <w:p w:rsidR="00CE6151" w:rsidRPr="00977BC2" w:rsidRDefault="00CE6151" w:rsidP="00B25F68">
      <w:pPr>
        <w:jc w:val="both"/>
        <w:rPr>
          <w:highlight w:val="yellow"/>
        </w:rPr>
      </w:pPr>
    </w:p>
    <w:p w:rsidR="006255E9" w:rsidRPr="00977BC2" w:rsidRDefault="006255E9" w:rsidP="00B25F68">
      <w:pPr>
        <w:pStyle w:val="Style1"/>
      </w:pPr>
      <w:r w:rsidRPr="00977BC2">
        <w:br w:type="page"/>
      </w:r>
    </w:p>
    <w:p w:rsidR="00EB4A26" w:rsidRPr="00977BC2" w:rsidRDefault="00E96E31" w:rsidP="00B25F68">
      <w:pPr>
        <w:pStyle w:val="Style1"/>
      </w:pPr>
      <w:r w:rsidRPr="00977BC2">
        <w:lastRenderedPageBreak/>
        <w:t xml:space="preserve">II. </w:t>
      </w:r>
      <w:bookmarkStart w:id="4" w:name="Second_heading"/>
      <w:r w:rsidRPr="00977BC2">
        <w:t>Mitteteavitamise või enne ooteaja lõppu vastuvõtmise juhtumid</w:t>
      </w:r>
      <w:bookmarkEnd w:id="4"/>
      <w:r w:rsidRPr="00977BC2">
        <w:t xml:space="preserve"> (</w:t>
      </w:r>
      <w:proofErr w:type="spellStart"/>
      <w:r w:rsidRPr="00977BC2">
        <w:t>kohaldamatus</w:t>
      </w:r>
      <w:proofErr w:type="spellEnd"/>
      <w:r w:rsidRPr="00977BC2">
        <w:t>)</w:t>
      </w:r>
    </w:p>
    <w:p w:rsidR="00EB4A26" w:rsidRPr="00977BC2" w:rsidRDefault="00EB4A26" w:rsidP="00B25F68">
      <w:pPr>
        <w:jc w:val="center"/>
        <w:rPr>
          <w:rFonts w:eastAsia="Calibri"/>
          <w:b/>
          <w:u w:val="single"/>
          <w:lang w:eastAsia="en-US"/>
        </w:rPr>
      </w:pPr>
    </w:p>
    <w:p w:rsidR="00143415" w:rsidRPr="00977BC2" w:rsidRDefault="00143415" w:rsidP="00B25F68">
      <w:pPr>
        <w:pStyle w:val="NormalWeb"/>
        <w:spacing w:before="0" w:beforeAutospacing="0" w:after="0" w:afterAutospacing="0"/>
        <w:jc w:val="both"/>
        <w:rPr>
          <w:rFonts w:eastAsia="Calibri"/>
          <w:b/>
          <w:i/>
        </w:rPr>
      </w:pPr>
      <w:r w:rsidRPr="00977BC2">
        <w:rPr>
          <w:b/>
          <w:i/>
        </w:rPr>
        <w:t>30. aprilli 1996. aasta otsus kohtuasjas C-194/94: CIA Security International (EU:C:1996:172, punktid 54 ja 55)</w:t>
      </w:r>
    </w:p>
    <w:p w:rsidR="00143415" w:rsidRPr="00977BC2" w:rsidRDefault="00143415" w:rsidP="00B25F68">
      <w:pPr>
        <w:autoSpaceDE w:val="0"/>
        <w:autoSpaceDN w:val="0"/>
        <w:adjustRightInd w:val="0"/>
        <w:jc w:val="both"/>
      </w:pPr>
    </w:p>
    <w:p w:rsidR="00143415" w:rsidRPr="00977BC2" w:rsidRDefault="00160B40" w:rsidP="00B25F68">
      <w:pPr>
        <w:autoSpaceDE w:val="0"/>
        <w:autoSpaceDN w:val="0"/>
        <w:adjustRightInd w:val="0"/>
        <w:jc w:val="both"/>
      </w:pPr>
      <w:r w:rsidRPr="00977BC2">
        <w:t xml:space="preserve">– Direktiivi 83/189/EMÜ tuleb tõlgendada nii, et selle kohaselt muudab teavitamiskohustuse rikkumine asjaomased tehnilised eeskirjad </w:t>
      </w:r>
      <w:proofErr w:type="spellStart"/>
      <w:r w:rsidRPr="00977BC2">
        <w:t>kohaldamatuteks</w:t>
      </w:r>
      <w:proofErr w:type="spellEnd"/>
      <w:r w:rsidRPr="00977BC2">
        <w:t xml:space="preserve">, nii et need on isikute suhtes </w:t>
      </w:r>
      <w:proofErr w:type="spellStart"/>
      <w:r w:rsidRPr="00977BC2">
        <w:t>jõustamatud</w:t>
      </w:r>
      <w:proofErr w:type="spellEnd"/>
      <w:r w:rsidRPr="00977BC2">
        <w:t>. Isikud saavad direktiivi 83/189/EMÜ artiklitele 8 ja 9 tuginedes pöörduda riikliku kohtu poole, mis peab keelduma sellise riikliku tehnilise eeskirja kohaldamisest, millest ei ole direktiivi kohaselt teavitatud.</w:t>
      </w:r>
    </w:p>
    <w:p w:rsidR="00143415" w:rsidRPr="00977BC2" w:rsidRDefault="00143415" w:rsidP="00B25F68">
      <w:pPr>
        <w:jc w:val="both"/>
        <w:rPr>
          <w:rFonts w:eastAsia="Calibri"/>
          <w:b/>
          <w:i/>
          <w:lang w:eastAsia="en-US"/>
        </w:rPr>
      </w:pPr>
    </w:p>
    <w:p w:rsidR="00E96E31" w:rsidRPr="00977BC2" w:rsidRDefault="00E96E31" w:rsidP="00B25F68">
      <w:pPr>
        <w:pStyle w:val="NormalWeb"/>
        <w:spacing w:before="0" w:beforeAutospacing="0" w:after="0" w:afterAutospacing="0"/>
        <w:jc w:val="both"/>
        <w:rPr>
          <w:rFonts w:eastAsia="Calibri"/>
          <w:b/>
          <w:i/>
        </w:rPr>
      </w:pPr>
      <w:r w:rsidRPr="00977BC2">
        <w:rPr>
          <w:b/>
          <w:i/>
        </w:rPr>
        <w:t>16. septembri 1997. aasta otsus kohtuasjas C</w:t>
      </w:r>
      <w:r w:rsidRPr="00977BC2">
        <w:rPr>
          <w:b/>
          <w:i/>
        </w:rPr>
        <w:noBreakHyphen/>
        <w:t>279/94: komisjon vs Itaalia (EU:C:1997:396, punktid 40 ja 41)</w:t>
      </w:r>
    </w:p>
    <w:p w:rsidR="00E91B63" w:rsidRPr="00977BC2" w:rsidRDefault="00E91B63" w:rsidP="00B25F68">
      <w:pPr>
        <w:pStyle w:val="NormalWeb"/>
        <w:spacing w:before="0" w:beforeAutospacing="0" w:after="0" w:afterAutospacing="0"/>
        <w:jc w:val="both"/>
        <w:rPr>
          <w:rFonts w:eastAsia="Calibri"/>
          <w:b/>
          <w:i/>
          <w:lang w:eastAsia="en-US"/>
        </w:rPr>
      </w:pPr>
    </w:p>
    <w:p w:rsidR="00E96E31" w:rsidRPr="00977BC2" w:rsidRDefault="00160B40" w:rsidP="00B25F68">
      <w:pPr>
        <w:jc w:val="both"/>
      </w:pPr>
      <w:r w:rsidRPr="00977BC2">
        <w:t xml:space="preserve">– Kuigi direktiivi 83/189/EÜ artikli 8 lõikes 1 on nõutud kogu tehnilisi eeskirju sisaldava eelnõu komisjonile edastamine, ei puuduta selle kohustuse rikkumisest tingitud </w:t>
      </w:r>
      <w:proofErr w:type="spellStart"/>
      <w:r w:rsidRPr="00977BC2">
        <w:t>kohaldamatus</w:t>
      </w:r>
      <w:proofErr w:type="spellEnd"/>
      <w:r w:rsidRPr="00977BC2">
        <w:t xml:space="preserve"> mitte kõiki niisuguse seaduse sätteid, vaid ainult selles sisalduvaid tehnilisi eeskirju.</w:t>
      </w:r>
    </w:p>
    <w:p w:rsidR="00143415" w:rsidRPr="00977BC2" w:rsidRDefault="00143415" w:rsidP="00B25F68">
      <w:pPr>
        <w:jc w:val="both"/>
        <w:rPr>
          <w:rFonts w:eastAsia="Calibri"/>
          <w:b/>
          <w:i/>
          <w:lang w:eastAsia="en-US"/>
        </w:rPr>
      </w:pPr>
    </w:p>
    <w:p w:rsidR="00E91B63" w:rsidRPr="00977BC2" w:rsidRDefault="00E91B63" w:rsidP="00B25F68">
      <w:pPr>
        <w:pStyle w:val="NormalWeb"/>
        <w:spacing w:before="0" w:beforeAutospacing="0" w:after="0" w:afterAutospacing="0"/>
        <w:rPr>
          <w:rFonts w:eastAsia="Calibri"/>
          <w:b/>
          <w:i/>
        </w:rPr>
      </w:pPr>
      <w:r w:rsidRPr="00977BC2">
        <w:rPr>
          <w:b/>
          <w:i/>
        </w:rPr>
        <w:t xml:space="preserve">16. juuni 1998. aasta otsus kohtuasjas C-226/97: </w:t>
      </w:r>
      <w:proofErr w:type="spellStart"/>
      <w:r w:rsidRPr="00977BC2">
        <w:rPr>
          <w:b/>
          <w:i/>
        </w:rPr>
        <w:t>Lemmens</w:t>
      </w:r>
      <w:proofErr w:type="spellEnd"/>
      <w:r w:rsidRPr="00977BC2">
        <w:rPr>
          <w:b/>
          <w:i/>
        </w:rPr>
        <w:t xml:space="preserve"> (EU:C:1998:296, punktid 34–37)</w:t>
      </w:r>
    </w:p>
    <w:p w:rsidR="00E91B63" w:rsidRPr="00977BC2" w:rsidRDefault="00E91B63" w:rsidP="00B25F68">
      <w:pPr>
        <w:jc w:val="both"/>
      </w:pPr>
    </w:p>
    <w:p w:rsidR="00E91B63" w:rsidRPr="00977BC2" w:rsidRDefault="00160B40" w:rsidP="00B25F68">
      <w:pPr>
        <w:jc w:val="both"/>
      </w:pPr>
      <w:r w:rsidRPr="00977BC2">
        <w:t xml:space="preserve">– Nõukogu direktiivi 83/189/EMÜ tuleb tõlgendada nii, et selle kohaselt ei too direktiivi artikliga 8 sätestatud alkomeetrite tehnilistest eeskirjadest teavitamise kohustuse rikkumine kaasa seda, et alkoholi mõju all sõitmise süüdistusega isiku vastu kasutatavaid tõendeid ei ole võimalik hankida sellise seadme kaudu, mis on heaks kiidetud kooskõlas eeskirjadega, millest ei ole teavitatud. Sellise toote kasutamine avalike ametiasutuste poolt ei tekita kaubandustõket, mida oleks olnud võimalik teavitamisprotseduuri järgides vältida. </w:t>
      </w:r>
    </w:p>
    <w:p w:rsidR="00E91B63" w:rsidRPr="00977BC2" w:rsidRDefault="00E91B63" w:rsidP="00B25F68">
      <w:pPr>
        <w:rPr>
          <w:rFonts w:eastAsia="Calibri"/>
          <w:b/>
          <w:i/>
          <w:lang w:eastAsia="en-US"/>
        </w:rPr>
      </w:pPr>
    </w:p>
    <w:p w:rsidR="00E96E31" w:rsidRPr="00977BC2" w:rsidRDefault="00E96E31" w:rsidP="00B25F68">
      <w:r w:rsidRPr="00977BC2">
        <w:rPr>
          <w:b/>
          <w:i/>
        </w:rPr>
        <w:t xml:space="preserve">26. septembri 2000. aasta otsus kohtuasjas C-443/98: Unilever (EU:C:2000:496, punktid 44, 49–51) </w:t>
      </w:r>
    </w:p>
    <w:p w:rsidR="00E96E31" w:rsidRPr="00977BC2" w:rsidRDefault="00E96E31" w:rsidP="00B25F68">
      <w:pPr>
        <w:jc w:val="both"/>
        <w:rPr>
          <w:highlight w:val="yellow"/>
        </w:rPr>
      </w:pPr>
    </w:p>
    <w:p w:rsidR="00E96E31" w:rsidRPr="00977BC2" w:rsidRDefault="00160B40" w:rsidP="00B25F68">
      <w:pPr>
        <w:jc w:val="both"/>
      </w:pPr>
      <w:r w:rsidRPr="00977BC2">
        <w:t xml:space="preserve">– Direktiivi 98/34/EÜ artiklis 9 sätestatud edasilükkamise kohustuse rikkumine kujutab endast olulist menetlusviga, mis muudab tehnilised eeskirjad </w:t>
      </w:r>
      <w:proofErr w:type="spellStart"/>
      <w:r w:rsidRPr="00977BC2">
        <w:t>kohaldatamatuteks</w:t>
      </w:r>
      <w:proofErr w:type="spellEnd"/>
      <w:r w:rsidRPr="00977BC2">
        <w:t xml:space="preserve">. Lepingulisi õigusi ja kohustusi käsitlevas eraisikutevahelises tsiviilmenetluses võib direktiivi artikli 9 sätteid rikkudes vastu võetud tehniliste eeskirjade kohaldamine takistada nendele eeskirjadele mittevastavate toodete kasutamist või turustamist. </w:t>
      </w:r>
    </w:p>
    <w:p w:rsidR="00E96E31" w:rsidRPr="00977BC2" w:rsidRDefault="00E96E31" w:rsidP="00B25F68">
      <w:pPr>
        <w:pStyle w:val="NormalWeb"/>
        <w:spacing w:before="0" w:beforeAutospacing="0" w:after="0" w:afterAutospacing="0"/>
        <w:rPr>
          <w:rFonts w:eastAsia="Calibri"/>
          <w:b/>
          <w:i/>
          <w:lang w:eastAsia="en-US"/>
        </w:rPr>
      </w:pPr>
    </w:p>
    <w:p w:rsidR="00E96E31" w:rsidRPr="00977BC2" w:rsidRDefault="00E96E31" w:rsidP="00B25F68">
      <w:pPr>
        <w:pStyle w:val="NormalWeb"/>
        <w:spacing w:before="0" w:beforeAutospacing="0" w:after="0" w:afterAutospacing="0"/>
        <w:jc w:val="both"/>
        <w:rPr>
          <w:rFonts w:eastAsia="Calibri"/>
          <w:b/>
          <w:i/>
        </w:rPr>
      </w:pPr>
      <w:r w:rsidRPr="00977BC2">
        <w:rPr>
          <w:b/>
          <w:i/>
        </w:rPr>
        <w:t xml:space="preserve">6. juuni 2002. aasta otsus kohtuasjas C-159/00: </w:t>
      </w:r>
      <w:proofErr w:type="spellStart"/>
      <w:r w:rsidRPr="00977BC2">
        <w:rPr>
          <w:b/>
          <w:i/>
        </w:rPr>
        <w:t>Sapod</w:t>
      </w:r>
      <w:proofErr w:type="spellEnd"/>
      <w:r w:rsidRPr="00977BC2">
        <w:rPr>
          <w:b/>
          <w:i/>
        </w:rPr>
        <w:t xml:space="preserve"> </w:t>
      </w:r>
      <w:proofErr w:type="spellStart"/>
      <w:r w:rsidRPr="00977BC2">
        <w:rPr>
          <w:b/>
          <w:i/>
        </w:rPr>
        <w:t>Audic</w:t>
      </w:r>
      <w:proofErr w:type="spellEnd"/>
      <w:r w:rsidRPr="00977BC2">
        <w:rPr>
          <w:b/>
          <w:i/>
        </w:rPr>
        <w:t xml:space="preserve"> (EU:C:2002:343, punktid 50 ja 53)</w:t>
      </w:r>
    </w:p>
    <w:p w:rsidR="00E96E31" w:rsidRPr="00977BC2" w:rsidRDefault="00E96E31" w:rsidP="00B25F68">
      <w:pPr>
        <w:jc w:val="both"/>
      </w:pPr>
    </w:p>
    <w:p w:rsidR="00E96E31" w:rsidRPr="00977BC2" w:rsidRDefault="00160B40" w:rsidP="00B25F68">
      <w:pPr>
        <w:jc w:val="both"/>
      </w:pPr>
      <w:r w:rsidRPr="00977BC2">
        <w:t xml:space="preserve">– Eraisikutevahelises kohtumenetluses, mis käsitleb muu hulgas lepingulisi õigusi ja kohustusi, võib tugineda sellise tehnilise eeskirja </w:t>
      </w:r>
      <w:proofErr w:type="spellStart"/>
      <w:r w:rsidRPr="00977BC2">
        <w:t>kohaldamatusele</w:t>
      </w:r>
      <w:proofErr w:type="spellEnd"/>
      <w:r w:rsidRPr="00977BC2">
        <w:t>, millest ei ole komisjoni direktiivi 98/34/EÜ artikli 8 kohaselt teavitatud.</w:t>
      </w:r>
      <w:r w:rsidR="00D94F69">
        <w:t xml:space="preserve"> </w:t>
      </w:r>
      <w:r w:rsidRPr="00977BC2">
        <w:t xml:space="preserve">Sel juhul võib liikmesriigi kohus sätte kohaldamisest keelduda, kuna järeldused, mida võib teha selle riikliku sätte </w:t>
      </w:r>
      <w:proofErr w:type="spellStart"/>
      <w:r w:rsidRPr="00977BC2">
        <w:t>kohaldamatusest</w:t>
      </w:r>
      <w:proofErr w:type="spellEnd"/>
      <w:r w:rsidRPr="00977BC2">
        <w:t xml:space="preserve"> seoses kohaldatavatest liikmesriigi õigusaktidest (nt lepingu tühisus või </w:t>
      </w:r>
      <w:proofErr w:type="spellStart"/>
      <w:r w:rsidRPr="00977BC2">
        <w:t>jõustamatus</w:t>
      </w:r>
      <w:proofErr w:type="spellEnd"/>
      <w:r w:rsidRPr="00977BC2">
        <w:t xml:space="preserve">) tuleneva sanktsiooni raskusastmega, </w:t>
      </w:r>
      <w:bookmarkStart w:id="5" w:name="_GoBack"/>
      <w:bookmarkEnd w:id="5"/>
      <w:r w:rsidRPr="00977BC2">
        <w:t>on liikmesriigi õiguse küsimus. See järeldust põhineb aga tingimusel, et kohaldatavad liikmesriigi eeskirjad ei ole ebasoodsamad kui need, millega reguleeritakse samalaadseid liikmesriigi meetmeid, ning ei muuda liidu õigusaktidega antud õiguste kasutamist praktiliselt võimatuks.</w:t>
      </w:r>
    </w:p>
    <w:p w:rsidR="00E96E31" w:rsidRPr="00977BC2" w:rsidRDefault="00E96E31" w:rsidP="00B25F68">
      <w:pPr>
        <w:jc w:val="both"/>
      </w:pPr>
    </w:p>
    <w:p w:rsidR="00143415" w:rsidRPr="00977BC2" w:rsidRDefault="00143415" w:rsidP="00B25F68">
      <w:pPr>
        <w:jc w:val="both"/>
        <w:rPr>
          <w:rFonts w:eastAsia="Calibri"/>
          <w:b/>
          <w:i/>
        </w:rPr>
      </w:pPr>
      <w:r w:rsidRPr="00977BC2">
        <w:rPr>
          <w:b/>
          <w:i/>
        </w:rPr>
        <w:lastRenderedPageBreak/>
        <w:t xml:space="preserve">31. jaanuari 2013. aasta otsus kohtuasjas C-26/11: </w:t>
      </w:r>
      <w:proofErr w:type="spellStart"/>
      <w:r w:rsidRPr="00977BC2">
        <w:rPr>
          <w:b/>
          <w:i/>
        </w:rPr>
        <w:t>Belgische</w:t>
      </w:r>
      <w:proofErr w:type="spellEnd"/>
      <w:r w:rsidRPr="00977BC2">
        <w:rPr>
          <w:b/>
          <w:i/>
        </w:rPr>
        <w:t xml:space="preserve"> </w:t>
      </w:r>
      <w:proofErr w:type="spellStart"/>
      <w:r w:rsidRPr="00977BC2">
        <w:rPr>
          <w:b/>
          <w:i/>
        </w:rPr>
        <w:t>Petroleum</w:t>
      </w:r>
      <w:proofErr w:type="spellEnd"/>
      <w:r w:rsidRPr="00977BC2">
        <w:rPr>
          <w:b/>
          <w:i/>
        </w:rPr>
        <w:t xml:space="preserve"> </w:t>
      </w:r>
      <w:proofErr w:type="spellStart"/>
      <w:r w:rsidRPr="00977BC2">
        <w:rPr>
          <w:b/>
          <w:i/>
        </w:rPr>
        <w:t>Unie</w:t>
      </w:r>
      <w:proofErr w:type="spellEnd"/>
      <w:r w:rsidRPr="00977BC2">
        <w:rPr>
          <w:b/>
          <w:i/>
        </w:rPr>
        <w:t xml:space="preserve"> ja teised (EU:C:2013:44, punkt 50)</w:t>
      </w:r>
    </w:p>
    <w:p w:rsidR="00143415" w:rsidRPr="00977BC2" w:rsidRDefault="00143415" w:rsidP="00B25F68">
      <w:pPr>
        <w:jc w:val="both"/>
      </w:pPr>
    </w:p>
    <w:p w:rsidR="00143415" w:rsidRPr="00977BC2" w:rsidRDefault="00160B40" w:rsidP="00B25F68">
      <w:pPr>
        <w:jc w:val="both"/>
      </w:pPr>
      <w:r w:rsidRPr="00977BC2">
        <w:t xml:space="preserve">– Teavitamiskohustuse eiramise puhul on tegemist olulise menetlusnormi rikkumisega, mis tingib tehniliste eeskirjade </w:t>
      </w:r>
      <w:proofErr w:type="spellStart"/>
      <w:r w:rsidRPr="00977BC2">
        <w:t>kohaldamatuse</w:t>
      </w:r>
      <w:proofErr w:type="spellEnd"/>
      <w:r w:rsidRPr="00977BC2">
        <w:t>, mistõttu ei saa nende täitmist üksikisikutelt nõuda.</w:t>
      </w:r>
    </w:p>
    <w:p w:rsidR="00143415" w:rsidRPr="00977BC2" w:rsidRDefault="00143415" w:rsidP="00B25F68">
      <w:pPr>
        <w:jc w:val="both"/>
        <w:rPr>
          <w:rFonts w:eastAsia="Calibri"/>
          <w:b/>
          <w:i/>
          <w:lang w:eastAsia="en-US"/>
        </w:rPr>
      </w:pPr>
    </w:p>
    <w:p w:rsidR="00B15802" w:rsidRPr="00977BC2" w:rsidRDefault="00B15802" w:rsidP="00B25F68">
      <w:pPr>
        <w:jc w:val="both"/>
        <w:rPr>
          <w:rFonts w:eastAsia="Calibri"/>
          <w:b/>
          <w:i/>
        </w:rPr>
      </w:pPr>
      <w:r w:rsidRPr="00977BC2">
        <w:rPr>
          <w:b/>
          <w:i/>
        </w:rPr>
        <w:t>10. juuli 2014. aasta otsus kohtuasjas C</w:t>
      </w:r>
      <w:r w:rsidRPr="00977BC2">
        <w:rPr>
          <w:rFonts w:ascii="MS Gothic" w:hAnsi="MS Gothic"/>
          <w:b/>
          <w:i/>
        </w:rPr>
        <w:t>-</w:t>
      </w:r>
      <w:r w:rsidRPr="00977BC2">
        <w:rPr>
          <w:b/>
          <w:i/>
        </w:rPr>
        <w:t xml:space="preserve">307/13: </w:t>
      </w:r>
      <w:proofErr w:type="spellStart"/>
      <w:r w:rsidRPr="00977BC2">
        <w:rPr>
          <w:b/>
          <w:i/>
        </w:rPr>
        <w:t>Ivansson</w:t>
      </w:r>
      <w:proofErr w:type="spellEnd"/>
      <w:r w:rsidRPr="00977BC2">
        <w:rPr>
          <w:b/>
          <w:i/>
        </w:rPr>
        <w:t xml:space="preserve"> ja teised (EU:C:2014:2058, punktid 47–50)</w:t>
      </w:r>
    </w:p>
    <w:p w:rsidR="00B15802" w:rsidRPr="00977BC2" w:rsidRDefault="00B15802" w:rsidP="00B25F68">
      <w:pPr>
        <w:jc w:val="both"/>
        <w:rPr>
          <w:rFonts w:eastAsia="Calibri"/>
          <w:lang w:eastAsia="en-US"/>
        </w:rPr>
      </w:pPr>
    </w:p>
    <w:p w:rsidR="00B15802" w:rsidRPr="00977BC2" w:rsidRDefault="00160B40" w:rsidP="00B25F68">
      <w:pPr>
        <w:jc w:val="both"/>
        <w:rPr>
          <w:rFonts w:eastAsia="Calibri"/>
        </w:rPr>
      </w:pPr>
      <w:r w:rsidRPr="00977BC2">
        <w:t xml:space="preserve">– Algselt riiklike ametiasutuste poolt tehnilise eeskirja jõustumiseks ja rakendamiseks valitud ajakava olulise lühendamise suhtes kehtib Euroopa Komisjoni teavitamise kohustus, mis on sätestatud direktiivi 98/34/EÜ artikli 8 lõike 1 kolmandas lõigus. Sellise teavitamise puudumine muudaks asjaomase riikliku meetme </w:t>
      </w:r>
      <w:proofErr w:type="spellStart"/>
      <w:r w:rsidRPr="00977BC2">
        <w:t>kohaldamatuks</w:t>
      </w:r>
      <w:proofErr w:type="spellEnd"/>
      <w:r w:rsidRPr="00977BC2">
        <w:t xml:space="preserve"> ning seega isikute suhtes </w:t>
      </w:r>
      <w:proofErr w:type="spellStart"/>
      <w:r w:rsidRPr="00977BC2">
        <w:t>jõustamatuks</w:t>
      </w:r>
      <w:proofErr w:type="spellEnd"/>
      <w:r w:rsidRPr="00977BC2">
        <w:t>.</w:t>
      </w:r>
    </w:p>
    <w:p w:rsidR="00B15802" w:rsidRPr="00977BC2" w:rsidRDefault="00B15802" w:rsidP="00B25F68">
      <w:pPr>
        <w:jc w:val="both"/>
        <w:rPr>
          <w:rFonts w:eastAsia="Calibri"/>
          <w:lang w:eastAsia="en-US"/>
        </w:rPr>
      </w:pPr>
    </w:p>
    <w:p w:rsidR="00143415" w:rsidRPr="00977BC2" w:rsidRDefault="00143415" w:rsidP="00B25F68">
      <w:pPr>
        <w:jc w:val="both"/>
        <w:rPr>
          <w:rFonts w:eastAsia="Calibri"/>
          <w:b/>
          <w:i/>
        </w:rPr>
      </w:pPr>
      <w:r w:rsidRPr="00977BC2">
        <w:rPr>
          <w:b/>
          <w:i/>
        </w:rPr>
        <w:t xml:space="preserve">11. juuni 2015. aasta otsus kohtuasjas C-98/14: </w:t>
      </w:r>
      <w:proofErr w:type="spellStart"/>
      <w:r w:rsidRPr="00977BC2">
        <w:rPr>
          <w:b/>
          <w:i/>
        </w:rPr>
        <w:t>Berlington</w:t>
      </w:r>
      <w:proofErr w:type="spellEnd"/>
      <w:r w:rsidRPr="00977BC2">
        <w:rPr>
          <w:b/>
          <w:i/>
        </w:rPr>
        <w:t xml:space="preserve"> </w:t>
      </w:r>
      <w:proofErr w:type="spellStart"/>
      <w:r w:rsidRPr="00977BC2">
        <w:rPr>
          <w:b/>
          <w:i/>
        </w:rPr>
        <w:t>Hungary</w:t>
      </w:r>
      <w:proofErr w:type="spellEnd"/>
      <w:r w:rsidRPr="00977BC2">
        <w:rPr>
          <w:b/>
          <w:i/>
        </w:rPr>
        <w:t xml:space="preserve"> ja teised (EU:C:2015:386, punktid 107–110)</w:t>
      </w:r>
    </w:p>
    <w:p w:rsidR="00143415" w:rsidRPr="00977BC2" w:rsidRDefault="00143415" w:rsidP="00B25F68">
      <w:pPr>
        <w:jc w:val="both"/>
      </w:pPr>
    </w:p>
    <w:p w:rsidR="00143415" w:rsidRPr="00977BC2" w:rsidRDefault="00160B40" w:rsidP="00B25F68">
      <w:pPr>
        <w:jc w:val="both"/>
      </w:pPr>
      <w:r w:rsidRPr="00977BC2">
        <w:t>– Direktiivi 98/34/EÜ artiklite 8 ja 9 eesmärk ei ole anda õigusi eraõiguslikele isikutele nii, et kui liikmesriik neid rikub, toob see et kaasa eraõigusliku isiku õiguse nõuda liidu õiguse alusel liikmesriigilt hüvitist selle rikkumise tagajärjel tekkinud kahju eest.</w:t>
      </w:r>
    </w:p>
    <w:p w:rsidR="00143415" w:rsidRPr="00977BC2" w:rsidRDefault="00143415" w:rsidP="00B25F68">
      <w:pPr>
        <w:jc w:val="both"/>
        <w:rPr>
          <w:rFonts w:eastAsia="Calibri"/>
          <w:b/>
          <w:i/>
          <w:lang w:eastAsia="en-US"/>
        </w:rPr>
      </w:pPr>
    </w:p>
    <w:p w:rsidR="00143415" w:rsidRPr="00977BC2" w:rsidRDefault="00143415" w:rsidP="00B25F68">
      <w:pPr>
        <w:jc w:val="both"/>
        <w:rPr>
          <w:rFonts w:eastAsia="Calibri"/>
          <w:b/>
          <w:i/>
        </w:rPr>
      </w:pPr>
      <w:r w:rsidRPr="00977BC2">
        <w:rPr>
          <w:b/>
          <w:i/>
        </w:rPr>
        <w:t xml:space="preserve">16. juuli 2015. aasta otsus kohtuasjas C-95/14: UNIC ja </w:t>
      </w:r>
      <w:proofErr w:type="spellStart"/>
      <w:r w:rsidRPr="00977BC2">
        <w:rPr>
          <w:b/>
          <w:i/>
        </w:rPr>
        <w:t>Uni.co.pel</w:t>
      </w:r>
      <w:proofErr w:type="spellEnd"/>
      <w:r w:rsidRPr="00977BC2">
        <w:rPr>
          <w:b/>
          <w:i/>
        </w:rPr>
        <w:t xml:space="preserve"> (</w:t>
      </w:r>
      <w:r w:rsidRPr="00977BC2">
        <w:rPr>
          <w:rStyle w:val="outputecliaff"/>
          <w:b/>
          <w:i/>
        </w:rPr>
        <w:t>EU:C:2015:492,</w:t>
      </w:r>
      <w:r w:rsidRPr="00977BC2">
        <w:rPr>
          <w:rStyle w:val="outputecliaff"/>
          <w:i/>
        </w:rPr>
        <w:t xml:space="preserve"> </w:t>
      </w:r>
      <w:r w:rsidRPr="00977BC2">
        <w:rPr>
          <w:b/>
          <w:i/>
        </w:rPr>
        <w:t>punktid 29–30)</w:t>
      </w:r>
    </w:p>
    <w:p w:rsidR="00143415" w:rsidRPr="00977BC2" w:rsidRDefault="00143415" w:rsidP="00B25F68">
      <w:pPr>
        <w:jc w:val="both"/>
        <w:rPr>
          <w:rFonts w:eastAsia="Calibri"/>
          <w:lang w:eastAsia="en-US"/>
        </w:rPr>
      </w:pPr>
    </w:p>
    <w:p w:rsidR="00143415" w:rsidRPr="00977BC2" w:rsidRDefault="00160B40" w:rsidP="00B25F68">
      <w:pPr>
        <w:jc w:val="both"/>
        <w:rPr>
          <w:rFonts w:eastAsia="Calibri"/>
        </w:rPr>
      </w:pPr>
      <w:r w:rsidRPr="00977BC2">
        <w:t>– Tehnilist eeskirja ei saa kohaldada, kui sellest ei ole direktiivi 98/34/EÜ artikli 8 lõike 1 kohaselt teavitatud või kui juhul, kui sellest eeskirjast on küll teavitatud, võeti see vastu ja seda rakendati enne selle direktiivi artikli 9 lõikes 1 sätestatud kolmekuulise ooteaja möödumist.</w:t>
      </w:r>
    </w:p>
    <w:p w:rsidR="00143415" w:rsidRPr="00977BC2" w:rsidRDefault="00160B40" w:rsidP="00B25F68">
      <w:pPr>
        <w:jc w:val="both"/>
        <w:rPr>
          <w:rFonts w:eastAsia="Calibri"/>
        </w:rPr>
      </w:pPr>
      <w:r w:rsidRPr="00977BC2">
        <w:t>– Ooteaja järgimata jätmine on menetlusnormi oluline rikkumine, mille tagajärjel ei ole kõnealune tehniline eeskiri rakendatav ja seda ei saa kasutada üksikisikute vastu.</w:t>
      </w:r>
    </w:p>
    <w:p w:rsidR="00EB4A26" w:rsidRPr="00977BC2" w:rsidRDefault="00EB4A26" w:rsidP="00B25F68">
      <w:pPr>
        <w:jc w:val="both"/>
        <w:rPr>
          <w:rFonts w:ascii="Arial" w:hAnsi="Arial" w:cs="Arial"/>
        </w:rPr>
      </w:pPr>
    </w:p>
    <w:p w:rsidR="00EB4A26" w:rsidRPr="00977BC2" w:rsidRDefault="00EB4A26" w:rsidP="00B25F68">
      <w:pPr>
        <w:jc w:val="both"/>
        <w:rPr>
          <w:rFonts w:eastAsia="Calibri"/>
          <w:b/>
          <w:i/>
        </w:rPr>
      </w:pPr>
      <w:r w:rsidRPr="00977BC2">
        <w:rPr>
          <w:b/>
          <w:i/>
        </w:rPr>
        <w:t xml:space="preserve">2. veebruari 2016. aasta otsus kohtuasjas C-336/14: </w:t>
      </w:r>
      <w:proofErr w:type="spellStart"/>
      <w:r w:rsidRPr="00977BC2">
        <w:rPr>
          <w:b/>
          <w:i/>
        </w:rPr>
        <w:t>Ince</w:t>
      </w:r>
      <w:proofErr w:type="spellEnd"/>
      <w:r w:rsidRPr="00977BC2">
        <w:rPr>
          <w:b/>
          <w:i/>
        </w:rPr>
        <w:t xml:space="preserve"> (EU:C:2016:72, punktid 67–68)</w:t>
      </w:r>
    </w:p>
    <w:p w:rsidR="00B65378" w:rsidRPr="00977BC2" w:rsidRDefault="00B65378" w:rsidP="00B25F68">
      <w:pPr>
        <w:jc w:val="both"/>
      </w:pPr>
    </w:p>
    <w:p w:rsidR="00EB4A26" w:rsidRPr="00977BC2" w:rsidRDefault="00160B40" w:rsidP="00B25F68">
      <w:pPr>
        <w:jc w:val="both"/>
      </w:pPr>
      <w:r w:rsidRPr="00977BC2">
        <w:t xml:space="preserve">– Direktiivi 98/34/EÜ artikli 8 lõikes 1 sätestatud teavitamiskohustuse täitmata jätmise näol on tegemist menetlusnormi rikkumisega vastavate tehniliste eeskirjade vastuvõtmisel, mis muudab need tehnilised eeskirjad </w:t>
      </w:r>
      <w:proofErr w:type="spellStart"/>
      <w:r w:rsidRPr="00977BC2">
        <w:t>kohaldamatuks</w:t>
      </w:r>
      <w:proofErr w:type="spellEnd"/>
      <w:r w:rsidRPr="00977BC2">
        <w:t>, nii et neile ei saa isikute vastu tugineda.</w:t>
      </w:r>
    </w:p>
    <w:p w:rsidR="00EB4A26" w:rsidRPr="00977BC2" w:rsidRDefault="00160B40" w:rsidP="00B25F68">
      <w:pPr>
        <w:jc w:val="both"/>
        <w:rPr>
          <w:rFonts w:eastAsia="Calibri"/>
        </w:rPr>
      </w:pPr>
      <w:r w:rsidRPr="00977BC2">
        <w:t xml:space="preserve">– Kuigi direktiivi 98/34/EÜ artikli 8 lõikes 1 on nõutud kogu tehnilisi eeskirju sisaldava eelnõu komisjonile edastamine, ei puuduta selle kohustuse rikkumisest tingitud </w:t>
      </w:r>
      <w:proofErr w:type="spellStart"/>
      <w:r w:rsidRPr="00977BC2">
        <w:t>kohaldamatus</w:t>
      </w:r>
      <w:proofErr w:type="spellEnd"/>
      <w:r w:rsidRPr="00977BC2">
        <w:t xml:space="preserve"> mitte kõiki niisuguse seaduse sätteid, vaid ainult selles sisalduvaid tehnilisi eeskirju.</w:t>
      </w:r>
    </w:p>
    <w:p w:rsidR="00B65378" w:rsidRPr="00977BC2" w:rsidRDefault="00B65378" w:rsidP="00B25F68">
      <w:pPr>
        <w:jc w:val="both"/>
        <w:rPr>
          <w:rFonts w:eastAsia="Calibri"/>
          <w:b/>
          <w:i/>
          <w:lang w:eastAsia="en-US"/>
        </w:rPr>
      </w:pPr>
    </w:p>
    <w:p w:rsidR="00143415" w:rsidRPr="00977BC2" w:rsidRDefault="00143415" w:rsidP="00B25F68">
      <w:pPr>
        <w:jc w:val="both"/>
        <w:rPr>
          <w:rFonts w:eastAsia="Calibri"/>
          <w:b/>
          <w:i/>
        </w:rPr>
      </w:pPr>
      <w:r w:rsidRPr="00977BC2">
        <w:rPr>
          <w:b/>
          <w:i/>
        </w:rPr>
        <w:t xml:space="preserve">21. aprilli 2016. aasta otsus kohtuasjas C-285/15: </w:t>
      </w:r>
      <w:proofErr w:type="spellStart"/>
      <w:r w:rsidRPr="00977BC2">
        <w:rPr>
          <w:b/>
          <w:i/>
        </w:rPr>
        <w:t>Beca</w:t>
      </w:r>
      <w:proofErr w:type="spellEnd"/>
      <w:r w:rsidRPr="00977BC2">
        <w:rPr>
          <w:b/>
          <w:i/>
        </w:rPr>
        <w:t xml:space="preserve"> </w:t>
      </w:r>
      <w:proofErr w:type="spellStart"/>
      <w:r w:rsidRPr="00977BC2">
        <w:rPr>
          <w:b/>
          <w:i/>
        </w:rPr>
        <w:t>Engineering</w:t>
      </w:r>
      <w:proofErr w:type="spellEnd"/>
      <w:r w:rsidRPr="00977BC2">
        <w:rPr>
          <w:b/>
          <w:i/>
        </w:rPr>
        <w:t xml:space="preserve"> (EU:C:2016:295, punkt 37)</w:t>
      </w:r>
    </w:p>
    <w:p w:rsidR="00143415" w:rsidRPr="00977BC2" w:rsidRDefault="00143415" w:rsidP="00B25F68">
      <w:pPr>
        <w:jc w:val="both"/>
      </w:pPr>
    </w:p>
    <w:p w:rsidR="00143415" w:rsidRPr="00977BC2" w:rsidRDefault="00CC592B" w:rsidP="00B25F68">
      <w:pPr>
        <w:jc w:val="both"/>
      </w:pPr>
      <w:r w:rsidRPr="00977BC2">
        <w:t xml:space="preserve">– Direktiivi 98/34/EÜ artiklis 8 sätestatud tehnilistest eeskirjadest teavitamise kohustuse rikkumine muudab asjaomased tehnilised eeskirjad </w:t>
      </w:r>
      <w:proofErr w:type="spellStart"/>
      <w:r w:rsidRPr="00977BC2">
        <w:t>kohaldamatuks</w:t>
      </w:r>
      <w:proofErr w:type="spellEnd"/>
      <w:r w:rsidRPr="00977BC2">
        <w:t xml:space="preserve">, nii et neile ei saa isikute vastu tugineda ning isikud saavad direktiivi 98/34/EÜ artikli 8 alusel pöörduda riiklike kohtute poole. Riiklik kohtunik on kohustatud keelduma sellise riikliku tehnilise eeskirja kohaldamisest, millest ei ole direktiivi kohaselt teavitatud. </w:t>
      </w:r>
    </w:p>
    <w:p w:rsidR="00143415" w:rsidRPr="00977BC2" w:rsidRDefault="00143415" w:rsidP="00B25F68">
      <w:pPr>
        <w:jc w:val="both"/>
        <w:rPr>
          <w:rFonts w:eastAsia="Calibri"/>
          <w:b/>
          <w:i/>
          <w:lang w:eastAsia="en-US"/>
        </w:rPr>
      </w:pPr>
    </w:p>
    <w:p w:rsidR="00143415" w:rsidRPr="00977BC2" w:rsidRDefault="00143415" w:rsidP="00B25F68">
      <w:pPr>
        <w:jc w:val="both"/>
        <w:rPr>
          <w:rFonts w:eastAsia="Calibri"/>
          <w:b/>
          <w:i/>
        </w:rPr>
      </w:pPr>
      <w:r w:rsidRPr="00977BC2">
        <w:rPr>
          <w:b/>
          <w:i/>
        </w:rPr>
        <w:t xml:space="preserve">1. veebruari 2017. aasta otsus kohtuasjas C-144/16: </w:t>
      </w:r>
      <w:proofErr w:type="spellStart"/>
      <w:r w:rsidRPr="00977BC2">
        <w:rPr>
          <w:b/>
          <w:i/>
        </w:rPr>
        <w:t>Município</w:t>
      </w:r>
      <w:proofErr w:type="spellEnd"/>
      <w:r w:rsidRPr="00977BC2">
        <w:rPr>
          <w:b/>
          <w:i/>
        </w:rPr>
        <w:t xml:space="preserve"> de </w:t>
      </w:r>
      <w:proofErr w:type="spellStart"/>
      <w:r w:rsidRPr="00977BC2">
        <w:rPr>
          <w:b/>
          <w:i/>
        </w:rPr>
        <w:t>Palmela</w:t>
      </w:r>
      <w:proofErr w:type="spellEnd"/>
      <w:r w:rsidRPr="00977BC2">
        <w:rPr>
          <w:b/>
          <w:i/>
        </w:rPr>
        <w:t xml:space="preserve"> (EU:C:2017:76, punktid 35–38)</w:t>
      </w:r>
    </w:p>
    <w:p w:rsidR="00143415" w:rsidRPr="00977BC2" w:rsidRDefault="00143415" w:rsidP="00B25F68">
      <w:pPr>
        <w:jc w:val="both"/>
      </w:pPr>
    </w:p>
    <w:p w:rsidR="00143415" w:rsidRPr="00977BC2" w:rsidRDefault="00CC592B" w:rsidP="00B25F68">
      <w:pPr>
        <w:jc w:val="both"/>
      </w:pPr>
      <w:r w:rsidRPr="00977BC2">
        <w:t xml:space="preserve">– Direktiivi 98/34/EÜ artikli 8 lõiget 1 tuleb tõlgendada nii, et sellistest tehnilistest eeskirjadest teavitamata jätmise tagajärg on ainult nimetatud tehniliste eeskirjade </w:t>
      </w:r>
      <w:proofErr w:type="spellStart"/>
      <w:r w:rsidRPr="00977BC2">
        <w:t>kohaldamatus</w:t>
      </w:r>
      <w:proofErr w:type="spellEnd"/>
      <w:r w:rsidRPr="00977BC2">
        <w:t xml:space="preserve">, kuid mitte kogu neid sisaldava õigusakti </w:t>
      </w:r>
      <w:proofErr w:type="spellStart"/>
      <w:r w:rsidRPr="00977BC2">
        <w:t>kohaldamatus</w:t>
      </w:r>
      <w:proofErr w:type="spellEnd"/>
      <w:r w:rsidRPr="00977BC2">
        <w:t>.</w:t>
      </w:r>
    </w:p>
    <w:p w:rsidR="00143415" w:rsidRPr="00977BC2" w:rsidRDefault="00143415" w:rsidP="00B25F68">
      <w:pPr>
        <w:jc w:val="both"/>
        <w:rPr>
          <w:rFonts w:eastAsia="Calibri"/>
          <w:lang w:eastAsia="en-US"/>
        </w:rPr>
      </w:pPr>
    </w:p>
    <w:p w:rsidR="006255E9" w:rsidRPr="00977BC2" w:rsidRDefault="006255E9" w:rsidP="00B25F68">
      <w:pPr>
        <w:pStyle w:val="Style1"/>
      </w:pPr>
      <w:r w:rsidRPr="00977BC2">
        <w:br w:type="page"/>
      </w:r>
    </w:p>
    <w:p w:rsidR="00B65378" w:rsidRPr="00977BC2" w:rsidRDefault="00E96E31" w:rsidP="00B25F68">
      <w:pPr>
        <w:pStyle w:val="Style1"/>
      </w:pPr>
      <w:bookmarkStart w:id="6" w:name="Third_heading"/>
      <w:r w:rsidRPr="00977BC2">
        <w:lastRenderedPageBreak/>
        <w:t>III. Liikmesriigi suutmatus oma kohustusi täita</w:t>
      </w:r>
    </w:p>
    <w:bookmarkEnd w:id="6"/>
    <w:p w:rsidR="00143415" w:rsidRPr="00977BC2" w:rsidRDefault="00143415" w:rsidP="00B25F68">
      <w:pPr>
        <w:jc w:val="both"/>
        <w:rPr>
          <w:rFonts w:eastAsia="Calibri"/>
          <w:b/>
          <w:i/>
          <w:lang w:eastAsia="en-US"/>
        </w:rPr>
      </w:pPr>
    </w:p>
    <w:p w:rsidR="00EB4A26" w:rsidRPr="00977BC2" w:rsidRDefault="00EB4A26" w:rsidP="00B25F68">
      <w:pPr>
        <w:jc w:val="both"/>
        <w:rPr>
          <w:rFonts w:eastAsia="Calibri"/>
          <w:b/>
          <w:i/>
        </w:rPr>
      </w:pPr>
      <w:r w:rsidRPr="00977BC2">
        <w:rPr>
          <w:b/>
          <w:i/>
        </w:rPr>
        <w:t>4. juuni 2009. aasta otsus kohtuasjas C-109/08: komisjon vs Kreeka (EU:C:2009:346)</w:t>
      </w:r>
    </w:p>
    <w:p w:rsidR="00E91B63" w:rsidRPr="00977BC2" w:rsidRDefault="00E91B63" w:rsidP="00B25F68">
      <w:pPr>
        <w:jc w:val="both"/>
      </w:pPr>
    </w:p>
    <w:p w:rsidR="00EB4A26" w:rsidRPr="00977BC2" w:rsidRDefault="00CC592B" w:rsidP="00B25F68">
      <w:pPr>
        <w:jc w:val="both"/>
      </w:pPr>
      <w:r w:rsidRPr="00977BC2">
        <w:t xml:space="preserve">– Kuna Kreeka Vabariik ei ole EÜ artiklite 28, 43 ja 49 ning direktiivi 98/34/EÜ artikli 8 kohaselt muutnud seaduse 3037/2002 artikli 2 lõiget 1 ja artiklit 3, millega on kehtestatud keeld paigaldada ja käitada mis tahes elektrilisi, </w:t>
      </w:r>
      <w:proofErr w:type="spellStart"/>
      <w:r w:rsidRPr="00977BC2">
        <w:t>elektromehaanilisi</w:t>
      </w:r>
      <w:proofErr w:type="spellEnd"/>
      <w:r w:rsidRPr="00977BC2">
        <w:t xml:space="preserve"> ja elektroonilisi mänge (sh arvutimänge) kõigis avalikes kohtades või eraruumides, välja arvatud kasiinodes, ja millele kohaldatakse seaduse artiklites 4 ja 5 ette nähtud kriminaal- ja halduskaristusi, siis ei ole Kreeka Vabariik rakendanud kõiki 26. oktoobri 2006. aasta kohtuasja C</w:t>
      </w:r>
      <w:r w:rsidRPr="00977BC2">
        <w:noBreakHyphen/>
        <w:t>65/05 (komisjon vs Kreeka) puudutava otsuse täitmiseks vajalikke meetmeid ning on järelikult rikkunud talle EÜ artiklist 228 tulenevaid kohustusi.</w:t>
      </w:r>
    </w:p>
    <w:p w:rsidR="00EB4A26" w:rsidRPr="00977BC2" w:rsidRDefault="00EB4A26" w:rsidP="00B25F68">
      <w:pPr>
        <w:jc w:val="both"/>
      </w:pPr>
    </w:p>
    <w:p w:rsidR="00EB4A26" w:rsidRPr="00977BC2" w:rsidRDefault="00EB4A26" w:rsidP="00B25F68">
      <w:pPr>
        <w:jc w:val="both"/>
        <w:rPr>
          <w:rFonts w:eastAsia="Calibri"/>
          <w:b/>
          <w:i/>
        </w:rPr>
      </w:pPr>
      <w:r w:rsidRPr="00977BC2">
        <w:rPr>
          <w:b/>
          <w:i/>
        </w:rPr>
        <w:t>8. septembri 2005. aasta otsus kohtuasjas C-500/03: komisjon vs Portugal (EU:C:2005:515)</w:t>
      </w:r>
    </w:p>
    <w:p w:rsidR="00E91B63" w:rsidRPr="00977BC2" w:rsidRDefault="00E91B63" w:rsidP="00B25F68">
      <w:pPr>
        <w:jc w:val="both"/>
      </w:pPr>
    </w:p>
    <w:p w:rsidR="00EB4A26" w:rsidRPr="00977BC2" w:rsidRDefault="00CC592B" w:rsidP="00B25F68">
      <w:pPr>
        <w:jc w:val="both"/>
      </w:pPr>
      <w:r w:rsidRPr="00977BC2">
        <w:t>– Ministeeriumi määrust nr 783/98 vastu võttes ning komisjoni sellest eelnõu etapis teavitamata jättes rikkus Portugal oma direktiivi 98/34/EÜ artiklist 8 tulenevaid kohustusi.</w:t>
      </w:r>
    </w:p>
    <w:p w:rsidR="00B65378" w:rsidRPr="00977BC2" w:rsidRDefault="00B65378" w:rsidP="00B25F68">
      <w:pPr>
        <w:pStyle w:val="NormalWeb"/>
        <w:spacing w:before="0" w:beforeAutospacing="0" w:after="0" w:afterAutospacing="0"/>
        <w:rPr>
          <w:rFonts w:eastAsia="Calibri"/>
          <w:b/>
          <w:i/>
          <w:lang w:eastAsia="en-US"/>
        </w:rPr>
      </w:pPr>
    </w:p>
    <w:p w:rsidR="00EB4A26" w:rsidRPr="00977BC2" w:rsidRDefault="00EB4A26" w:rsidP="00B25F68">
      <w:pPr>
        <w:pStyle w:val="NormalWeb"/>
        <w:spacing w:before="0" w:beforeAutospacing="0" w:after="0" w:afterAutospacing="0"/>
        <w:jc w:val="both"/>
        <w:rPr>
          <w:rFonts w:eastAsia="Calibri"/>
          <w:b/>
          <w:i/>
        </w:rPr>
      </w:pPr>
      <w:r w:rsidRPr="00977BC2">
        <w:rPr>
          <w:b/>
          <w:i/>
        </w:rPr>
        <w:t>14. juuli 1994. aasta otsus kohtuasjas C-52/93: komisjon vs Madalmaad (EU:C:1994:301)</w:t>
      </w:r>
    </w:p>
    <w:p w:rsidR="00E91B63" w:rsidRPr="00977BC2" w:rsidRDefault="00E91B63" w:rsidP="00B25F68">
      <w:pPr>
        <w:jc w:val="both"/>
      </w:pPr>
    </w:p>
    <w:p w:rsidR="00EB4A26" w:rsidRPr="00977BC2" w:rsidRDefault="00CC592B" w:rsidP="00B25F68">
      <w:pPr>
        <w:jc w:val="both"/>
      </w:pPr>
      <w:r w:rsidRPr="00977BC2">
        <w:t>– Võttes vastu lillesibulate kvaliteedistandardeid käsitleva PVS-määruse muudatuse, teavitamata eelnõu etapis komisjoni, rikkusid Madalmaad oma direktiivi artiklist 8 tulenevaid kohustusi.</w:t>
      </w:r>
    </w:p>
    <w:p w:rsidR="00EB4A26" w:rsidRPr="00977BC2" w:rsidRDefault="00EB4A26" w:rsidP="00B25F68">
      <w:pPr>
        <w:pStyle w:val="NormalWeb"/>
        <w:spacing w:before="0" w:beforeAutospacing="0" w:after="0" w:afterAutospacing="0"/>
        <w:jc w:val="both"/>
        <w:rPr>
          <w:rFonts w:eastAsia="Calibri"/>
          <w:b/>
          <w:i/>
          <w:lang w:eastAsia="en-US"/>
        </w:rPr>
      </w:pPr>
    </w:p>
    <w:p w:rsidR="00EB4A26" w:rsidRPr="00977BC2" w:rsidRDefault="00EB4A26" w:rsidP="00B25F68">
      <w:pPr>
        <w:pStyle w:val="NormalWeb"/>
        <w:spacing w:before="0" w:beforeAutospacing="0" w:after="0" w:afterAutospacing="0"/>
        <w:jc w:val="both"/>
        <w:rPr>
          <w:rFonts w:eastAsia="Calibri"/>
          <w:b/>
          <w:i/>
        </w:rPr>
      </w:pPr>
      <w:r w:rsidRPr="00977BC2">
        <w:rPr>
          <w:b/>
          <w:i/>
        </w:rPr>
        <w:t>14. juuli 1994. aasta otsus kohtuasjas C-61/93: komisjon vs Madalmaad (EU:C:1994:302)</w:t>
      </w:r>
    </w:p>
    <w:p w:rsidR="00E91B63" w:rsidRPr="00977BC2" w:rsidRDefault="00E91B63" w:rsidP="00B25F68">
      <w:pPr>
        <w:jc w:val="both"/>
      </w:pPr>
    </w:p>
    <w:p w:rsidR="00EB4A26" w:rsidRPr="00977BC2" w:rsidRDefault="00CC592B" w:rsidP="00B25F68">
      <w:pPr>
        <w:jc w:val="both"/>
      </w:pPr>
      <w:r w:rsidRPr="00977BC2">
        <w:t>– Võttes vastu dekreedid kilovatt-tunni mõõdikute, karastusjookide pudelite tugevusnõuete ning pestitsiidide koostise, klassifitseerimise, pakendamise ja märgistamise kohta, teavitamata neist eelnõu etapis komisjoni, rikkusid Madalmaad oma direktiivi artiklist 8 tulenevaid kohustusi.</w:t>
      </w:r>
    </w:p>
    <w:p w:rsidR="00EB4A26" w:rsidRPr="00977BC2" w:rsidRDefault="00EB4A26" w:rsidP="00B25F68">
      <w:pPr>
        <w:jc w:val="both"/>
      </w:pPr>
    </w:p>
    <w:p w:rsidR="00EB4A26" w:rsidRPr="00977BC2" w:rsidRDefault="00EB4A26" w:rsidP="00B25F68">
      <w:pPr>
        <w:pStyle w:val="NormalWeb"/>
        <w:spacing w:before="0" w:beforeAutospacing="0" w:after="0" w:afterAutospacing="0"/>
        <w:jc w:val="both"/>
        <w:rPr>
          <w:rFonts w:eastAsia="Calibri"/>
          <w:b/>
          <w:i/>
        </w:rPr>
      </w:pPr>
      <w:r w:rsidRPr="00977BC2">
        <w:rPr>
          <w:b/>
          <w:i/>
        </w:rPr>
        <w:t>2. augusti 1993. aasta otsus kohtuasjas C-139/92: komisjon vs Itaalia (EU:C:1993:346)</w:t>
      </w:r>
    </w:p>
    <w:p w:rsidR="00E91B63" w:rsidRPr="00977BC2" w:rsidRDefault="00E91B63" w:rsidP="00B25F68">
      <w:pPr>
        <w:jc w:val="both"/>
      </w:pPr>
    </w:p>
    <w:p w:rsidR="00EB4A26" w:rsidRPr="00977BC2" w:rsidRDefault="00CC592B" w:rsidP="00B25F68">
      <w:pPr>
        <w:jc w:val="both"/>
      </w:pPr>
      <w:r w:rsidRPr="00977BC2">
        <w:t>– Jättes eelnõu etapis teavitamata ministri dekreedist nr 514/87 lõbusõidulaevade mootori maksimaalse võimsuse, ehitamise ja paigaldamise kindlaksmääramise ning kontrollimise kohta, rikkus Itaalia oma direktiivist tulenevaid kohustusi.</w:t>
      </w:r>
    </w:p>
    <w:sectPr w:rsidR="00EB4A26" w:rsidRPr="00977BC2" w:rsidSect="0072090F">
      <w:footerReference w:type="default" r:id="rId8"/>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4D0" w:rsidRDefault="005134D0" w:rsidP="00EB4A26">
      <w:r>
        <w:separator/>
      </w:r>
    </w:p>
  </w:endnote>
  <w:endnote w:type="continuationSeparator" w:id="0">
    <w:p w:rsidR="005134D0" w:rsidRDefault="005134D0" w:rsidP="00EB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7490"/>
      <w:docPartObj>
        <w:docPartGallery w:val="Page Numbers (Bottom of Page)"/>
        <w:docPartUnique/>
      </w:docPartObj>
    </w:sdtPr>
    <w:sdtEndPr>
      <w:rPr>
        <w:noProof/>
      </w:rPr>
    </w:sdtEndPr>
    <w:sdtContent>
      <w:p w:rsidR="00EB4A26" w:rsidRDefault="00EB4A26">
        <w:pPr>
          <w:pStyle w:val="Footer"/>
          <w:jc w:val="center"/>
        </w:pPr>
        <w:r>
          <w:fldChar w:fldCharType="begin"/>
        </w:r>
        <w:r>
          <w:instrText xml:space="preserve"> PAGE   \* MERGEFORMAT </w:instrText>
        </w:r>
        <w:r>
          <w:fldChar w:fldCharType="separate"/>
        </w:r>
        <w:r w:rsidR="00D94F69">
          <w:rPr>
            <w:noProof/>
          </w:rPr>
          <w:t>14</w:t>
        </w:r>
        <w:r>
          <w:fldChar w:fldCharType="end"/>
        </w:r>
      </w:p>
    </w:sdtContent>
  </w:sdt>
  <w:p w:rsidR="00EB4A26" w:rsidRDefault="00EB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4D0" w:rsidRDefault="005134D0" w:rsidP="00EB4A26">
      <w:r>
        <w:separator/>
      </w:r>
    </w:p>
  </w:footnote>
  <w:footnote w:type="continuationSeparator" w:id="0">
    <w:p w:rsidR="005134D0" w:rsidRDefault="005134D0" w:rsidP="00EB4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93F"/>
    <w:multiLevelType w:val="multilevel"/>
    <w:tmpl w:val="879E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60DD"/>
    <w:multiLevelType w:val="multilevel"/>
    <w:tmpl w:val="8A5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68C"/>
    <w:multiLevelType w:val="hybridMultilevel"/>
    <w:tmpl w:val="8A4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71AA"/>
    <w:multiLevelType w:val="multilevel"/>
    <w:tmpl w:val="8D5A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93406"/>
    <w:multiLevelType w:val="multilevel"/>
    <w:tmpl w:val="EF9E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90962"/>
    <w:multiLevelType w:val="hybridMultilevel"/>
    <w:tmpl w:val="16123990"/>
    <w:lvl w:ilvl="0" w:tplc="3956F81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7A2308"/>
    <w:multiLevelType w:val="hybridMultilevel"/>
    <w:tmpl w:val="74DEF5CE"/>
    <w:lvl w:ilvl="0" w:tplc="7D4C6448">
      <w:start w:val="1"/>
      <w:numFmt w:val="upperRoman"/>
      <w:lvlText w:val="%1."/>
      <w:lvlJc w:val="left"/>
      <w:pPr>
        <w:ind w:left="720" w:hanging="360"/>
      </w:pPr>
      <w:rPr>
        <w:rFonts w:ascii="Times New Roman" w:eastAsia="Times New Roman" w:hAnsi="Times New Roman" w:cs="Times New Roman"/>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747ADC"/>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34B9B"/>
    <w:multiLevelType w:val="hybridMultilevel"/>
    <w:tmpl w:val="6B90E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80C8B"/>
    <w:multiLevelType w:val="multilevel"/>
    <w:tmpl w:val="E61E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40561"/>
    <w:multiLevelType w:val="hybridMultilevel"/>
    <w:tmpl w:val="0A1049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1956"/>
    <w:multiLevelType w:val="multilevel"/>
    <w:tmpl w:val="418A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B37"/>
    <w:multiLevelType w:val="hybridMultilevel"/>
    <w:tmpl w:val="D5B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93ABF"/>
    <w:multiLevelType w:val="hybridMultilevel"/>
    <w:tmpl w:val="79F8AA08"/>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58CC43F0"/>
    <w:multiLevelType w:val="hybridMultilevel"/>
    <w:tmpl w:val="2B98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B2A5E"/>
    <w:multiLevelType w:val="hybridMultilevel"/>
    <w:tmpl w:val="350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F033C"/>
    <w:multiLevelType w:val="hybridMultilevel"/>
    <w:tmpl w:val="1E94781E"/>
    <w:lvl w:ilvl="0" w:tplc="593CBF5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C952FDF"/>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160AE8"/>
    <w:multiLevelType w:val="hybridMultilevel"/>
    <w:tmpl w:val="5D9EE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3"/>
  </w:num>
  <w:num w:numId="5">
    <w:abstractNumId w:val="18"/>
  </w:num>
  <w:num w:numId="6">
    <w:abstractNumId w:val="8"/>
  </w:num>
  <w:num w:numId="7">
    <w:abstractNumId w:val="8"/>
  </w:num>
  <w:num w:numId="8">
    <w:abstractNumId w:val="2"/>
  </w:num>
  <w:num w:numId="9">
    <w:abstractNumId w:val="12"/>
  </w:num>
  <w:num w:numId="10">
    <w:abstractNumId w:val="0"/>
  </w:num>
  <w:num w:numId="11">
    <w:abstractNumId w:val="4"/>
  </w:num>
  <w:num w:numId="12">
    <w:abstractNumId w:val="9"/>
  </w:num>
  <w:num w:numId="13">
    <w:abstractNumId w:val="11"/>
  </w:num>
  <w:num w:numId="14">
    <w:abstractNumId w:val="3"/>
  </w:num>
  <w:num w:numId="15">
    <w:abstractNumId w:val="1"/>
  </w:num>
  <w:num w:numId="16">
    <w:abstractNumId w:val="7"/>
  </w:num>
  <w:num w:numId="17">
    <w:abstractNumId w:val="17"/>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6317E"/>
    <w:rsid w:val="00001061"/>
    <w:rsid w:val="0000216A"/>
    <w:rsid w:val="00003D64"/>
    <w:rsid w:val="00004CBF"/>
    <w:rsid w:val="00005A4F"/>
    <w:rsid w:val="00005BB0"/>
    <w:rsid w:val="00006071"/>
    <w:rsid w:val="00006D1E"/>
    <w:rsid w:val="0001013A"/>
    <w:rsid w:val="0001341A"/>
    <w:rsid w:val="00013EF6"/>
    <w:rsid w:val="00020238"/>
    <w:rsid w:val="000203DE"/>
    <w:rsid w:val="0002124C"/>
    <w:rsid w:val="00021D87"/>
    <w:rsid w:val="0002216A"/>
    <w:rsid w:val="00022315"/>
    <w:rsid w:val="000254ED"/>
    <w:rsid w:val="0002571B"/>
    <w:rsid w:val="000323D8"/>
    <w:rsid w:val="00034C93"/>
    <w:rsid w:val="0003529A"/>
    <w:rsid w:val="000353E4"/>
    <w:rsid w:val="000365DF"/>
    <w:rsid w:val="000378E6"/>
    <w:rsid w:val="00037AB6"/>
    <w:rsid w:val="0004115C"/>
    <w:rsid w:val="0004262B"/>
    <w:rsid w:val="000473BF"/>
    <w:rsid w:val="0005334E"/>
    <w:rsid w:val="00053732"/>
    <w:rsid w:val="00057F41"/>
    <w:rsid w:val="0006337B"/>
    <w:rsid w:val="00064F37"/>
    <w:rsid w:val="000668BF"/>
    <w:rsid w:val="000672C4"/>
    <w:rsid w:val="000704B8"/>
    <w:rsid w:val="00071449"/>
    <w:rsid w:val="0007249B"/>
    <w:rsid w:val="000724B6"/>
    <w:rsid w:val="00073810"/>
    <w:rsid w:val="00074E3E"/>
    <w:rsid w:val="000764DC"/>
    <w:rsid w:val="00076580"/>
    <w:rsid w:val="00076D17"/>
    <w:rsid w:val="000821C3"/>
    <w:rsid w:val="00082CBC"/>
    <w:rsid w:val="00086C84"/>
    <w:rsid w:val="00093F34"/>
    <w:rsid w:val="00095A93"/>
    <w:rsid w:val="00097C79"/>
    <w:rsid w:val="000A0CF1"/>
    <w:rsid w:val="000A232B"/>
    <w:rsid w:val="000A55AB"/>
    <w:rsid w:val="000A6AA1"/>
    <w:rsid w:val="000B13F3"/>
    <w:rsid w:val="000B2BFD"/>
    <w:rsid w:val="000B40A2"/>
    <w:rsid w:val="000B4ED0"/>
    <w:rsid w:val="000B5F51"/>
    <w:rsid w:val="000B5F9C"/>
    <w:rsid w:val="000B7625"/>
    <w:rsid w:val="000C0603"/>
    <w:rsid w:val="000C09B4"/>
    <w:rsid w:val="000C1143"/>
    <w:rsid w:val="000C1AE6"/>
    <w:rsid w:val="000C1DC0"/>
    <w:rsid w:val="000C37B5"/>
    <w:rsid w:val="000C3D16"/>
    <w:rsid w:val="000C42F2"/>
    <w:rsid w:val="000C458E"/>
    <w:rsid w:val="000C4E5B"/>
    <w:rsid w:val="000C5600"/>
    <w:rsid w:val="000C5D52"/>
    <w:rsid w:val="000C5F10"/>
    <w:rsid w:val="000C75B8"/>
    <w:rsid w:val="000D1D81"/>
    <w:rsid w:val="000D2988"/>
    <w:rsid w:val="000D2ACC"/>
    <w:rsid w:val="000D2D6F"/>
    <w:rsid w:val="000D4950"/>
    <w:rsid w:val="000D4C4B"/>
    <w:rsid w:val="000D5A08"/>
    <w:rsid w:val="000D62DE"/>
    <w:rsid w:val="000D63FB"/>
    <w:rsid w:val="000D666A"/>
    <w:rsid w:val="000D6BA1"/>
    <w:rsid w:val="000E1FA4"/>
    <w:rsid w:val="000E33BE"/>
    <w:rsid w:val="000E3F76"/>
    <w:rsid w:val="000E4352"/>
    <w:rsid w:val="000E58C2"/>
    <w:rsid w:val="000E6B02"/>
    <w:rsid w:val="000E6C67"/>
    <w:rsid w:val="000F219C"/>
    <w:rsid w:val="000F2D7D"/>
    <w:rsid w:val="000F36BC"/>
    <w:rsid w:val="000F3C4E"/>
    <w:rsid w:val="000F51E4"/>
    <w:rsid w:val="000F5838"/>
    <w:rsid w:val="000F5E7B"/>
    <w:rsid w:val="000F71AC"/>
    <w:rsid w:val="000F7BB8"/>
    <w:rsid w:val="001008BF"/>
    <w:rsid w:val="001021B8"/>
    <w:rsid w:val="00104734"/>
    <w:rsid w:val="00106168"/>
    <w:rsid w:val="00107541"/>
    <w:rsid w:val="00107B6B"/>
    <w:rsid w:val="00110992"/>
    <w:rsid w:val="00110C62"/>
    <w:rsid w:val="0011175D"/>
    <w:rsid w:val="00111F84"/>
    <w:rsid w:val="0011486F"/>
    <w:rsid w:val="00115D8C"/>
    <w:rsid w:val="00116D48"/>
    <w:rsid w:val="0011737C"/>
    <w:rsid w:val="001175C7"/>
    <w:rsid w:val="0012113A"/>
    <w:rsid w:val="001229FB"/>
    <w:rsid w:val="00123A77"/>
    <w:rsid w:val="00124F51"/>
    <w:rsid w:val="001331F2"/>
    <w:rsid w:val="00133633"/>
    <w:rsid w:val="00133CB2"/>
    <w:rsid w:val="00133F82"/>
    <w:rsid w:val="001342C2"/>
    <w:rsid w:val="00135E01"/>
    <w:rsid w:val="00136F7B"/>
    <w:rsid w:val="00137279"/>
    <w:rsid w:val="00137F6C"/>
    <w:rsid w:val="00140D56"/>
    <w:rsid w:val="001413D9"/>
    <w:rsid w:val="00141AA6"/>
    <w:rsid w:val="00142A40"/>
    <w:rsid w:val="00143150"/>
    <w:rsid w:val="00143415"/>
    <w:rsid w:val="00143FEF"/>
    <w:rsid w:val="00144F98"/>
    <w:rsid w:val="00145C8F"/>
    <w:rsid w:val="00146AB1"/>
    <w:rsid w:val="00146E2D"/>
    <w:rsid w:val="0014798F"/>
    <w:rsid w:val="00152A31"/>
    <w:rsid w:val="00153A8A"/>
    <w:rsid w:val="00154C80"/>
    <w:rsid w:val="0015667B"/>
    <w:rsid w:val="00156926"/>
    <w:rsid w:val="00156AD6"/>
    <w:rsid w:val="00157E85"/>
    <w:rsid w:val="001605E5"/>
    <w:rsid w:val="00160B40"/>
    <w:rsid w:val="00160D67"/>
    <w:rsid w:val="00161163"/>
    <w:rsid w:val="0016213A"/>
    <w:rsid w:val="0016590E"/>
    <w:rsid w:val="00166070"/>
    <w:rsid w:val="0017190A"/>
    <w:rsid w:val="00173CE7"/>
    <w:rsid w:val="0017578C"/>
    <w:rsid w:val="00176402"/>
    <w:rsid w:val="00176428"/>
    <w:rsid w:val="0017652C"/>
    <w:rsid w:val="00176A87"/>
    <w:rsid w:val="00180E01"/>
    <w:rsid w:val="00183350"/>
    <w:rsid w:val="001839D4"/>
    <w:rsid w:val="001843E8"/>
    <w:rsid w:val="0018474D"/>
    <w:rsid w:val="00184E21"/>
    <w:rsid w:val="001866CB"/>
    <w:rsid w:val="00191A63"/>
    <w:rsid w:val="00193164"/>
    <w:rsid w:val="00194B5A"/>
    <w:rsid w:val="00195914"/>
    <w:rsid w:val="0019732F"/>
    <w:rsid w:val="00197642"/>
    <w:rsid w:val="00197D75"/>
    <w:rsid w:val="001A17CD"/>
    <w:rsid w:val="001A4FCD"/>
    <w:rsid w:val="001A7CD7"/>
    <w:rsid w:val="001B3A56"/>
    <w:rsid w:val="001B4F04"/>
    <w:rsid w:val="001B5B20"/>
    <w:rsid w:val="001B6B9E"/>
    <w:rsid w:val="001B773B"/>
    <w:rsid w:val="001C2C5B"/>
    <w:rsid w:val="001C38B1"/>
    <w:rsid w:val="001C5560"/>
    <w:rsid w:val="001C7A85"/>
    <w:rsid w:val="001D04F5"/>
    <w:rsid w:val="001D14AC"/>
    <w:rsid w:val="001D2682"/>
    <w:rsid w:val="001D2F43"/>
    <w:rsid w:val="001D3BAB"/>
    <w:rsid w:val="001D3C61"/>
    <w:rsid w:val="001D51D4"/>
    <w:rsid w:val="001D5A82"/>
    <w:rsid w:val="001D729D"/>
    <w:rsid w:val="001E11D2"/>
    <w:rsid w:val="001E1750"/>
    <w:rsid w:val="001E17D6"/>
    <w:rsid w:val="001E18AA"/>
    <w:rsid w:val="001E3F53"/>
    <w:rsid w:val="001E7E25"/>
    <w:rsid w:val="001F0045"/>
    <w:rsid w:val="001F03CF"/>
    <w:rsid w:val="001F350F"/>
    <w:rsid w:val="001F3951"/>
    <w:rsid w:val="001F687F"/>
    <w:rsid w:val="001F6F39"/>
    <w:rsid w:val="002008BD"/>
    <w:rsid w:val="002024C0"/>
    <w:rsid w:val="0020273B"/>
    <w:rsid w:val="00206B71"/>
    <w:rsid w:val="00207A21"/>
    <w:rsid w:val="00207B86"/>
    <w:rsid w:val="0021100D"/>
    <w:rsid w:val="00211385"/>
    <w:rsid w:val="00211B90"/>
    <w:rsid w:val="0021222B"/>
    <w:rsid w:val="0021229D"/>
    <w:rsid w:val="00213582"/>
    <w:rsid w:val="002147B3"/>
    <w:rsid w:val="00216446"/>
    <w:rsid w:val="002174C4"/>
    <w:rsid w:val="002218B5"/>
    <w:rsid w:val="002224DB"/>
    <w:rsid w:val="00223AE7"/>
    <w:rsid w:val="00226F38"/>
    <w:rsid w:val="00227575"/>
    <w:rsid w:val="00227DF8"/>
    <w:rsid w:val="00230969"/>
    <w:rsid w:val="00231878"/>
    <w:rsid w:val="00231D43"/>
    <w:rsid w:val="00231E06"/>
    <w:rsid w:val="0023278D"/>
    <w:rsid w:val="00232843"/>
    <w:rsid w:val="00233277"/>
    <w:rsid w:val="00234445"/>
    <w:rsid w:val="0023493A"/>
    <w:rsid w:val="0023679B"/>
    <w:rsid w:val="00236977"/>
    <w:rsid w:val="0023717D"/>
    <w:rsid w:val="00237C22"/>
    <w:rsid w:val="0024001B"/>
    <w:rsid w:val="0024113A"/>
    <w:rsid w:val="00244505"/>
    <w:rsid w:val="00244845"/>
    <w:rsid w:val="002452F2"/>
    <w:rsid w:val="0024654F"/>
    <w:rsid w:val="00246CF9"/>
    <w:rsid w:val="00247A83"/>
    <w:rsid w:val="00253640"/>
    <w:rsid w:val="00254744"/>
    <w:rsid w:val="00255495"/>
    <w:rsid w:val="00256004"/>
    <w:rsid w:val="00256CF0"/>
    <w:rsid w:val="002570DE"/>
    <w:rsid w:val="002600B9"/>
    <w:rsid w:val="00260567"/>
    <w:rsid w:val="00263335"/>
    <w:rsid w:val="002634CF"/>
    <w:rsid w:val="00263DA5"/>
    <w:rsid w:val="00267140"/>
    <w:rsid w:val="00271415"/>
    <w:rsid w:val="00271BE6"/>
    <w:rsid w:val="002762DC"/>
    <w:rsid w:val="0027667C"/>
    <w:rsid w:val="00276BE7"/>
    <w:rsid w:val="00276EEA"/>
    <w:rsid w:val="00280B80"/>
    <w:rsid w:val="00280EBD"/>
    <w:rsid w:val="00282406"/>
    <w:rsid w:val="00283E1E"/>
    <w:rsid w:val="00284AF4"/>
    <w:rsid w:val="002865DA"/>
    <w:rsid w:val="00286BE9"/>
    <w:rsid w:val="00287043"/>
    <w:rsid w:val="00287835"/>
    <w:rsid w:val="00287FFE"/>
    <w:rsid w:val="00290D5C"/>
    <w:rsid w:val="0029157A"/>
    <w:rsid w:val="00294082"/>
    <w:rsid w:val="00294C5A"/>
    <w:rsid w:val="00295CA4"/>
    <w:rsid w:val="00296DD0"/>
    <w:rsid w:val="002A0523"/>
    <w:rsid w:val="002A0EAA"/>
    <w:rsid w:val="002A21FE"/>
    <w:rsid w:val="002A27F7"/>
    <w:rsid w:val="002A2BB6"/>
    <w:rsid w:val="002A3392"/>
    <w:rsid w:val="002A490A"/>
    <w:rsid w:val="002A5379"/>
    <w:rsid w:val="002A6092"/>
    <w:rsid w:val="002A638D"/>
    <w:rsid w:val="002B549C"/>
    <w:rsid w:val="002B56F5"/>
    <w:rsid w:val="002B5718"/>
    <w:rsid w:val="002B5C7A"/>
    <w:rsid w:val="002C230D"/>
    <w:rsid w:val="002D12B6"/>
    <w:rsid w:val="002D2E78"/>
    <w:rsid w:val="002D3122"/>
    <w:rsid w:val="002D3172"/>
    <w:rsid w:val="002D6018"/>
    <w:rsid w:val="002D67C0"/>
    <w:rsid w:val="002D6AE9"/>
    <w:rsid w:val="002D71DE"/>
    <w:rsid w:val="002E056C"/>
    <w:rsid w:val="002E0DA4"/>
    <w:rsid w:val="002E5F51"/>
    <w:rsid w:val="002E5FE0"/>
    <w:rsid w:val="002E66B1"/>
    <w:rsid w:val="002E6982"/>
    <w:rsid w:val="002F4579"/>
    <w:rsid w:val="002F7866"/>
    <w:rsid w:val="002F7A42"/>
    <w:rsid w:val="003013D1"/>
    <w:rsid w:val="00301535"/>
    <w:rsid w:val="00301FBE"/>
    <w:rsid w:val="00303A90"/>
    <w:rsid w:val="003045E2"/>
    <w:rsid w:val="003054FB"/>
    <w:rsid w:val="00306282"/>
    <w:rsid w:val="00306D42"/>
    <w:rsid w:val="00306EB6"/>
    <w:rsid w:val="00312F6D"/>
    <w:rsid w:val="00314C66"/>
    <w:rsid w:val="00314F6A"/>
    <w:rsid w:val="003164EF"/>
    <w:rsid w:val="00320765"/>
    <w:rsid w:val="00320A3B"/>
    <w:rsid w:val="003228C0"/>
    <w:rsid w:val="00323069"/>
    <w:rsid w:val="00323247"/>
    <w:rsid w:val="003245D5"/>
    <w:rsid w:val="00326F24"/>
    <w:rsid w:val="003305D3"/>
    <w:rsid w:val="0033121D"/>
    <w:rsid w:val="0033162E"/>
    <w:rsid w:val="00332E75"/>
    <w:rsid w:val="0034018C"/>
    <w:rsid w:val="003402C6"/>
    <w:rsid w:val="003430E9"/>
    <w:rsid w:val="00352D3E"/>
    <w:rsid w:val="00356040"/>
    <w:rsid w:val="00357620"/>
    <w:rsid w:val="00362B98"/>
    <w:rsid w:val="0036489D"/>
    <w:rsid w:val="00364E82"/>
    <w:rsid w:val="0036542B"/>
    <w:rsid w:val="00365F4E"/>
    <w:rsid w:val="00366AF5"/>
    <w:rsid w:val="00370196"/>
    <w:rsid w:val="00370572"/>
    <w:rsid w:val="003709DE"/>
    <w:rsid w:val="00371799"/>
    <w:rsid w:val="003722CF"/>
    <w:rsid w:val="00372321"/>
    <w:rsid w:val="0037265C"/>
    <w:rsid w:val="003728AD"/>
    <w:rsid w:val="00373A04"/>
    <w:rsid w:val="003743ED"/>
    <w:rsid w:val="00376020"/>
    <w:rsid w:val="00376314"/>
    <w:rsid w:val="00381B7E"/>
    <w:rsid w:val="003821E0"/>
    <w:rsid w:val="003838C0"/>
    <w:rsid w:val="003849D5"/>
    <w:rsid w:val="00392E48"/>
    <w:rsid w:val="00393425"/>
    <w:rsid w:val="003936BC"/>
    <w:rsid w:val="00393808"/>
    <w:rsid w:val="00394349"/>
    <w:rsid w:val="00394E50"/>
    <w:rsid w:val="00395B51"/>
    <w:rsid w:val="003971D7"/>
    <w:rsid w:val="00397977"/>
    <w:rsid w:val="00397E01"/>
    <w:rsid w:val="003A02C6"/>
    <w:rsid w:val="003A1F0F"/>
    <w:rsid w:val="003A1F7F"/>
    <w:rsid w:val="003A270A"/>
    <w:rsid w:val="003A273A"/>
    <w:rsid w:val="003A2E23"/>
    <w:rsid w:val="003A37DA"/>
    <w:rsid w:val="003A3C8D"/>
    <w:rsid w:val="003A44BE"/>
    <w:rsid w:val="003A4890"/>
    <w:rsid w:val="003A4E06"/>
    <w:rsid w:val="003A58CB"/>
    <w:rsid w:val="003A6F21"/>
    <w:rsid w:val="003A7576"/>
    <w:rsid w:val="003B081D"/>
    <w:rsid w:val="003B14C5"/>
    <w:rsid w:val="003B2D01"/>
    <w:rsid w:val="003B5436"/>
    <w:rsid w:val="003B5F65"/>
    <w:rsid w:val="003C0147"/>
    <w:rsid w:val="003C09E5"/>
    <w:rsid w:val="003C0AAE"/>
    <w:rsid w:val="003C19D8"/>
    <w:rsid w:val="003C2497"/>
    <w:rsid w:val="003C2F10"/>
    <w:rsid w:val="003C4EE3"/>
    <w:rsid w:val="003C5440"/>
    <w:rsid w:val="003C5ABC"/>
    <w:rsid w:val="003C61F7"/>
    <w:rsid w:val="003C7306"/>
    <w:rsid w:val="003C7B4C"/>
    <w:rsid w:val="003D08D3"/>
    <w:rsid w:val="003D2020"/>
    <w:rsid w:val="003D5A9A"/>
    <w:rsid w:val="003D609D"/>
    <w:rsid w:val="003D721F"/>
    <w:rsid w:val="003E03A6"/>
    <w:rsid w:val="003E087E"/>
    <w:rsid w:val="003E0C86"/>
    <w:rsid w:val="003E33AE"/>
    <w:rsid w:val="003E346A"/>
    <w:rsid w:val="003E6887"/>
    <w:rsid w:val="003E79AB"/>
    <w:rsid w:val="003F2E57"/>
    <w:rsid w:val="003F4A78"/>
    <w:rsid w:val="003F555E"/>
    <w:rsid w:val="003F58FA"/>
    <w:rsid w:val="003F79EB"/>
    <w:rsid w:val="00401E95"/>
    <w:rsid w:val="0040215C"/>
    <w:rsid w:val="00403A6E"/>
    <w:rsid w:val="00403FB9"/>
    <w:rsid w:val="0040461C"/>
    <w:rsid w:val="00405A98"/>
    <w:rsid w:val="004106D9"/>
    <w:rsid w:val="00410814"/>
    <w:rsid w:val="004158D1"/>
    <w:rsid w:val="00415E7C"/>
    <w:rsid w:val="00415FB6"/>
    <w:rsid w:val="0041718A"/>
    <w:rsid w:val="00417B6F"/>
    <w:rsid w:val="004225A1"/>
    <w:rsid w:val="004227D8"/>
    <w:rsid w:val="0042430E"/>
    <w:rsid w:val="00425C6E"/>
    <w:rsid w:val="00426A94"/>
    <w:rsid w:val="00426C08"/>
    <w:rsid w:val="00427946"/>
    <w:rsid w:val="00430EF2"/>
    <w:rsid w:val="0043133A"/>
    <w:rsid w:val="004330D3"/>
    <w:rsid w:val="00434E70"/>
    <w:rsid w:val="004355C5"/>
    <w:rsid w:val="00435DA0"/>
    <w:rsid w:val="00437E10"/>
    <w:rsid w:val="004412EC"/>
    <w:rsid w:val="00443091"/>
    <w:rsid w:val="00444B7F"/>
    <w:rsid w:val="00444D63"/>
    <w:rsid w:val="00446982"/>
    <w:rsid w:val="00446D6D"/>
    <w:rsid w:val="00450DBE"/>
    <w:rsid w:val="00450E17"/>
    <w:rsid w:val="00451A6E"/>
    <w:rsid w:val="00451A7A"/>
    <w:rsid w:val="00453162"/>
    <w:rsid w:val="00454B97"/>
    <w:rsid w:val="00455AC5"/>
    <w:rsid w:val="00457266"/>
    <w:rsid w:val="004633F3"/>
    <w:rsid w:val="0046487C"/>
    <w:rsid w:val="0046552E"/>
    <w:rsid w:val="00465834"/>
    <w:rsid w:val="00465919"/>
    <w:rsid w:val="004669D5"/>
    <w:rsid w:val="00466BB6"/>
    <w:rsid w:val="0047095B"/>
    <w:rsid w:val="00470EEE"/>
    <w:rsid w:val="00471200"/>
    <w:rsid w:val="00471443"/>
    <w:rsid w:val="00471D7B"/>
    <w:rsid w:val="00471E16"/>
    <w:rsid w:val="0047230C"/>
    <w:rsid w:val="004727D4"/>
    <w:rsid w:val="00472E25"/>
    <w:rsid w:val="00473F1E"/>
    <w:rsid w:val="0047526A"/>
    <w:rsid w:val="00475F1D"/>
    <w:rsid w:val="0047643C"/>
    <w:rsid w:val="00480FEE"/>
    <w:rsid w:val="0048236C"/>
    <w:rsid w:val="004840BC"/>
    <w:rsid w:val="00485B1B"/>
    <w:rsid w:val="00487340"/>
    <w:rsid w:val="00487F81"/>
    <w:rsid w:val="00490333"/>
    <w:rsid w:val="00490ACE"/>
    <w:rsid w:val="00491BDD"/>
    <w:rsid w:val="00492729"/>
    <w:rsid w:val="00493229"/>
    <w:rsid w:val="0049328D"/>
    <w:rsid w:val="00495EB8"/>
    <w:rsid w:val="004A09DC"/>
    <w:rsid w:val="004A1482"/>
    <w:rsid w:val="004A206E"/>
    <w:rsid w:val="004A3184"/>
    <w:rsid w:val="004A40CD"/>
    <w:rsid w:val="004A435C"/>
    <w:rsid w:val="004A4392"/>
    <w:rsid w:val="004A50B1"/>
    <w:rsid w:val="004A5874"/>
    <w:rsid w:val="004A6075"/>
    <w:rsid w:val="004A62D1"/>
    <w:rsid w:val="004B2FEE"/>
    <w:rsid w:val="004B3EEB"/>
    <w:rsid w:val="004B43A4"/>
    <w:rsid w:val="004B57ED"/>
    <w:rsid w:val="004B5A6F"/>
    <w:rsid w:val="004B7D22"/>
    <w:rsid w:val="004C0566"/>
    <w:rsid w:val="004C10C7"/>
    <w:rsid w:val="004C2FB3"/>
    <w:rsid w:val="004C3388"/>
    <w:rsid w:val="004C39F9"/>
    <w:rsid w:val="004C5577"/>
    <w:rsid w:val="004C6267"/>
    <w:rsid w:val="004C66CC"/>
    <w:rsid w:val="004C723C"/>
    <w:rsid w:val="004D0763"/>
    <w:rsid w:val="004D0E51"/>
    <w:rsid w:val="004D0F9D"/>
    <w:rsid w:val="004D11A7"/>
    <w:rsid w:val="004D185E"/>
    <w:rsid w:val="004D1BC8"/>
    <w:rsid w:val="004D3E0E"/>
    <w:rsid w:val="004D61A4"/>
    <w:rsid w:val="004D74F8"/>
    <w:rsid w:val="004D7516"/>
    <w:rsid w:val="004E0886"/>
    <w:rsid w:val="004E0A02"/>
    <w:rsid w:val="004E0D1F"/>
    <w:rsid w:val="004E1620"/>
    <w:rsid w:val="004E3048"/>
    <w:rsid w:val="004E349D"/>
    <w:rsid w:val="004E3A95"/>
    <w:rsid w:val="004E4145"/>
    <w:rsid w:val="004E499B"/>
    <w:rsid w:val="004E4D99"/>
    <w:rsid w:val="004E560E"/>
    <w:rsid w:val="004E7A6E"/>
    <w:rsid w:val="004F3046"/>
    <w:rsid w:val="004F3DA9"/>
    <w:rsid w:val="004F7446"/>
    <w:rsid w:val="005004CE"/>
    <w:rsid w:val="005008FD"/>
    <w:rsid w:val="00500911"/>
    <w:rsid w:val="00500EFD"/>
    <w:rsid w:val="005012C4"/>
    <w:rsid w:val="00501385"/>
    <w:rsid w:val="005023E8"/>
    <w:rsid w:val="00505AA5"/>
    <w:rsid w:val="0050600B"/>
    <w:rsid w:val="00506858"/>
    <w:rsid w:val="00511EB8"/>
    <w:rsid w:val="00513078"/>
    <w:rsid w:val="005134D0"/>
    <w:rsid w:val="0051458B"/>
    <w:rsid w:val="0051797C"/>
    <w:rsid w:val="005179CD"/>
    <w:rsid w:val="00520E1A"/>
    <w:rsid w:val="0052217E"/>
    <w:rsid w:val="00522226"/>
    <w:rsid w:val="005229EF"/>
    <w:rsid w:val="00522CDF"/>
    <w:rsid w:val="0052407E"/>
    <w:rsid w:val="00525D1B"/>
    <w:rsid w:val="005262A5"/>
    <w:rsid w:val="00526ED3"/>
    <w:rsid w:val="005275C4"/>
    <w:rsid w:val="00531380"/>
    <w:rsid w:val="00531602"/>
    <w:rsid w:val="00535E88"/>
    <w:rsid w:val="0053686D"/>
    <w:rsid w:val="00536962"/>
    <w:rsid w:val="005370E6"/>
    <w:rsid w:val="00537550"/>
    <w:rsid w:val="00540CB1"/>
    <w:rsid w:val="005419BF"/>
    <w:rsid w:val="00543B20"/>
    <w:rsid w:val="00543EE0"/>
    <w:rsid w:val="0054723C"/>
    <w:rsid w:val="005472E2"/>
    <w:rsid w:val="005504BE"/>
    <w:rsid w:val="00550EF5"/>
    <w:rsid w:val="005522CC"/>
    <w:rsid w:val="005526D3"/>
    <w:rsid w:val="00553BDF"/>
    <w:rsid w:val="00554EC4"/>
    <w:rsid w:val="005556D4"/>
    <w:rsid w:val="005604E4"/>
    <w:rsid w:val="00561589"/>
    <w:rsid w:val="005617A2"/>
    <w:rsid w:val="00561D57"/>
    <w:rsid w:val="00562A09"/>
    <w:rsid w:val="00567D3C"/>
    <w:rsid w:val="0057023F"/>
    <w:rsid w:val="00570BD2"/>
    <w:rsid w:val="00571003"/>
    <w:rsid w:val="00572EB4"/>
    <w:rsid w:val="00573284"/>
    <w:rsid w:val="00577351"/>
    <w:rsid w:val="00582703"/>
    <w:rsid w:val="00582728"/>
    <w:rsid w:val="005839D8"/>
    <w:rsid w:val="0058687B"/>
    <w:rsid w:val="00586E2A"/>
    <w:rsid w:val="005917E1"/>
    <w:rsid w:val="0059440D"/>
    <w:rsid w:val="0059468A"/>
    <w:rsid w:val="00595550"/>
    <w:rsid w:val="00595C10"/>
    <w:rsid w:val="00596AA2"/>
    <w:rsid w:val="0059721A"/>
    <w:rsid w:val="005972BF"/>
    <w:rsid w:val="00597998"/>
    <w:rsid w:val="005A1988"/>
    <w:rsid w:val="005A24D0"/>
    <w:rsid w:val="005A6E3A"/>
    <w:rsid w:val="005A7912"/>
    <w:rsid w:val="005B146F"/>
    <w:rsid w:val="005B1B0C"/>
    <w:rsid w:val="005B1FB0"/>
    <w:rsid w:val="005B21F8"/>
    <w:rsid w:val="005B2377"/>
    <w:rsid w:val="005B2B24"/>
    <w:rsid w:val="005B3A95"/>
    <w:rsid w:val="005B50FC"/>
    <w:rsid w:val="005B6DED"/>
    <w:rsid w:val="005B7967"/>
    <w:rsid w:val="005B7990"/>
    <w:rsid w:val="005C03D5"/>
    <w:rsid w:val="005C0F87"/>
    <w:rsid w:val="005C23B3"/>
    <w:rsid w:val="005C32A5"/>
    <w:rsid w:val="005C46E3"/>
    <w:rsid w:val="005C485A"/>
    <w:rsid w:val="005C532D"/>
    <w:rsid w:val="005C54BF"/>
    <w:rsid w:val="005C58E9"/>
    <w:rsid w:val="005C7C57"/>
    <w:rsid w:val="005D115A"/>
    <w:rsid w:val="005D1439"/>
    <w:rsid w:val="005D1A70"/>
    <w:rsid w:val="005D2E0B"/>
    <w:rsid w:val="005D4123"/>
    <w:rsid w:val="005D4D8C"/>
    <w:rsid w:val="005D5206"/>
    <w:rsid w:val="005D6A5B"/>
    <w:rsid w:val="005D7E48"/>
    <w:rsid w:val="005E0F3A"/>
    <w:rsid w:val="005E1282"/>
    <w:rsid w:val="005E17EB"/>
    <w:rsid w:val="005E23DC"/>
    <w:rsid w:val="005E2E19"/>
    <w:rsid w:val="005E3F2F"/>
    <w:rsid w:val="005E4DF8"/>
    <w:rsid w:val="005E5803"/>
    <w:rsid w:val="005E58C1"/>
    <w:rsid w:val="005E7A72"/>
    <w:rsid w:val="005F0E89"/>
    <w:rsid w:val="005F17DA"/>
    <w:rsid w:val="005F1AE9"/>
    <w:rsid w:val="005F34FC"/>
    <w:rsid w:val="005F556D"/>
    <w:rsid w:val="005F6278"/>
    <w:rsid w:val="005F66DE"/>
    <w:rsid w:val="005F6730"/>
    <w:rsid w:val="005F68B8"/>
    <w:rsid w:val="00600D1E"/>
    <w:rsid w:val="00601E97"/>
    <w:rsid w:val="00602381"/>
    <w:rsid w:val="00604081"/>
    <w:rsid w:val="00605D08"/>
    <w:rsid w:val="00606435"/>
    <w:rsid w:val="006067BB"/>
    <w:rsid w:val="006104B1"/>
    <w:rsid w:val="00610CAC"/>
    <w:rsid w:val="006112EA"/>
    <w:rsid w:val="006122FD"/>
    <w:rsid w:val="006200AE"/>
    <w:rsid w:val="006201D8"/>
    <w:rsid w:val="00620C0F"/>
    <w:rsid w:val="00620C97"/>
    <w:rsid w:val="00622276"/>
    <w:rsid w:val="00622361"/>
    <w:rsid w:val="006226C5"/>
    <w:rsid w:val="00622C2B"/>
    <w:rsid w:val="00623D15"/>
    <w:rsid w:val="00625559"/>
    <w:rsid w:val="006255E9"/>
    <w:rsid w:val="006305B3"/>
    <w:rsid w:val="00631279"/>
    <w:rsid w:val="00631908"/>
    <w:rsid w:val="00631994"/>
    <w:rsid w:val="00632A05"/>
    <w:rsid w:val="00632D39"/>
    <w:rsid w:val="00633FEF"/>
    <w:rsid w:val="00635730"/>
    <w:rsid w:val="006359EE"/>
    <w:rsid w:val="006402FA"/>
    <w:rsid w:val="00641E12"/>
    <w:rsid w:val="006434AC"/>
    <w:rsid w:val="00643957"/>
    <w:rsid w:val="006439E5"/>
    <w:rsid w:val="006439EC"/>
    <w:rsid w:val="00643D8D"/>
    <w:rsid w:val="00645A43"/>
    <w:rsid w:val="00645FDE"/>
    <w:rsid w:val="006466FA"/>
    <w:rsid w:val="00646D0E"/>
    <w:rsid w:val="00647049"/>
    <w:rsid w:val="006514E0"/>
    <w:rsid w:val="0065347B"/>
    <w:rsid w:val="00654D5F"/>
    <w:rsid w:val="00655E94"/>
    <w:rsid w:val="00656126"/>
    <w:rsid w:val="00656B6A"/>
    <w:rsid w:val="00660A41"/>
    <w:rsid w:val="0066233D"/>
    <w:rsid w:val="00662E1F"/>
    <w:rsid w:val="006637D3"/>
    <w:rsid w:val="00663A27"/>
    <w:rsid w:val="006655CD"/>
    <w:rsid w:val="00665682"/>
    <w:rsid w:val="006658E1"/>
    <w:rsid w:val="00666876"/>
    <w:rsid w:val="00666F42"/>
    <w:rsid w:val="00667838"/>
    <w:rsid w:val="00671D2B"/>
    <w:rsid w:val="006745C8"/>
    <w:rsid w:val="0067744D"/>
    <w:rsid w:val="006801F8"/>
    <w:rsid w:val="00680564"/>
    <w:rsid w:val="00680C87"/>
    <w:rsid w:val="00680FE5"/>
    <w:rsid w:val="00683119"/>
    <w:rsid w:val="00683BDF"/>
    <w:rsid w:val="006869BB"/>
    <w:rsid w:val="00686CD2"/>
    <w:rsid w:val="00690045"/>
    <w:rsid w:val="00691C91"/>
    <w:rsid w:val="00693DDF"/>
    <w:rsid w:val="00694A17"/>
    <w:rsid w:val="006A01FD"/>
    <w:rsid w:val="006A05AC"/>
    <w:rsid w:val="006A0C16"/>
    <w:rsid w:val="006A2DE2"/>
    <w:rsid w:val="006A40A7"/>
    <w:rsid w:val="006A4C68"/>
    <w:rsid w:val="006A5493"/>
    <w:rsid w:val="006A5956"/>
    <w:rsid w:val="006A709A"/>
    <w:rsid w:val="006B09F3"/>
    <w:rsid w:val="006B1073"/>
    <w:rsid w:val="006B2070"/>
    <w:rsid w:val="006B2DC7"/>
    <w:rsid w:val="006B5007"/>
    <w:rsid w:val="006B5CF4"/>
    <w:rsid w:val="006B71F3"/>
    <w:rsid w:val="006C0145"/>
    <w:rsid w:val="006C08BB"/>
    <w:rsid w:val="006C5EED"/>
    <w:rsid w:val="006C6713"/>
    <w:rsid w:val="006C6E0B"/>
    <w:rsid w:val="006C7E33"/>
    <w:rsid w:val="006D0520"/>
    <w:rsid w:val="006D0C78"/>
    <w:rsid w:val="006D0EBA"/>
    <w:rsid w:val="006D1764"/>
    <w:rsid w:val="006D34AE"/>
    <w:rsid w:val="006D44A0"/>
    <w:rsid w:val="006D565E"/>
    <w:rsid w:val="006D6908"/>
    <w:rsid w:val="006E44E0"/>
    <w:rsid w:val="006E49C8"/>
    <w:rsid w:val="006E598A"/>
    <w:rsid w:val="006E59B9"/>
    <w:rsid w:val="006E6305"/>
    <w:rsid w:val="006E6F8F"/>
    <w:rsid w:val="006F057E"/>
    <w:rsid w:val="006F120D"/>
    <w:rsid w:val="006F2BA9"/>
    <w:rsid w:val="006F2F1B"/>
    <w:rsid w:val="006F3426"/>
    <w:rsid w:val="006F48F1"/>
    <w:rsid w:val="006F6D75"/>
    <w:rsid w:val="006F6E0B"/>
    <w:rsid w:val="006F6F66"/>
    <w:rsid w:val="006F77B9"/>
    <w:rsid w:val="006F798D"/>
    <w:rsid w:val="007020A1"/>
    <w:rsid w:val="0070388D"/>
    <w:rsid w:val="00704722"/>
    <w:rsid w:val="00704941"/>
    <w:rsid w:val="00705BB6"/>
    <w:rsid w:val="00706848"/>
    <w:rsid w:val="00706B6A"/>
    <w:rsid w:val="00707BB3"/>
    <w:rsid w:val="0071077A"/>
    <w:rsid w:val="00710CDF"/>
    <w:rsid w:val="00710D51"/>
    <w:rsid w:val="00712EB6"/>
    <w:rsid w:val="00715353"/>
    <w:rsid w:val="0072090F"/>
    <w:rsid w:val="0072211D"/>
    <w:rsid w:val="007230F4"/>
    <w:rsid w:val="00724200"/>
    <w:rsid w:val="0072557D"/>
    <w:rsid w:val="00725B28"/>
    <w:rsid w:val="007263E8"/>
    <w:rsid w:val="00726AB0"/>
    <w:rsid w:val="007315F6"/>
    <w:rsid w:val="00731760"/>
    <w:rsid w:val="00731806"/>
    <w:rsid w:val="007341C9"/>
    <w:rsid w:val="007369F2"/>
    <w:rsid w:val="0073703B"/>
    <w:rsid w:val="00741B55"/>
    <w:rsid w:val="00742520"/>
    <w:rsid w:val="00742782"/>
    <w:rsid w:val="00742E99"/>
    <w:rsid w:val="00742F67"/>
    <w:rsid w:val="00744905"/>
    <w:rsid w:val="007449EC"/>
    <w:rsid w:val="00745DE3"/>
    <w:rsid w:val="00746672"/>
    <w:rsid w:val="00746860"/>
    <w:rsid w:val="00747172"/>
    <w:rsid w:val="00751736"/>
    <w:rsid w:val="007539A6"/>
    <w:rsid w:val="007548AA"/>
    <w:rsid w:val="00756AF1"/>
    <w:rsid w:val="00757331"/>
    <w:rsid w:val="007605AD"/>
    <w:rsid w:val="00760DA9"/>
    <w:rsid w:val="00761AC6"/>
    <w:rsid w:val="007620C1"/>
    <w:rsid w:val="00763BF2"/>
    <w:rsid w:val="007657CB"/>
    <w:rsid w:val="00766A84"/>
    <w:rsid w:val="00766EE3"/>
    <w:rsid w:val="007704EB"/>
    <w:rsid w:val="007714EE"/>
    <w:rsid w:val="00771D3C"/>
    <w:rsid w:val="00772D10"/>
    <w:rsid w:val="007734A1"/>
    <w:rsid w:val="00775685"/>
    <w:rsid w:val="007842D7"/>
    <w:rsid w:val="00784782"/>
    <w:rsid w:val="0078583E"/>
    <w:rsid w:val="0078653E"/>
    <w:rsid w:val="007878D2"/>
    <w:rsid w:val="0079114F"/>
    <w:rsid w:val="00794472"/>
    <w:rsid w:val="00794EDF"/>
    <w:rsid w:val="00796A9F"/>
    <w:rsid w:val="00797008"/>
    <w:rsid w:val="00797707"/>
    <w:rsid w:val="007A1B19"/>
    <w:rsid w:val="007A2C4F"/>
    <w:rsid w:val="007A408F"/>
    <w:rsid w:val="007A5B00"/>
    <w:rsid w:val="007A5B63"/>
    <w:rsid w:val="007A6C24"/>
    <w:rsid w:val="007A70A3"/>
    <w:rsid w:val="007B0F6D"/>
    <w:rsid w:val="007B189A"/>
    <w:rsid w:val="007B3817"/>
    <w:rsid w:val="007B4371"/>
    <w:rsid w:val="007B56F1"/>
    <w:rsid w:val="007C234C"/>
    <w:rsid w:val="007C2478"/>
    <w:rsid w:val="007C40F8"/>
    <w:rsid w:val="007C4FE1"/>
    <w:rsid w:val="007C51E5"/>
    <w:rsid w:val="007C570D"/>
    <w:rsid w:val="007C5B3E"/>
    <w:rsid w:val="007C6A07"/>
    <w:rsid w:val="007D0D2F"/>
    <w:rsid w:val="007D1273"/>
    <w:rsid w:val="007D3CDE"/>
    <w:rsid w:val="007D4B1C"/>
    <w:rsid w:val="007E134E"/>
    <w:rsid w:val="007E4149"/>
    <w:rsid w:val="007E7F56"/>
    <w:rsid w:val="007F0F9C"/>
    <w:rsid w:val="007F2494"/>
    <w:rsid w:val="007F571A"/>
    <w:rsid w:val="007F5C7F"/>
    <w:rsid w:val="00800763"/>
    <w:rsid w:val="008038DE"/>
    <w:rsid w:val="00803E6D"/>
    <w:rsid w:val="00804D1A"/>
    <w:rsid w:val="00804FE1"/>
    <w:rsid w:val="00806F5F"/>
    <w:rsid w:val="0081123B"/>
    <w:rsid w:val="00811540"/>
    <w:rsid w:val="00811CE7"/>
    <w:rsid w:val="00811D79"/>
    <w:rsid w:val="0081260C"/>
    <w:rsid w:val="00813BFA"/>
    <w:rsid w:val="008173F0"/>
    <w:rsid w:val="00817892"/>
    <w:rsid w:val="0082458D"/>
    <w:rsid w:val="00830235"/>
    <w:rsid w:val="00830D21"/>
    <w:rsid w:val="00831618"/>
    <w:rsid w:val="008317EA"/>
    <w:rsid w:val="0083346F"/>
    <w:rsid w:val="008339AE"/>
    <w:rsid w:val="00833B80"/>
    <w:rsid w:val="00837836"/>
    <w:rsid w:val="00840603"/>
    <w:rsid w:val="00840ECC"/>
    <w:rsid w:val="008410C2"/>
    <w:rsid w:val="008412D3"/>
    <w:rsid w:val="008421AB"/>
    <w:rsid w:val="008446F8"/>
    <w:rsid w:val="00844B29"/>
    <w:rsid w:val="00845DCE"/>
    <w:rsid w:val="00846C76"/>
    <w:rsid w:val="00851450"/>
    <w:rsid w:val="00851842"/>
    <w:rsid w:val="00851CAB"/>
    <w:rsid w:val="00856222"/>
    <w:rsid w:val="008564FB"/>
    <w:rsid w:val="00857F3C"/>
    <w:rsid w:val="00860D5B"/>
    <w:rsid w:val="008643E7"/>
    <w:rsid w:val="00864AD3"/>
    <w:rsid w:val="00864CF4"/>
    <w:rsid w:val="00864D68"/>
    <w:rsid w:val="0086578A"/>
    <w:rsid w:val="00867209"/>
    <w:rsid w:val="00867788"/>
    <w:rsid w:val="00871AE5"/>
    <w:rsid w:val="00872563"/>
    <w:rsid w:val="00872D99"/>
    <w:rsid w:val="00873AAC"/>
    <w:rsid w:val="00874910"/>
    <w:rsid w:val="0087534E"/>
    <w:rsid w:val="00875B38"/>
    <w:rsid w:val="00876B15"/>
    <w:rsid w:val="008800F2"/>
    <w:rsid w:val="008808CA"/>
    <w:rsid w:val="00882903"/>
    <w:rsid w:val="008829A7"/>
    <w:rsid w:val="008844C1"/>
    <w:rsid w:val="00887074"/>
    <w:rsid w:val="008901A8"/>
    <w:rsid w:val="008910ED"/>
    <w:rsid w:val="0089170C"/>
    <w:rsid w:val="00893549"/>
    <w:rsid w:val="00894202"/>
    <w:rsid w:val="008949DE"/>
    <w:rsid w:val="008958F9"/>
    <w:rsid w:val="00895BF1"/>
    <w:rsid w:val="008961B1"/>
    <w:rsid w:val="008A03A5"/>
    <w:rsid w:val="008A7520"/>
    <w:rsid w:val="008B1D23"/>
    <w:rsid w:val="008B1FEF"/>
    <w:rsid w:val="008B21D7"/>
    <w:rsid w:val="008B263A"/>
    <w:rsid w:val="008B3307"/>
    <w:rsid w:val="008B331F"/>
    <w:rsid w:val="008B3B3E"/>
    <w:rsid w:val="008B5C0D"/>
    <w:rsid w:val="008B6A07"/>
    <w:rsid w:val="008B7306"/>
    <w:rsid w:val="008B7737"/>
    <w:rsid w:val="008C1807"/>
    <w:rsid w:val="008C2FCE"/>
    <w:rsid w:val="008C6F31"/>
    <w:rsid w:val="008C7C3C"/>
    <w:rsid w:val="008D1553"/>
    <w:rsid w:val="008D18FF"/>
    <w:rsid w:val="008D1F8A"/>
    <w:rsid w:val="008D3DFA"/>
    <w:rsid w:val="008D54B2"/>
    <w:rsid w:val="008D7827"/>
    <w:rsid w:val="008E0382"/>
    <w:rsid w:val="008E141F"/>
    <w:rsid w:val="008E2C52"/>
    <w:rsid w:val="008E3398"/>
    <w:rsid w:val="008E4A20"/>
    <w:rsid w:val="008E6CF1"/>
    <w:rsid w:val="008E783A"/>
    <w:rsid w:val="008F01F8"/>
    <w:rsid w:val="008F04B7"/>
    <w:rsid w:val="008F3C5E"/>
    <w:rsid w:val="008F4153"/>
    <w:rsid w:val="008F4525"/>
    <w:rsid w:val="008F4EB3"/>
    <w:rsid w:val="0090063F"/>
    <w:rsid w:val="00900BA3"/>
    <w:rsid w:val="00901E46"/>
    <w:rsid w:val="00903842"/>
    <w:rsid w:val="00904766"/>
    <w:rsid w:val="009066A1"/>
    <w:rsid w:val="00915041"/>
    <w:rsid w:val="00915920"/>
    <w:rsid w:val="00915E34"/>
    <w:rsid w:val="0091613B"/>
    <w:rsid w:val="0091686C"/>
    <w:rsid w:val="00917126"/>
    <w:rsid w:val="00917D39"/>
    <w:rsid w:val="00917FA0"/>
    <w:rsid w:val="009204FA"/>
    <w:rsid w:val="00922D4B"/>
    <w:rsid w:val="009232CC"/>
    <w:rsid w:val="00923300"/>
    <w:rsid w:val="00923A1D"/>
    <w:rsid w:val="00924161"/>
    <w:rsid w:val="00924672"/>
    <w:rsid w:val="009246AD"/>
    <w:rsid w:val="0092694C"/>
    <w:rsid w:val="009278C5"/>
    <w:rsid w:val="00927E04"/>
    <w:rsid w:val="00930952"/>
    <w:rsid w:val="0093133F"/>
    <w:rsid w:val="009328D1"/>
    <w:rsid w:val="00933A8E"/>
    <w:rsid w:val="009342D4"/>
    <w:rsid w:val="0093785F"/>
    <w:rsid w:val="00944978"/>
    <w:rsid w:val="00945867"/>
    <w:rsid w:val="00945B0F"/>
    <w:rsid w:val="009460C6"/>
    <w:rsid w:val="009475CB"/>
    <w:rsid w:val="009526E1"/>
    <w:rsid w:val="00952DA9"/>
    <w:rsid w:val="00952F8E"/>
    <w:rsid w:val="0095320F"/>
    <w:rsid w:val="009568D5"/>
    <w:rsid w:val="009605CD"/>
    <w:rsid w:val="009613F1"/>
    <w:rsid w:val="00971398"/>
    <w:rsid w:val="00971E63"/>
    <w:rsid w:val="00971FAA"/>
    <w:rsid w:val="00977BC2"/>
    <w:rsid w:val="00980391"/>
    <w:rsid w:val="00981FE6"/>
    <w:rsid w:val="00982E17"/>
    <w:rsid w:val="0098350F"/>
    <w:rsid w:val="00985A82"/>
    <w:rsid w:val="009871A5"/>
    <w:rsid w:val="00990C79"/>
    <w:rsid w:val="009924E9"/>
    <w:rsid w:val="009933B0"/>
    <w:rsid w:val="00997F4A"/>
    <w:rsid w:val="009A33A0"/>
    <w:rsid w:val="009A534B"/>
    <w:rsid w:val="009A5588"/>
    <w:rsid w:val="009B0C0C"/>
    <w:rsid w:val="009B0DE8"/>
    <w:rsid w:val="009B2F9E"/>
    <w:rsid w:val="009B3685"/>
    <w:rsid w:val="009B38A3"/>
    <w:rsid w:val="009B4649"/>
    <w:rsid w:val="009B5141"/>
    <w:rsid w:val="009B6E1D"/>
    <w:rsid w:val="009B6ED4"/>
    <w:rsid w:val="009C0186"/>
    <w:rsid w:val="009C07A5"/>
    <w:rsid w:val="009C0E5C"/>
    <w:rsid w:val="009C1116"/>
    <w:rsid w:val="009C1143"/>
    <w:rsid w:val="009C1E19"/>
    <w:rsid w:val="009C235F"/>
    <w:rsid w:val="009C4574"/>
    <w:rsid w:val="009C5A6C"/>
    <w:rsid w:val="009C6451"/>
    <w:rsid w:val="009C7A3E"/>
    <w:rsid w:val="009D146B"/>
    <w:rsid w:val="009D158C"/>
    <w:rsid w:val="009D4D1E"/>
    <w:rsid w:val="009D78F3"/>
    <w:rsid w:val="009E03F2"/>
    <w:rsid w:val="009E0C55"/>
    <w:rsid w:val="009E11CB"/>
    <w:rsid w:val="009E1DBB"/>
    <w:rsid w:val="009E2792"/>
    <w:rsid w:val="009E27E4"/>
    <w:rsid w:val="009E4C7D"/>
    <w:rsid w:val="009E5008"/>
    <w:rsid w:val="009E553E"/>
    <w:rsid w:val="009E7B43"/>
    <w:rsid w:val="009F0325"/>
    <w:rsid w:val="009F0A47"/>
    <w:rsid w:val="009F103F"/>
    <w:rsid w:val="009F25AD"/>
    <w:rsid w:val="009F2ED7"/>
    <w:rsid w:val="009F372A"/>
    <w:rsid w:val="009F4502"/>
    <w:rsid w:val="009F46BE"/>
    <w:rsid w:val="009F4B70"/>
    <w:rsid w:val="009F55F2"/>
    <w:rsid w:val="009F64FF"/>
    <w:rsid w:val="00A030BB"/>
    <w:rsid w:val="00A04853"/>
    <w:rsid w:val="00A0599B"/>
    <w:rsid w:val="00A104A4"/>
    <w:rsid w:val="00A109F5"/>
    <w:rsid w:val="00A11E35"/>
    <w:rsid w:val="00A12667"/>
    <w:rsid w:val="00A136B3"/>
    <w:rsid w:val="00A13F10"/>
    <w:rsid w:val="00A1537D"/>
    <w:rsid w:val="00A16A10"/>
    <w:rsid w:val="00A16A52"/>
    <w:rsid w:val="00A1792F"/>
    <w:rsid w:val="00A23B6A"/>
    <w:rsid w:val="00A241D1"/>
    <w:rsid w:val="00A2494E"/>
    <w:rsid w:val="00A30FFA"/>
    <w:rsid w:val="00A33C52"/>
    <w:rsid w:val="00A3563D"/>
    <w:rsid w:val="00A367FB"/>
    <w:rsid w:val="00A4039E"/>
    <w:rsid w:val="00A43DCA"/>
    <w:rsid w:val="00A46659"/>
    <w:rsid w:val="00A47BF9"/>
    <w:rsid w:val="00A505BE"/>
    <w:rsid w:val="00A50A35"/>
    <w:rsid w:val="00A50FE0"/>
    <w:rsid w:val="00A5102A"/>
    <w:rsid w:val="00A51759"/>
    <w:rsid w:val="00A5260C"/>
    <w:rsid w:val="00A56242"/>
    <w:rsid w:val="00A567DB"/>
    <w:rsid w:val="00A60BFA"/>
    <w:rsid w:val="00A63D17"/>
    <w:rsid w:val="00A64022"/>
    <w:rsid w:val="00A6459F"/>
    <w:rsid w:val="00A64FC5"/>
    <w:rsid w:val="00A65BCC"/>
    <w:rsid w:val="00A65D77"/>
    <w:rsid w:val="00A66951"/>
    <w:rsid w:val="00A66D04"/>
    <w:rsid w:val="00A67E4D"/>
    <w:rsid w:val="00A71E45"/>
    <w:rsid w:val="00A7372B"/>
    <w:rsid w:val="00A73782"/>
    <w:rsid w:val="00A740CC"/>
    <w:rsid w:val="00A754B3"/>
    <w:rsid w:val="00A76B88"/>
    <w:rsid w:val="00A77879"/>
    <w:rsid w:val="00A80904"/>
    <w:rsid w:val="00A80FE0"/>
    <w:rsid w:val="00A813E6"/>
    <w:rsid w:val="00A81918"/>
    <w:rsid w:val="00A81E54"/>
    <w:rsid w:val="00A83589"/>
    <w:rsid w:val="00A84D8C"/>
    <w:rsid w:val="00A850A5"/>
    <w:rsid w:val="00A85625"/>
    <w:rsid w:val="00A87CD4"/>
    <w:rsid w:val="00A9035F"/>
    <w:rsid w:val="00A92536"/>
    <w:rsid w:val="00A92988"/>
    <w:rsid w:val="00A92B22"/>
    <w:rsid w:val="00A92BC3"/>
    <w:rsid w:val="00A92DDC"/>
    <w:rsid w:val="00A932ED"/>
    <w:rsid w:val="00AA249E"/>
    <w:rsid w:val="00AA4106"/>
    <w:rsid w:val="00AA41E9"/>
    <w:rsid w:val="00AB301C"/>
    <w:rsid w:val="00AB4DA5"/>
    <w:rsid w:val="00AB67C2"/>
    <w:rsid w:val="00AB72F1"/>
    <w:rsid w:val="00AB7359"/>
    <w:rsid w:val="00AC0C3D"/>
    <w:rsid w:val="00AC18DB"/>
    <w:rsid w:val="00AC27FA"/>
    <w:rsid w:val="00AC3242"/>
    <w:rsid w:val="00AC39E7"/>
    <w:rsid w:val="00AC3CF4"/>
    <w:rsid w:val="00AC44B8"/>
    <w:rsid w:val="00AC5974"/>
    <w:rsid w:val="00AD065B"/>
    <w:rsid w:val="00AD174D"/>
    <w:rsid w:val="00AD178F"/>
    <w:rsid w:val="00AD223C"/>
    <w:rsid w:val="00AD2C99"/>
    <w:rsid w:val="00AD5DCA"/>
    <w:rsid w:val="00AD60C0"/>
    <w:rsid w:val="00AD60FD"/>
    <w:rsid w:val="00AD738D"/>
    <w:rsid w:val="00AD787E"/>
    <w:rsid w:val="00AE07A7"/>
    <w:rsid w:val="00AE1404"/>
    <w:rsid w:val="00AE2B3A"/>
    <w:rsid w:val="00AE2C23"/>
    <w:rsid w:val="00AE51A7"/>
    <w:rsid w:val="00AE64FB"/>
    <w:rsid w:val="00AE6B0F"/>
    <w:rsid w:val="00AE6E0E"/>
    <w:rsid w:val="00AE75E1"/>
    <w:rsid w:val="00AE7CE2"/>
    <w:rsid w:val="00AE7FAB"/>
    <w:rsid w:val="00AF0A28"/>
    <w:rsid w:val="00AF286B"/>
    <w:rsid w:val="00AF4B7F"/>
    <w:rsid w:val="00AF699C"/>
    <w:rsid w:val="00AF702E"/>
    <w:rsid w:val="00AF7AF6"/>
    <w:rsid w:val="00AF7C3D"/>
    <w:rsid w:val="00B010E1"/>
    <w:rsid w:val="00B02B7F"/>
    <w:rsid w:val="00B037EB"/>
    <w:rsid w:val="00B03F6A"/>
    <w:rsid w:val="00B051F7"/>
    <w:rsid w:val="00B06A7C"/>
    <w:rsid w:val="00B0795C"/>
    <w:rsid w:val="00B0798D"/>
    <w:rsid w:val="00B07DA9"/>
    <w:rsid w:val="00B11C54"/>
    <w:rsid w:val="00B11EAC"/>
    <w:rsid w:val="00B12554"/>
    <w:rsid w:val="00B1533D"/>
    <w:rsid w:val="00B15802"/>
    <w:rsid w:val="00B208A2"/>
    <w:rsid w:val="00B23BFC"/>
    <w:rsid w:val="00B247CD"/>
    <w:rsid w:val="00B25F68"/>
    <w:rsid w:val="00B3089A"/>
    <w:rsid w:val="00B31D27"/>
    <w:rsid w:val="00B33114"/>
    <w:rsid w:val="00B33AB6"/>
    <w:rsid w:val="00B34BFC"/>
    <w:rsid w:val="00B34DF8"/>
    <w:rsid w:val="00B36027"/>
    <w:rsid w:val="00B36DA7"/>
    <w:rsid w:val="00B37422"/>
    <w:rsid w:val="00B46841"/>
    <w:rsid w:val="00B47212"/>
    <w:rsid w:val="00B47CA4"/>
    <w:rsid w:val="00B47D36"/>
    <w:rsid w:val="00B505B1"/>
    <w:rsid w:val="00B54F3F"/>
    <w:rsid w:val="00B55056"/>
    <w:rsid w:val="00B55573"/>
    <w:rsid w:val="00B55934"/>
    <w:rsid w:val="00B56FC0"/>
    <w:rsid w:val="00B57980"/>
    <w:rsid w:val="00B60800"/>
    <w:rsid w:val="00B60833"/>
    <w:rsid w:val="00B62944"/>
    <w:rsid w:val="00B62FDC"/>
    <w:rsid w:val="00B63C94"/>
    <w:rsid w:val="00B644D5"/>
    <w:rsid w:val="00B64F45"/>
    <w:rsid w:val="00B65378"/>
    <w:rsid w:val="00B65F3F"/>
    <w:rsid w:val="00B6635B"/>
    <w:rsid w:val="00B667CA"/>
    <w:rsid w:val="00B66F20"/>
    <w:rsid w:val="00B7069D"/>
    <w:rsid w:val="00B7186F"/>
    <w:rsid w:val="00B73821"/>
    <w:rsid w:val="00B73E82"/>
    <w:rsid w:val="00B764FA"/>
    <w:rsid w:val="00B8139F"/>
    <w:rsid w:val="00B813BC"/>
    <w:rsid w:val="00B816D7"/>
    <w:rsid w:val="00B83CD6"/>
    <w:rsid w:val="00B840A0"/>
    <w:rsid w:val="00B847D7"/>
    <w:rsid w:val="00B91F1B"/>
    <w:rsid w:val="00B9289B"/>
    <w:rsid w:val="00B93DDF"/>
    <w:rsid w:val="00B94D8C"/>
    <w:rsid w:val="00BA19CC"/>
    <w:rsid w:val="00BA31B2"/>
    <w:rsid w:val="00BA334D"/>
    <w:rsid w:val="00BA3897"/>
    <w:rsid w:val="00BA5272"/>
    <w:rsid w:val="00BA528F"/>
    <w:rsid w:val="00BA5363"/>
    <w:rsid w:val="00BA55BC"/>
    <w:rsid w:val="00BB23D5"/>
    <w:rsid w:val="00BB2964"/>
    <w:rsid w:val="00BB2FE7"/>
    <w:rsid w:val="00BB6E20"/>
    <w:rsid w:val="00BC10B7"/>
    <w:rsid w:val="00BC3A92"/>
    <w:rsid w:val="00BC424E"/>
    <w:rsid w:val="00BC454E"/>
    <w:rsid w:val="00BC49F2"/>
    <w:rsid w:val="00BC50DE"/>
    <w:rsid w:val="00BC61B2"/>
    <w:rsid w:val="00BC68CF"/>
    <w:rsid w:val="00BC77F0"/>
    <w:rsid w:val="00BC7D5B"/>
    <w:rsid w:val="00BD0E5F"/>
    <w:rsid w:val="00BD18D8"/>
    <w:rsid w:val="00BD1FF4"/>
    <w:rsid w:val="00BD36DD"/>
    <w:rsid w:val="00BD392A"/>
    <w:rsid w:val="00BD5BC4"/>
    <w:rsid w:val="00BD677E"/>
    <w:rsid w:val="00BD6BDE"/>
    <w:rsid w:val="00BE0CA1"/>
    <w:rsid w:val="00BE3A2A"/>
    <w:rsid w:val="00BE3BAB"/>
    <w:rsid w:val="00BE4C1F"/>
    <w:rsid w:val="00BE4F23"/>
    <w:rsid w:val="00BE757E"/>
    <w:rsid w:val="00BF0422"/>
    <w:rsid w:val="00BF2058"/>
    <w:rsid w:val="00BF23FE"/>
    <w:rsid w:val="00BF26E5"/>
    <w:rsid w:val="00BF4B2A"/>
    <w:rsid w:val="00BF4B58"/>
    <w:rsid w:val="00BF5E9E"/>
    <w:rsid w:val="00BF62D1"/>
    <w:rsid w:val="00BF6C53"/>
    <w:rsid w:val="00BF7F5C"/>
    <w:rsid w:val="00C01F3E"/>
    <w:rsid w:val="00C055DC"/>
    <w:rsid w:val="00C06169"/>
    <w:rsid w:val="00C1251B"/>
    <w:rsid w:val="00C12906"/>
    <w:rsid w:val="00C14D88"/>
    <w:rsid w:val="00C14F49"/>
    <w:rsid w:val="00C15ADD"/>
    <w:rsid w:val="00C1699C"/>
    <w:rsid w:val="00C16FD5"/>
    <w:rsid w:val="00C20DD4"/>
    <w:rsid w:val="00C214D6"/>
    <w:rsid w:val="00C216C8"/>
    <w:rsid w:val="00C235B7"/>
    <w:rsid w:val="00C24442"/>
    <w:rsid w:val="00C2464D"/>
    <w:rsid w:val="00C26313"/>
    <w:rsid w:val="00C273AB"/>
    <w:rsid w:val="00C318B3"/>
    <w:rsid w:val="00C3212B"/>
    <w:rsid w:val="00C332AB"/>
    <w:rsid w:val="00C334E7"/>
    <w:rsid w:val="00C3435F"/>
    <w:rsid w:val="00C3486F"/>
    <w:rsid w:val="00C41157"/>
    <w:rsid w:val="00C420C1"/>
    <w:rsid w:val="00C4356A"/>
    <w:rsid w:val="00C45B80"/>
    <w:rsid w:val="00C4698D"/>
    <w:rsid w:val="00C46ADC"/>
    <w:rsid w:val="00C46D6E"/>
    <w:rsid w:val="00C47088"/>
    <w:rsid w:val="00C474A0"/>
    <w:rsid w:val="00C47F0B"/>
    <w:rsid w:val="00C52850"/>
    <w:rsid w:val="00C52A46"/>
    <w:rsid w:val="00C5395A"/>
    <w:rsid w:val="00C549E7"/>
    <w:rsid w:val="00C5501A"/>
    <w:rsid w:val="00C55672"/>
    <w:rsid w:val="00C558A6"/>
    <w:rsid w:val="00C5620E"/>
    <w:rsid w:val="00C578E5"/>
    <w:rsid w:val="00C579A0"/>
    <w:rsid w:val="00C60A11"/>
    <w:rsid w:val="00C63A80"/>
    <w:rsid w:val="00C66466"/>
    <w:rsid w:val="00C67961"/>
    <w:rsid w:val="00C703FA"/>
    <w:rsid w:val="00C708BE"/>
    <w:rsid w:val="00C70904"/>
    <w:rsid w:val="00C76655"/>
    <w:rsid w:val="00C76DA9"/>
    <w:rsid w:val="00C77A0B"/>
    <w:rsid w:val="00C77BD2"/>
    <w:rsid w:val="00C80FD3"/>
    <w:rsid w:val="00C82766"/>
    <w:rsid w:val="00C85391"/>
    <w:rsid w:val="00C8567C"/>
    <w:rsid w:val="00C86B8A"/>
    <w:rsid w:val="00C91328"/>
    <w:rsid w:val="00C9451D"/>
    <w:rsid w:val="00C94C25"/>
    <w:rsid w:val="00C94E96"/>
    <w:rsid w:val="00C952EE"/>
    <w:rsid w:val="00C97665"/>
    <w:rsid w:val="00C97714"/>
    <w:rsid w:val="00CA279D"/>
    <w:rsid w:val="00CA2879"/>
    <w:rsid w:val="00CA34D8"/>
    <w:rsid w:val="00CA4AC3"/>
    <w:rsid w:val="00CA5451"/>
    <w:rsid w:val="00CA5980"/>
    <w:rsid w:val="00CA5A30"/>
    <w:rsid w:val="00CB01B2"/>
    <w:rsid w:val="00CB1711"/>
    <w:rsid w:val="00CB476D"/>
    <w:rsid w:val="00CB67BC"/>
    <w:rsid w:val="00CC0405"/>
    <w:rsid w:val="00CC592B"/>
    <w:rsid w:val="00CC7657"/>
    <w:rsid w:val="00CD5EDC"/>
    <w:rsid w:val="00CD68A8"/>
    <w:rsid w:val="00CD6929"/>
    <w:rsid w:val="00CD6E6A"/>
    <w:rsid w:val="00CE11FC"/>
    <w:rsid w:val="00CE286E"/>
    <w:rsid w:val="00CE361D"/>
    <w:rsid w:val="00CE3C8E"/>
    <w:rsid w:val="00CE50F5"/>
    <w:rsid w:val="00CE56D8"/>
    <w:rsid w:val="00CE6151"/>
    <w:rsid w:val="00CF11AE"/>
    <w:rsid w:val="00CF1A59"/>
    <w:rsid w:val="00CF1BFB"/>
    <w:rsid w:val="00CF231C"/>
    <w:rsid w:val="00CF4641"/>
    <w:rsid w:val="00CF6FE9"/>
    <w:rsid w:val="00D020A3"/>
    <w:rsid w:val="00D0296E"/>
    <w:rsid w:val="00D06113"/>
    <w:rsid w:val="00D0706C"/>
    <w:rsid w:val="00D07D25"/>
    <w:rsid w:val="00D107E5"/>
    <w:rsid w:val="00D12C92"/>
    <w:rsid w:val="00D21F80"/>
    <w:rsid w:val="00D23660"/>
    <w:rsid w:val="00D257E1"/>
    <w:rsid w:val="00D26045"/>
    <w:rsid w:val="00D26264"/>
    <w:rsid w:val="00D2735A"/>
    <w:rsid w:val="00D33A7B"/>
    <w:rsid w:val="00D3451E"/>
    <w:rsid w:val="00D346DE"/>
    <w:rsid w:val="00D34ED4"/>
    <w:rsid w:val="00D35420"/>
    <w:rsid w:val="00D3603F"/>
    <w:rsid w:val="00D41A32"/>
    <w:rsid w:val="00D41C30"/>
    <w:rsid w:val="00D4421F"/>
    <w:rsid w:val="00D45C87"/>
    <w:rsid w:val="00D45D4B"/>
    <w:rsid w:val="00D45EFE"/>
    <w:rsid w:val="00D468C7"/>
    <w:rsid w:val="00D46BB5"/>
    <w:rsid w:val="00D47944"/>
    <w:rsid w:val="00D50430"/>
    <w:rsid w:val="00D50D6D"/>
    <w:rsid w:val="00D50ED5"/>
    <w:rsid w:val="00D512A5"/>
    <w:rsid w:val="00D51499"/>
    <w:rsid w:val="00D562CC"/>
    <w:rsid w:val="00D602FF"/>
    <w:rsid w:val="00D607A5"/>
    <w:rsid w:val="00D61CD0"/>
    <w:rsid w:val="00D624FC"/>
    <w:rsid w:val="00D62A41"/>
    <w:rsid w:val="00D6317E"/>
    <w:rsid w:val="00D63AEE"/>
    <w:rsid w:val="00D63B5D"/>
    <w:rsid w:val="00D648F0"/>
    <w:rsid w:val="00D7110D"/>
    <w:rsid w:val="00D7213E"/>
    <w:rsid w:val="00D74C0A"/>
    <w:rsid w:val="00D80344"/>
    <w:rsid w:val="00D80392"/>
    <w:rsid w:val="00D813EF"/>
    <w:rsid w:val="00D84FD8"/>
    <w:rsid w:val="00D8598E"/>
    <w:rsid w:val="00D87DDA"/>
    <w:rsid w:val="00D924D6"/>
    <w:rsid w:val="00D936D2"/>
    <w:rsid w:val="00D94264"/>
    <w:rsid w:val="00D94F69"/>
    <w:rsid w:val="00D95B53"/>
    <w:rsid w:val="00D966A4"/>
    <w:rsid w:val="00D9776C"/>
    <w:rsid w:val="00DA03EC"/>
    <w:rsid w:val="00DA18DC"/>
    <w:rsid w:val="00DA32CA"/>
    <w:rsid w:val="00DA57CB"/>
    <w:rsid w:val="00DB04B3"/>
    <w:rsid w:val="00DB2E8D"/>
    <w:rsid w:val="00DB315A"/>
    <w:rsid w:val="00DB3F76"/>
    <w:rsid w:val="00DB779E"/>
    <w:rsid w:val="00DC1E7E"/>
    <w:rsid w:val="00DC23AC"/>
    <w:rsid w:val="00DC41F0"/>
    <w:rsid w:val="00DC51F5"/>
    <w:rsid w:val="00DC5DED"/>
    <w:rsid w:val="00DD3CB4"/>
    <w:rsid w:val="00DD4366"/>
    <w:rsid w:val="00DD5D09"/>
    <w:rsid w:val="00DD6488"/>
    <w:rsid w:val="00DD6C5D"/>
    <w:rsid w:val="00DD7040"/>
    <w:rsid w:val="00DD7514"/>
    <w:rsid w:val="00DD77D0"/>
    <w:rsid w:val="00DE08A9"/>
    <w:rsid w:val="00DE08F8"/>
    <w:rsid w:val="00DE0B3F"/>
    <w:rsid w:val="00DE13D4"/>
    <w:rsid w:val="00DE16D7"/>
    <w:rsid w:val="00DE349E"/>
    <w:rsid w:val="00DE3627"/>
    <w:rsid w:val="00DE57AC"/>
    <w:rsid w:val="00DE6496"/>
    <w:rsid w:val="00DE7404"/>
    <w:rsid w:val="00DE7ECA"/>
    <w:rsid w:val="00DF05AD"/>
    <w:rsid w:val="00DF18DA"/>
    <w:rsid w:val="00DF36D4"/>
    <w:rsid w:val="00DF4FDA"/>
    <w:rsid w:val="00DF5CC9"/>
    <w:rsid w:val="00DF5E52"/>
    <w:rsid w:val="00DF652B"/>
    <w:rsid w:val="00DF6B0A"/>
    <w:rsid w:val="00DF7FAC"/>
    <w:rsid w:val="00E02280"/>
    <w:rsid w:val="00E02F1B"/>
    <w:rsid w:val="00E0503F"/>
    <w:rsid w:val="00E051FF"/>
    <w:rsid w:val="00E058C1"/>
    <w:rsid w:val="00E05DB5"/>
    <w:rsid w:val="00E06EBC"/>
    <w:rsid w:val="00E07731"/>
    <w:rsid w:val="00E07B80"/>
    <w:rsid w:val="00E12485"/>
    <w:rsid w:val="00E12E34"/>
    <w:rsid w:val="00E1399F"/>
    <w:rsid w:val="00E204D0"/>
    <w:rsid w:val="00E20DD5"/>
    <w:rsid w:val="00E21EDF"/>
    <w:rsid w:val="00E22012"/>
    <w:rsid w:val="00E23550"/>
    <w:rsid w:val="00E2496E"/>
    <w:rsid w:val="00E262DF"/>
    <w:rsid w:val="00E26618"/>
    <w:rsid w:val="00E2793F"/>
    <w:rsid w:val="00E3044B"/>
    <w:rsid w:val="00E317E1"/>
    <w:rsid w:val="00E319F0"/>
    <w:rsid w:val="00E328FC"/>
    <w:rsid w:val="00E33D84"/>
    <w:rsid w:val="00E34F70"/>
    <w:rsid w:val="00E35077"/>
    <w:rsid w:val="00E3585B"/>
    <w:rsid w:val="00E44E3B"/>
    <w:rsid w:val="00E45E61"/>
    <w:rsid w:val="00E46144"/>
    <w:rsid w:val="00E475C4"/>
    <w:rsid w:val="00E47E25"/>
    <w:rsid w:val="00E50B81"/>
    <w:rsid w:val="00E50DA6"/>
    <w:rsid w:val="00E51665"/>
    <w:rsid w:val="00E53627"/>
    <w:rsid w:val="00E53687"/>
    <w:rsid w:val="00E5370C"/>
    <w:rsid w:val="00E54CE8"/>
    <w:rsid w:val="00E55483"/>
    <w:rsid w:val="00E55C35"/>
    <w:rsid w:val="00E60F92"/>
    <w:rsid w:val="00E62E77"/>
    <w:rsid w:val="00E6461B"/>
    <w:rsid w:val="00E65C76"/>
    <w:rsid w:val="00E66332"/>
    <w:rsid w:val="00E713C2"/>
    <w:rsid w:val="00E72BF4"/>
    <w:rsid w:val="00E72C6D"/>
    <w:rsid w:val="00E72DC9"/>
    <w:rsid w:val="00E732E0"/>
    <w:rsid w:val="00E754EF"/>
    <w:rsid w:val="00E75A29"/>
    <w:rsid w:val="00E7712F"/>
    <w:rsid w:val="00E8069E"/>
    <w:rsid w:val="00E81369"/>
    <w:rsid w:val="00E8272B"/>
    <w:rsid w:val="00E82A4A"/>
    <w:rsid w:val="00E82D51"/>
    <w:rsid w:val="00E8447B"/>
    <w:rsid w:val="00E84893"/>
    <w:rsid w:val="00E84EEA"/>
    <w:rsid w:val="00E85F01"/>
    <w:rsid w:val="00E8673E"/>
    <w:rsid w:val="00E86FEE"/>
    <w:rsid w:val="00E91B63"/>
    <w:rsid w:val="00E92018"/>
    <w:rsid w:val="00E93F19"/>
    <w:rsid w:val="00E96E31"/>
    <w:rsid w:val="00EA040C"/>
    <w:rsid w:val="00EA0478"/>
    <w:rsid w:val="00EA0C2D"/>
    <w:rsid w:val="00EA0E7E"/>
    <w:rsid w:val="00EA22FF"/>
    <w:rsid w:val="00EA2821"/>
    <w:rsid w:val="00EA3CE7"/>
    <w:rsid w:val="00EA5703"/>
    <w:rsid w:val="00EB1583"/>
    <w:rsid w:val="00EB2C6F"/>
    <w:rsid w:val="00EB3499"/>
    <w:rsid w:val="00EB3B7E"/>
    <w:rsid w:val="00EB4A26"/>
    <w:rsid w:val="00EB6251"/>
    <w:rsid w:val="00EB626E"/>
    <w:rsid w:val="00EB69D2"/>
    <w:rsid w:val="00EC0275"/>
    <w:rsid w:val="00EC4D13"/>
    <w:rsid w:val="00EC6A05"/>
    <w:rsid w:val="00EC6EEA"/>
    <w:rsid w:val="00ED0670"/>
    <w:rsid w:val="00ED189E"/>
    <w:rsid w:val="00ED1E80"/>
    <w:rsid w:val="00ED2081"/>
    <w:rsid w:val="00ED2B69"/>
    <w:rsid w:val="00ED3EF5"/>
    <w:rsid w:val="00ED42EE"/>
    <w:rsid w:val="00ED627A"/>
    <w:rsid w:val="00EE27DA"/>
    <w:rsid w:val="00EE3496"/>
    <w:rsid w:val="00EE4242"/>
    <w:rsid w:val="00EE4262"/>
    <w:rsid w:val="00EE55EE"/>
    <w:rsid w:val="00EE5C7D"/>
    <w:rsid w:val="00EE6120"/>
    <w:rsid w:val="00EF01F5"/>
    <w:rsid w:val="00EF1C92"/>
    <w:rsid w:val="00EF366A"/>
    <w:rsid w:val="00EF558E"/>
    <w:rsid w:val="00EF57AE"/>
    <w:rsid w:val="00EF6C95"/>
    <w:rsid w:val="00EF722F"/>
    <w:rsid w:val="00EF735D"/>
    <w:rsid w:val="00F00A1D"/>
    <w:rsid w:val="00F00FDF"/>
    <w:rsid w:val="00F04740"/>
    <w:rsid w:val="00F06004"/>
    <w:rsid w:val="00F061F6"/>
    <w:rsid w:val="00F0621B"/>
    <w:rsid w:val="00F073F3"/>
    <w:rsid w:val="00F103B9"/>
    <w:rsid w:val="00F12A0D"/>
    <w:rsid w:val="00F13094"/>
    <w:rsid w:val="00F13E90"/>
    <w:rsid w:val="00F16AA3"/>
    <w:rsid w:val="00F2117F"/>
    <w:rsid w:val="00F22496"/>
    <w:rsid w:val="00F23024"/>
    <w:rsid w:val="00F23430"/>
    <w:rsid w:val="00F234A7"/>
    <w:rsid w:val="00F242B8"/>
    <w:rsid w:val="00F24C22"/>
    <w:rsid w:val="00F274E8"/>
    <w:rsid w:val="00F2772C"/>
    <w:rsid w:val="00F310C0"/>
    <w:rsid w:val="00F31104"/>
    <w:rsid w:val="00F31401"/>
    <w:rsid w:val="00F32354"/>
    <w:rsid w:val="00F3252F"/>
    <w:rsid w:val="00F33507"/>
    <w:rsid w:val="00F337E7"/>
    <w:rsid w:val="00F3563E"/>
    <w:rsid w:val="00F35870"/>
    <w:rsid w:val="00F37C5F"/>
    <w:rsid w:val="00F401C6"/>
    <w:rsid w:val="00F4144F"/>
    <w:rsid w:val="00F42FFA"/>
    <w:rsid w:val="00F43664"/>
    <w:rsid w:val="00F43F63"/>
    <w:rsid w:val="00F440EE"/>
    <w:rsid w:val="00F4613A"/>
    <w:rsid w:val="00F4724C"/>
    <w:rsid w:val="00F47543"/>
    <w:rsid w:val="00F54E74"/>
    <w:rsid w:val="00F55383"/>
    <w:rsid w:val="00F55BB8"/>
    <w:rsid w:val="00F55FFC"/>
    <w:rsid w:val="00F5656D"/>
    <w:rsid w:val="00F60754"/>
    <w:rsid w:val="00F62F01"/>
    <w:rsid w:val="00F65FED"/>
    <w:rsid w:val="00F7524F"/>
    <w:rsid w:val="00F767C1"/>
    <w:rsid w:val="00F76F5D"/>
    <w:rsid w:val="00F80570"/>
    <w:rsid w:val="00F80BD3"/>
    <w:rsid w:val="00F8117D"/>
    <w:rsid w:val="00F8169A"/>
    <w:rsid w:val="00F83DAC"/>
    <w:rsid w:val="00F85BE1"/>
    <w:rsid w:val="00F87AE8"/>
    <w:rsid w:val="00F90311"/>
    <w:rsid w:val="00F91749"/>
    <w:rsid w:val="00F93303"/>
    <w:rsid w:val="00F93A3F"/>
    <w:rsid w:val="00F9481F"/>
    <w:rsid w:val="00F9626C"/>
    <w:rsid w:val="00F96F69"/>
    <w:rsid w:val="00FA16B3"/>
    <w:rsid w:val="00FA1FFE"/>
    <w:rsid w:val="00FA2DAD"/>
    <w:rsid w:val="00FA41CE"/>
    <w:rsid w:val="00FA48D9"/>
    <w:rsid w:val="00FA5080"/>
    <w:rsid w:val="00FA5E26"/>
    <w:rsid w:val="00FA70B5"/>
    <w:rsid w:val="00FA7E7E"/>
    <w:rsid w:val="00FA7FD6"/>
    <w:rsid w:val="00FB4397"/>
    <w:rsid w:val="00FB6724"/>
    <w:rsid w:val="00FC053D"/>
    <w:rsid w:val="00FC18FB"/>
    <w:rsid w:val="00FC3A77"/>
    <w:rsid w:val="00FC4058"/>
    <w:rsid w:val="00FC4264"/>
    <w:rsid w:val="00FC55EF"/>
    <w:rsid w:val="00FC6A26"/>
    <w:rsid w:val="00FD0716"/>
    <w:rsid w:val="00FD225F"/>
    <w:rsid w:val="00FD3D15"/>
    <w:rsid w:val="00FD4D43"/>
    <w:rsid w:val="00FD4E30"/>
    <w:rsid w:val="00FE2190"/>
    <w:rsid w:val="00FE2DD3"/>
    <w:rsid w:val="00FE3C43"/>
    <w:rsid w:val="00FE3E42"/>
    <w:rsid w:val="00FE4026"/>
    <w:rsid w:val="00FE48DD"/>
    <w:rsid w:val="00FE6D8E"/>
    <w:rsid w:val="00FE7FC0"/>
    <w:rsid w:val="00FF3E68"/>
    <w:rsid w:val="00FF7241"/>
    <w:rsid w:val="00FF7258"/>
    <w:rsid w:val="00FF774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83C8BF-63C4-4041-9391-4C3F9B83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AE5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242B8"/>
    <w:pPr>
      <w:spacing w:before="100" w:beforeAutospacing="1" w:after="100" w:afterAutospacing="1"/>
      <w:outlineLvl w:val="2"/>
    </w:pPr>
    <w:rPr>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1D57"/>
    <w:rPr>
      <w:b/>
      <w:bCs/>
    </w:rPr>
  </w:style>
  <w:style w:type="paragraph" w:styleId="NormalWeb">
    <w:name w:val="Normal (Web)"/>
    <w:basedOn w:val="Normal"/>
    <w:uiPriority w:val="99"/>
    <w:rsid w:val="00FC18FB"/>
    <w:pPr>
      <w:spacing w:before="100" w:beforeAutospacing="1" w:after="100" w:afterAutospacing="1"/>
    </w:pPr>
  </w:style>
  <w:style w:type="paragraph" w:styleId="BalloonText">
    <w:name w:val="Balloon Text"/>
    <w:basedOn w:val="Normal"/>
    <w:link w:val="BalloonTextChar"/>
    <w:rsid w:val="00263335"/>
    <w:rPr>
      <w:rFonts w:ascii="Tahoma" w:hAnsi="Tahoma" w:cs="Tahoma"/>
      <w:sz w:val="16"/>
      <w:szCs w:val="16"/>
    </w:rPr>
  </w:style>
  <w:style w:type="character" w:customStyle="1" w:styleId="BalloonTextChar">
    <w:name w:val="Balloon Text Char"/>
    <w:link w:val="BalloonText"/>
    <w:rsid w:val="00263335"/>
    <w:rPr>
      <w:rFonts w:ascii="Tahoma" w:hAnsi="Tahoma" w:cs="Tahoma"/>
      <w:sz w:val="16"/>
      <w:szCs w:val="16"/>
    </w:rPr>
  </w:style>
  <w:style w:type="character" w:styleId="CommentReference">
    <w:name w:val="annotation reference"/>
    <w:rsid w:val="00FE3C43"/>
    <w:rPr>
      <w:sz w:val="16"/>
      <w:szCs w:val="16"/>
    </w:rPr>
  </w:style>
  <w:style w:type="paragraph" w:styleId="CommentText">
    <w:name w:val="annotation text"/>
    <w:basedOn w:val="Normal"/>
    <w:link w:val="CommentTextChar"/>
    <w:rsid w:val="00FE3C43"/>
    <w:rPr>
      <w:sz w:val="20"/>
      <w:szCs w:val="20"/>
    </w:rPr>
  </w:style>
  <w:style w:type="character" w:customStyle="1" w:styleId="CommentTextChar">
    <w:name w:val="Comment Text Char"/>
    <w:basedOn w:val="DefaultParagraphFont"/>
    <w:link w:val="CommentText"/>
    <w:rsid w:val="00FE3C43"/>
  </w:style>
  <w:style w:type="paragraph" w:styleId="CommentSubject">
    <w:name w:val="annotation subject"/>
    <w:basedOn w:val="CommentText"/>
    <w:next w:val="CommentText"/>
    <w:link w:val="CommentSubjectChar"/>
    <w:rsid w:val="00FE3C43"/>
    <w:rPr>
      <w:b/>
      <w:bCs/>
    </w:rPr>
  </w:style>
  <w:style w:type="character" w:customStyle="1" w:styleId="CommentSubjectChar">
    <w:name w:val="Comment Subject Char"/>
    <w:link w:val="CommentSubject"/>
    <w:rsid w:val="00FE3C43"/>
    <w:rPr>
      <w:b/>
      <w:bCs/>
    </w:rPr>
  </w:style>
  <w:style w:type="paragraph" w:customStyle="1" w:styleId="c01pointnumerotealtn">
    <w:name w:val="c01pointnumerotealtn"/>
    <w:basedOn w:val="Normal"/>
    <w:rsid w:val="00E55C35"/>
    <w:pPr>
      <w:spacing w:before="100" w:beforeAutospacing="1" w:after="240"/>
      <w:ind w:left="567" w:hanging="539"/>
      <w:jc w:val="both"/>
    </w:pPr>
    <w:rPr>
      <w:lang w:eastAsia="fr-FR"/>
    </w:rPr>
  </w:style>
  <w:style w:type="character" w:customStyle="1" w:styleId="outputecliaff">
    <w:name w:val="outputecliaff"/>
    <w:rsid w:val="00EA5703"/>
  </w:style>
  <w:style w:type="paragraph" w:customStyle="1" w:styleId="c02alineaalta">
    <w:name w:val="c02alineaalta"/>
    <w:basedOn w:val="Normal"/>
    <w:rsid w:val="00DE6496"/>
    <w:pPr>
      <w:spacing w:after="240"/>
      <w:ind w:left="567"/>
      <w:jc w:val="both"/>
    </w:pPr>
    <w:rPr>
      <w:lang w:eastAsia="fr-FR"/>
    </w:rPr>
  </w:style>
  <w:style w:type="paragraph" w:customStyle="1" w:styleId="c09marge0avecretrait">
    <w:name w:val="c09marge0avecretrait"/>
    <w:basedOn w:val="Normal"/>
    <w:rsid w:val="00DE6496"/>
    <w:pPr>
      <w:spacing w:after="240"/>
      <w:ind w:left="1134" w:hanging="567"/>
      <w:jc w:val="both"/>
    </w:pPr>
    <w:rPr>
      <w:lang w:eastAsia="fr-FR"/>
    </w:rPr>
  </w:style>
  <w:style w:type="paragraph" w:customStyle="1" w:styleId="c11marge1avecretrait">
    <w:name w:val="c11marge1avecretrait"/>
    <w:basedOn w:val="Normal"/>
    <w:rsid w:val="00DE6496"/>
    <w:pPr>
      <w:spacing w:after="240"/>
      <w:ind w:left="1701" w:hanging="567"/>
      <w:jc w:val="both"/>
    </w:pPr>
    <w:rPr>
      <w:lang w:eastAsia="fr-FR"/>
    </w:rPr>
  </w:style>
  <w:style w:type="paragraph" w:customStyle="1" w:styleId="c04titre1">
    <w:name w:val="c04titre1"/>
    <w:basedOn w:val="Normal"/>
    <w:rsid w:val="008808CA"/>
    <w:pPr>
      <w:spacing w:before="480" w:after="240"/>
      <w:ind w:left="567"/>
      <w:jc w:val="both"/>
    </w:pPr>
    <w:rPr>
      <w:b/>
      <w:bCs/>
      <w:lang w:eastAsia="fr-FR"/>
    </w:rPr>
  </w:style>
  <w:style w:type="paragraph" w:customStyle="1" w:styleId="c41dispositifintroduction">
    <w:name w:val="c41dispositifintroduction"/>
    <w:basedOn w:val="Normal"/>
    <w:rsid w:val="008808CA"/>
    <w:pPr>
      <w:spacing w:before="100" w:beforeAutospacing="1" w:after="100" w:afterAutospacing="1"/>
    </w:pPr>
    <w:rPr>
      <w:lang w:eastAsia="fr-FR"/>
    </w:rPr>
  </w:style>
  <w:style w:type="paragraph" w:customStyle="1" w:styleId="c30dispositifalinea">
    <w:name w:val="c30dispositifalinea"/>
    <w:basedOn w:val="Normal"/>
    <w:rsid w:val="008808CA"/>
    <w:pPr>
      <w:spacing w:before="100" w:beforeAutospacing="1" w:after="100" w:afterAutospacing="1"/>
    </w:pPr>
    <w:rPr>
      <w:lang w:eastAsia="fr-FR"/>
    </w:rPr>
  </w:style>
  <w:style w:type="paragraph" w:customStyle="1" w:styleId="c05titre2">
    <w:name w:val="c05titre2"/>
    <w:basedOn w:val="Normal"/>
    <w:rsid w:val="00C14D88"/>
    <w:pPr>
      <w:spacing w:after="240"/>
      <w:ind w:left="567"/>
      <w:jc w:val="both"/>
    </w:pPr>
    <w:rPr>
      <w:i/>
      <w:iCs/>
      <w:lang w:eastAsia="fr-FR"/>
    </w:rPr>
  </w:style>
  <w:style w:type="paragraph" w:customStyle="1" w:styleId="c06titre3">
    <w:name w:val="c06titre3"/>
    <w:basedOn w:val="Normal"/>
    <w:rsid w:val="00C14D88"/>
    <w:pPr>
      <w:spacing w:after="240"/>
      <w:ind w:left="567"/>
      <w:jc w:val="both"/>
    </w:pPr>
    <w:rPr>
      <w:lang w:eastAsia="fr-FR"/>
    </w:rPr>
  </w:style>
  <w:style w:type="paragraph" w:customStyle="1" w:styleId="c08dispositif">
    <w:name w:val="c08dispositif"/>
    <w:basedOn w:val="Normal"/>
    <w:rsid w:val="00C14D88"/>
    <w:pPr>
      <w:spacing w:before="100" w:beforeAutospacing="1" w:after="240"/>
      <w:ind w:left="1134" w:hanging="567"/>
      <w:jc w:val="both"/>
    </w:pPr>
    <w:rPr>
      <w:b/>
      <w:bCs/>
      <w:lang w:eastAsia="fr-FR"/>
    </w:rPr>
  </w:style>
  <w:style w:type="paragraph" w:customStyle="1" w:styleId="c03tiretlong">
    <w:name w:val="c03tiretlong"/>
    <w:basedOn w:val="Normal"/>
    <w:rsid w:val="00E2496E"/>
    <w:pPr>
      <w:spacing w:before="100" w:beforeAutospacing="1" w:after="240"/>
      <w:ind w:left="1134" w:hanging="567"/>
      <w:jc w:val="both"/>
    </w:pPr>
    <w:rPr>
      <w:lang w:eastAsia="fr-FR"/>
    </w:rPr>
  </w:style>
  <w:style w:type="paragraph" w:customStyle="1" w:styleId="c45dispositifmarge1avectiretlong">
    <w:name w:val="c45dispositifmarge1avectiretlong"/>
    <w:basedOn w:val="Normal"/>
    <w:rsid w:val="00E2496E"/>
    <w:pPr>
      <w:spacing w:before="100" w:beforeAutospacing="1" w:after="240"/>
      <w:ind w:left="1701" w:hanging="567"/>
      <w:jc w:val="both"/>
    </w:pPr>
    <w:rPr>
      <w:b/>
      <w:bCs/>
      <w:lang w:eastAsia="fr-FR"/>
    </w:rPr>
  </w:style>
  <w:style w:type="character" w:customStyle="1" w:styleId="Heading3Char">
    <w:name w:val="Heading 3 Char"/>
    <w:link w:val="Heading3"/>
    <w:uiPriority w:val="9"/>
    <w:rsid w:val="00F242B8"/>
    <w:rPr>
      <w:b/>
      <w:bCs/>
      <w:sz w:val="27"/>
      <w:szCs w:val="27"/>
    </w:rPr>
  </w:style>
  <w:style w:type="character" w:styleId="Hyperlink">
    <w:name w:val="Hyperlink"/>
    <w:uiPriority w:val="99"/>
    <w:unhideWhenUsed/>
    <w:rsid w:val="006255E9"/>
    <w:rPr>
      <w:strike w:val="0"/>
      <w:dstrike w:val="0"/>
      <w:color w:val="auto"/>
      <w:u w:val="none"/>
      <w:effect w:val="none"/>
    </w:rPr>
  </w:style>
  <w:style w:type="character" w:styleId="FollowedHyperlink">
    <w:name w:val="FollowedHyperlink"/>
    <w:rsid w:val="004A09DC"/>
    <w:rPr>
      <w:color w:val="800080"/>
      <w:u w:val="single"/>
    </w:rPr>
  </w:style>
  <w:style w:type="character" w:customStyle="1" w:styleId="affairetitle">
    <w:name w:val="affaire_title"/>
    <w:rsid w:val="00E44E3B"/>
  </w:style>
  <w:style w:type="paragraph" w:styleId="Header">
    <w:name w:val="header"/>
    <w:basedOn w:val="Normal"/>
    <w:link w:val="HeaderChar"/>
    <w:rsid w:val="00EB4A26"/>
    <w:pPr>
      <w:tabs>
        <w:tab w:val="center" w:pos="4536"/>
        <w:tab w:val="right" w:pos="9072"/>
      </w:tabs>
    </w:pPr>
  </w:style>
  <w:style w:type="character" w:customStyle="1" w:styleId="HeaderChar">
    <w:name w:val="Header Char"/>
    <w:basedOn w:val="DefaultParagraphFont"/>
    <w:link w:val="Header"/>
    <w:rsid w:val="00EB4A26"/>
    <w:rPr>
      <w:sz w:val="24"/>
      <w:szCs w:val="24"/>
      <w:lang w:val="et-EE" w:eastAsia="en-GB"/>
    </w:rPr>
  </w:style>
  <w:style w:type="paragraph" w:styleId="Footer">
    <w:name w:val="footer"/>
    <w:basedOn w:val="Normal"/>
    <w:link w:val="FooterChar"/>
    <w:uiPriority w:val="99"/>
    <w:rsid w:val="00EB4A26"/>
    <w:pPr>
      <w:tabs>
        <w:tab w:val="center" w:pos="4536"/>
        <w:tab w:val="right" w:pos="9072"/>
      </w:tabs>
    </w:pPr>
  </w:style>
  <w:style w:type="character" w:customStyle="1" w:styleId="FooterChar">
    <w:name w:val="Footer Char"/>
    <w:basedOn w:val="DefaultParagraphFont"/>
    <w:link w:val="Footer"/>
    <w:uiPriority w:val="99"/>
    <w:rsid w:val="00EB4A26"/>
    <w:rPr>
      <w:sz w:val="24"/>
      <w:szCs w:val="24"/>
      <w:lang w:val="et-EE" w:eastAsia="en-GB"/>
    </w:rPr>
  </w:style>
  <w:style w:type="paragraph" w:styleId="Revision">
    <w:name w:val="Revision"/>
    <w:hidden/>
    <w:uiPriority w:val="99"/>
    <w:semiHidden/>
    <w:rsid w:val="00600D1E"/>
    <w:rPr>
      <w:sz w:val="24"/>
      <w:szCs w:val="24"/>
      <w:lang w:eastAsia="en-GB"/>
    </w:rPr>
  </w:style>
  <w:style w:type="paragraph" w:styleId="ListParagraph">
    <w:name w:val="List Paragraph"/>
    <w:basedOn w:val="Normal"/>
    <w:uiPriority w:val="34"/>
    <w:qFormat/>
    <w:rsid w:val="008F01F8"/>
    <w:pPr>
      <w:ind w:left="720"/>
      <w:contextualSpacing/>
    </w:pPr>
  </w:style>
  <w:style w:type="paragraph" w:customStyle="1" w:styleId="Style1">
    <w:name w:val="Style1"/>
    <w:basedOn w:val="Heading1"/>
    <w:link w:val="Style1Char"/>
    <w:autoRedefine/>
    <w:qFormat/>
    <w:rsid w:val="00AE51A7"/>
    <w:pPr>
      <w:pBdr>
        <w:top w:val="single" w:sz="4" w:space="1" w:color="auto"/>
        <w:left w:val="single" w:sz="4" w:space="4" w:color="auto"/>
        <w:bottom w:val="single" w:sz="4" w:space="1" w:color="auto"/>
        <w:right w:val="single" w:sz="4" w:space="4" w:color="auto"/>
      </w:pBdr>
      <w:jc w:val="center"/>
    </w:pPr>
    <w:rPr>
      <w:rFonts w:ascii="Times New Roman" w:eastAsia="Calibri" w:hAnsi="Times New Roman"/>
      <w:b/>
      <w:smallCaps/>
      <w:color w:val="auto"/>
      <w:sz w:val="24"/>
      <w:lang w:eastAsia="en-US"/>
    </w:rPr>
  </w:style>
  <w:style w:type="character" w:customStyle="1" w:styleId="Heading1Char">
    <w:name w:val="Heading 1 Char"/>
    <w:basedOn w:val="DefaultParagraphFont"/>
    <w:link w:val="Heading1"/>
    <w:rsid w:val="00AE51A7"/>
    <w:rPr>
      <w:rFonts w:asciiTheme="majorHAnsi" w:eastAsiaTheme="majorEastAsia" w:hAnsiTheme="majorHAnsi" w:cstheme="majorBidi"/>
      <w:color w:val="365F91" w:themeColor="accent1" w:themeShade="BF"/>
      <w:sz w:val="32"/>
      <w:szCs w:val="32"/>
      <w:lang w:val="et-EE" w:eastAsia="en-GB"/>
    </w:rPr>
  </w:style>
  <w:style w:type="character" w:customStyle="1" w:styleId="Style1Char">
    <w:name w:val="Style1 Char"/>
    <w:basedOn w:val="Heading1Char"/>
    <w:link w:val="Style1"/>
    <w:rsid w:val="00AE51A7"/>
    <w:rPr>
      <w:rFonts w:asciiTheme="majorHAnsi" w:eastAsia="Calibri" w:hAnsiTheme="majorHAnsi" w:cstheme="majorBidi"/>
      <w:b/>
      <w:smallCaps/>
      <w:color w:val="365F91" w:themeColor="accent1" w:themeShade="BF"/>
      <w:sz w:val="24"/>
      <w:szCs w:val="32"/>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08">
      <w:bodyDiv w:val="1"/>
      <w:marLeft w:val="0"/>
      <w:marRight w:val="0"/>
      <w:marTop w:val="0"/>
      <w:marBottom w:val="0"/>
      <w:divBdr>
        <w:top w:val="none" w:sz="0" w:space="0" w:color="auto"/>
        <w:left w:val="none" w:sz="0" w:space="0" w:color="auto"/>
        <w:bottom w:val="none" w:sz="0" w:space="0" w:color="auto"/>
        <w:right w:val="none" w:sz="0" w:space="0" w:color="auto"/>
      </w:divBdr>
      <w:divsChild>
        <w:div w:id="774128795">
          <w:marLeft w:val="0"/>
          <w:marRight w:val="0"/>
          <w:marTop w:val="0"/>
          <w:marBottom w:val="0"/>
          <w:divBdr>
            <w:top w:val="none" w:sz="0" w:space="0" w:color="auto"/>
            <w:left w:val="none" w:sz="0" w:space="0" w:color="auto"/>
            <w:bottom w:val="none" w:sz="0" w:space="0" w:color="auto"/>
            <w:right w:val="none" w:sz="0" w:space="0" w:color="auto"/>
          </w:divBdr>
          <w:divsChild>
            <w:div w:id="2037003272">
              <w:marLeft w:val="0"/>
              <w:marRight w:val="0"/>
              <w:marTop w:val="0"/>
              <w:marBottom w:val="0"/>
              <w:divBdr>
                <w:top w:val="none" w:sz="0" w:space="0" w:color="auto"/>
                <w:left w:val="none" w:sz="0" w:space="0" w:color="auto"/>
                <w:bottom w:val="none" w:sz="0" w:space="0" w:color="auto"/>
                <w:right w:val="none" w:sz="0" w:space="0" w:color="auto"/>
              </w:divBdr>
              <w:divsChild>
                <w:div w:id="693382504">
                  <w:marLeft w:val="0"/>
                  <w:marRight w:val="0"/>
                  <w:marTop w:val="0"/>
                  <w:marBottom w:val="0"/>
                  <w:divBdr>
                    <w:top w:val="none" w:sz="0" w:space="0" w:color="auto"/>
                    <w:left w:val="none" w:sz="0" w:space="0" w:color="auto"/>
                    <w:bottom w:val="none" w:sz="0" w:space="0" w:color="auto"/>
                    <w:right w:val="none" w:sz="0" w:space="0" w:color="auto"/>
                  </w:divBdr>
                  <w:divsChild>
                    <w:div w:id="12847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967">
      <w:bodyDiv w:val="1"/>
      <w:marLeft w:val="0"/>
      <w:marRight w:val="0"/>
      <w:marTop w:val="0"/>
      <w:marBottom w:val="0"/>
      <w:divBdr>
        <w:top w:val="none" w:sz="0" w:space="0" w:color="auto"/>
        <w:left w:val="none" w:sz="0" w:space="0" w:color="auto"/>
        <w:bottom w:val="none" w:sz="0" w:space="0" w:color="auto"/>
        <w:right w:val="none" w:sz="0" w:space="0" w:color="auto"/>
      </w:divBdr>
      <w:divsChild>
        <w:div w:id="1254195152">
          <w:marLeft w:val="0"/>
          <w:marRight w:val="0"/>
          <w:marTop w:val="0"/>
          <w:marBottom w:val="0"/>
          <w:divBdr>
            <w:top w:val="none" w:sz="0" w:space="0" w:color="auto"/>
            <w:left w:val="none" w:sz="0" w:space="0" w:color="auto"/>
            <w:bottom w:val="none" w:sz="0" w:space="0" w:color="auto"/>
            <w:right w:val="none" w:sz="0" w:space="0" w:color="auto"/>
          </w:divBdr>
          <w:divsChild>
            <w:div w:id="1657758599">
              <w:marLeft w:val="0"/>
              <w:marRight w:val="0"/>
              <w:marTop w:val="0"/>
              <w:marBottom w:val="0"/>
              <w:divBdr>
                <w:top w:val="none" w:sz="0" w:space="0" w:color="auto"/>
                <w:left w:val="none" w:sz="0" w:space="0" w:color="auto"/>
                <w:bottom w:val="none" w:sz="0" w:space="0" w:color="auto"/>
                <w:right w:val="none" w:sz="0" w:space="0" w:color="auto"/>
              </w:divBdr>
              <w:divsChild>
                <w:div w:id="801309141">
                  <w:marLeft w:val="0"/>
                  <w:marRight w:val="0"/>
                  <w:marTop w:val="0"/>
                  <w:marBottom w:val="0"/>
                  <w:divBdr>
                    <w:top w:val="none" w:sz="0" w:space="0" w:color="auto"/>
                    <w:left w:val="none" w:sz="0" w:space="0" w:color="auto"/>
                    <w:bottom w:val="none" w:sz="0" w:space="0" w:color="auto"/>
                    <w:right w:val="none" w:sz="0" w:space="0" w:color="auto"/>
                  </w:divBdr>
                  <w:divsChild>
                    <w:div w:id="418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3842">
      <w:bodyDiv w:val="1"/>
      <w:marLeft w:val="0"/>
      <w:marRight w:val="0"/>
      <w:marTop w:val="0"/>
      <w:marBottom w:val="0"/>
      <w:divBdr>
        <w:top w:val="none" w:sz="0" w:space="0" w:color="auto"/>
        <w:left w:val="none" w:sz="0" w:space="0" w:color="auto"/>
        <w:bottom w:val="none" w:sz="0" w:space="0" w:color="auto"/>
        <w:right w:val="none" w:sz="0" w:space="0" w:color="auto"/>
      </w:divBdr>
      <w:divsChild>
        <w:div w:id="1118720413">
          <w:marLeft w:val="0"/>
          <w:marRight w:val="0"/>
          <w:marTop w:val="0"/>
          <w:marBottom w:val="0"/>
          <w:divBdr>
            <w:top w:val="none" w:sz="0" w:space="0" w:color="auto"/>
            <w:left w:val="none" w:sz="0" w:space="0" w:color="auto"/>
            <w:bottom w:val="none" w:sz="0" w:space="0" w:color="auto"/>
            <w:right w:val="none" w:sz="0" w:space="0" w:color="auto"/>
          </w:divBdr>
          <w:divsChild>
            <w:div w:id="2005358593">
              <w:marLeft w:val="0"/>
              <w:marRight w:val="0"/>
              <w:marTop w:val="0"/>
              <w:marBottom w:val="0"/>
              <w:divBdr>
                <w:top w:val="none" w:sz="0" w:space="0" w:color="auto"/>
                <w:left w:val="none" w:sz="0" w:space="0" w:color="auto"/>
                <w:bottom w:val="none" w:sz="0" w:space="0" w:color="auto"/>
                <w:right w:val="none" w:sz="0" w:space="0" w:color="auto"/>
              </w:divBdr>
              <w:divsChild>
                <w:div w:id="1454137040">
                  <w:marLeft w:val="0"/>
                  <w:marRight w:val="0"/>
                  <w:marTop w:val="0"/>
                  <w:marBottom w:val="0"/>
                  <w:divBdr>
                    <w:top w:val="none" w:sz="0" w:space="0" w:color="auto"/>
                    <w:left w:val="none" w:sz="0" w:space="0" w:color="auto"/>
                    <w:bottom w:val="none" w:sz="0" w:space="0" w:color="auto"/>
                    <w:right w:val="none" w:sz="0" w:space="0" w:color="auto"/>
                  </w:divBdr>
                  <w:divsChild>
                    <w:div w:id="892086217">
                      <w:marLeft w:val="0"/>
                      <w:marRight w:val="0"/>
                      <w:marTop w:val="0"/>
                      <w:marBottom w:val="0"/>
                      <w:divBdr>
                        <w:top w:val="none" w:sz="0" w:space="0" w:color="auto"/>
                        <w:left w:val="none" w:sz="0" w:space="0" w:color="auto"/>
                        <w:bottom w:val="none" w:sz="0" w:space="0" w:color="auto"/>
                        <w:right w:val="none" w:sz="0" w:space="0" w:color="auto"/>
                      </w:divBdr>
                      <w:divsChild>
                        <w:div w:id="1951011105">
                          <w:marLeft w:val="0"/>
                          <w:marRight w:val="0"/>
                          <w:marTop w:val="0"/>
                          <w:marBottom w:val="0"/>
                          <w:divBdr>
                            <w:top w:val="none" w:sz="0" w:space="0" w:color="auto"/>
                            <w:left w:val="none" w:sz="0" w:space="0" w:color="auto"/>
                            <w:bottom w:val="none" w:sz="0" w:space="0" w:color="auto"/>
                            <w:right w:val="none" w:sz="0" w:space="0" w:color="auto"/>
                          </w:divBdr>
                          <w:divsChild>
                            <w:div w:id="1463646566">
                              <w:marLeft w:val="0"/>
                              <w:marRight w:val="0"/>
                              <w:marTop w:val="0"/>
                              <w:marBottom w:val="0"/>
                              <w:divBdr>
                                <w:top w:val="none" w:sz="0" w:space="0" w:color="auto"/>
                                <w:left w:val="none" w:sz="0" w:space="0" w:color="auto"/>
                                <w:bottom w:val="none" w:sz="0" w:space="0" w:color="auto"/>
                                <w:right w:val="none" w:sz="0" w:space="0" w:color="auto"/>
                              </w:divBdr>
                              <w:divsChild>
                                <w:div w:id="1169757521">
                                  <w:marLeft w:val="0"/>
                                  <w:marRight w:val="0"/>
                                  <w:marTop w:val="0"/>
                                  <w:marBottom w:val="0"/>
                                  <w:divBdr>
                                    <w:top w:val="none" w:sz="0" w:space="0" w:color="auto"/>
                                    <w:left w:val="none" w:sz="0" w:space="0" w:color="auto"/>
                                    <w:bottom w:val="none" w:sz="0" w:space="0" w:color="auto"/>
                                    <w:right w:val="none" w:sz="0" w:space="0" w:color="auto"/>
                                  </w:divBdr>
                                  <w:divsChild>
                                    <w:div w:id="673846695">
                                      <w:marLeft w:val="0"/>
                                      <w:marRight w:val="0"/>
                                      <w:marTop w:val="0"/>
                                      <w:marBottom w:val="0"/>
                                      <w:divBdr>
                                        <w:top w:val="none" w:sz="0" w:space="0" w:color="auto"/>
                                        <w:left w:val="none" w:sz="0" w:space="0" w:color="auto"/>
                                        <w:bottom w:val="none" w:sz="0" w:space="0" w:color="auto"/>
                                        <w:right w:val="none" w:sz="0" w:space="0" w:color="auto"/>
                                      </w:divBdr>
                                      <w:divsChild>
                                        <w:div w:id="285240172">
                                          <w:marLeft w:val="0"/>
                                          <w:marRight w:val="0"/>
                                          <w:marTop w:val="0"/>
                                          <w:marBottom w:val="0"/>
                                          <w:divBdr>
                                            <w:top w:val="none" w:sz="0" w:space="0" w:color="auto"/>
                                            <w:left w:val="none" w:sz="0" w:space="0" w:color="auto"/>
                                            <w:bottom w:val="none" w:sz="0" w:space="0" w:color="auto"/>
                                            <w:right w:val="none" w:sz="0" w:space="0" w:color="auto"/>
                                          </w:divBdr>
                                          <w:divsChild>
                                            <w:div w:id="364867218">
                                              <w:marLeft w:val="0"/>
                                              <w:marRight w:val="0"/>
                                              <w:marTop w:val="0"/>
                                              <w:marBottom w:val="0"/>
                                              <w:divBdr>
                                                <w:top w:val="none" w:sz="0" w:space="0" w:color="auto"/>
                                                <w:left w:val="none" w:sz="0" w:space="0" w:color="auto"/>
                                                <w:bottom w:val="none" w:sz="0" w:space="0" w:color="auto"/>
                                                <w:right w:val="none" w:sz="0" w:space="0" w:color="auto"/>
                                              </w:divBdr>
                                              <w:divsChild>
                                                <w:div w:id="1081104110">
                                                  <w:marLeft w:val="0"/>
                                                  <w:marRight w:val="0"/>
                                                  <w:marTop w:val="225"/>
                                                  <w:marBottom w:val="300"/>
                                                  <w:divBdr>
                                                    <w:top w:val="none" w:sz="0" w:space="0" w:color="auto"/>
                                                    <w:left w:val="none" w:sz="0" w:space="0" w:color="auto"/>
                                                    <w:bottom w:val="none" w:sz="0" w:space="0" w:color="auto"/>
                                                    <w:right w:val="none" w:sz="0" w:space="0" w:color="auto"/>
                                                  </w:divBdr>
                                                  <w:divsChild>
                                                    <w:div w:id="394280799">
                                                      <w:marLeft w:val="0"/>
                                                      <w:marRight w:val="0"/>
                                                      <w:marTop w:val="0"/>
                                                      <w:marBottom w:val="30"/>
                                                      <w:divBdr>
                                                        <w:top w:val="single" w:sz="6" w:space="0" w:color="E5E5E5"/>
                                                        <w:left w:val="single" w:sz="6" w:space="0" w:color="E5E5E5"/>
                                                        <w:bottom w:val="single" w:sz="6" w:space="0" w:color="E5E5E5"/>
                                                        <w:right w:val="single" w:sz="6" w:space="0" w:color="E5E5E5"/>
                                                      </w:divBdr>
                                                      <w:divsChild>
                                                        <w:div w:id="493110811">
                                                          <w:marLeft w:val="0"/>
                                                          <w:marRight w:val="0"/>
                                                          <w:marTop w:val="0"/>
                                                          <w:marBottom w:val="0"/>
                                                          <w:divBdr>
                                                            <w:top w:val="none" w:sz="0" w:space="0" w:color="auto"/>
                                                            <w:left w:val="none" w:sz="0" w:space="0" w:color="auto"/>
                                                            <w:bottom w:val="none" w:sz="0" w:space="0" w:color="auto"/>
                                                            <w:right w:val="none" w:sz="0" w:space="0" w:color="auto"/>
                                                          </w:divBdr>
                                                        </w:div>
                                                        <w:div w:id="1170801004">
                                                          <w:marLeft w:val="0"/>
                                                          <w:marRight w:val="0"/>
                                                          <w:marTop w:val="0"/>
                                                          <w:marBottom w:val="0"/>
                                                          <w:divBdr>
                                                            <w:top w:val="none" w:sz="0" w:space="0" w:color="auto"/>
                                                            <w:left w:val="none" w:sz="0" w:space="0" w:color="auto"/>
                                                            <w:bottom w:val="none" w:sz="0" w:space="0" w:color="auto"/>
                                                            <w:right w:val="none" w:sz="0" w:space="0" w:color="auto"/>
                                                          </w:divBdr>
                                                          <w:divsChild>
                                                            <w:div w:id="172125029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6855">
      <w:bodyDiv w:val="1"/>
      <w:marLeft w:val="0"/>
      <w:marRight w:val="0"/>
      <w:marTop w:val="0"/>
      <w:marBottom w:val="0"/>
      <w:divBdr>
        <w:top w:val="none" w:sz="0" w:space="0" w:color="auto"/>
        <w:left w:val="none" w:sz="0" w:space="0" w:color="auto"/>
        <w:bottom w:val="none" w:sz="0" w:space="0" w:color="auto"/>
        <w:right w:val="none" w:sz="0" w:space="0" w:color="auto"/>
      </w:divBdr>
      <w:divsChild>
        <w:div w:id="662515068">
          <w:marLeft w:val="0"/>
          <w:marRight w:val="0"/>
          <w:marTop w:val="0"/>
          <w:marBottom w:val="0"/>
          <w:divBdr>
            <w:top w:val="none" w:sz="0" w:space="0" w:color="auto"/>
            <w:left w:val="none" w:sz="0" w:space="0" w:color="auto"/>
            <w:bottom w:val="none" w:sz="0" w:space="0" w:color="auto"/>
            <w:right w:val="none" w:sz="0" w:space="0" w:color="auto"/>
          </w:divBdr>
          <w:divsChild>
            <w:div w:id="1154298631">
              <w:marLeft w:val="0"/>
              <w:marRight w:val="0"/>
              <w:marTop w:val="0"/>
              <w:marBottom w:val="0"/>
              <w:divBdr>
                <w:top w:val="none" w:sz="0" w:space="0" w:color="auto"/>
                <w:left w:val="none" w:sz="0" w:space="0" w:color="auto"/>
                <w:bottom w:val="none" w:sz="0" w:space="0" w:color="auto"/>
                <w:right w:val="none" w:sz="0" w:space="0" w:color="auto"/>
              </w:divBdr>
              <w:divsChild>
                <w:div w:id="2088842809">
                  <w:marLeft w:val="0"/>
                  <w:marRight w:val="0"/>
                  <w:marTop w:val="0"/>
                  <w:marBottom w:val="0"/>
                  <w:divBdr>
                    <w:top w:val="none" w:sz="0" w:space="0" w:color="auto"/>
                    <w:left w:val="none" w:sz="0" w:space="0" w:color="auto"/>
                    <w:bottom w:val="none" w:sz="0" w:space="0" w:color="auto"/>
                    <w:right w:val="none" w:sz="0" w:space="0" w:color="auto"/>
                  </w:divBdr>
                  <w:divsChild>
                    <w:div w:id="1761675748">
                      <w:marLeft w:val="0"/>
                      <w:marRight w:val="0"/>
                      <w:marTop w:val="0"/>
                      <w:marBottom w:val="0"/>
                      <w:divBdr>
                        <w:top w:val="none" w:sz="0" w:space="0" w:color="auto"/>
                        <w:left w:val="none" w:sz="0" w:space="0" w:color="auto"/>
                        <w:bottom w:val="none" w:sz="0" w:space="0" w:color="auto"/>
                        <w:right w:val="none" w:sz="0" w:space="0" w:color="auto"/>
                      </w:divBdr>
                      <w:divsChild>
                        <w:div w:id="685908890">
                          <w:marLeft w:val="0"/>
                          <w:marRight w:val="0"/>
                          <w:marTop w:val="0"/>
                          <w:marBottom w:val="0"/>
                          <w:divBdr>
                            <w:top w:val="none" w:sz="0" w:space="0" w:color="auto"/>
                            <w:left w:val="none" w:sz="0" w:space="0" w:color="auto"/>
                            <w:bottom w:val="none" w:sz="0" w:space="0" w:color="auto"/>
                            <w:right w:val="none" w:sz="0" w:space="0" w:color="auto"/>
                          </w:divBdr>
                          <w:divsChild>
                            <w:div w:id="944653348">
                              <w:marLeft w:val="0"/>
                              <w:marRight w:val="0"/>
                              <w:marTop w:val="0"/>
                              <w:marBottom w:val="0"/>
                              <w:divBdr>
                                <w:top w:val="none" w:sz="0" w:space="0" w:color="auto"/>
                                <w:left w:val="none" w:sz="0" w:space="0" w:color="auto"/>
                                <w:bottom w:val="none" w:sz="0" w:space="0" w:color="auto"/>
                                <w:right w:val="none" w:sz="0" w:space="0" w:color="auto"/>
                              </w:divBdr>
                              <w:divsChild>
                                <w:div w:id="1068384459">
                                  <w:marLeft w:val="0"/>
                                  <w:marRight w:val="0"/>
                                  <w:marTop w:val="0"/>
                                  <w:marBottom w:val="0"/>
                                  <w:divBdr>
                                    <w:top w:val="none" w:sz="0" w:space="0" w:color="auto"/>
                                    <w:left w:val="none" w:sz="0" w:space="0" w:color="auto"/>
                                    <w:bottom w:val="none" w:sz="0" w:space="0" w:color="auto"/>
                                    <w:right w:val="none" w:sz="0" w:space="0" w:color="auto"/>
                                  </w:divBdr>
                                  <w:divsChild>
                                    <w:div w:id="439767694">
                                      <w:marLeft w:val="0"/>
                                      <w:marRight w:val="0"/>
                                      <w:marTop w:val="0"/>
                                      <w:marBottom w:val="0"/>
                                      <w:divBdr>
                                        <w:top w:val="none" w:sz="0" w:space="0" w:color="auto"/>
                                        <w:left w:val="none" w:sz="0" w:space="0" w:color="auto"/>
                                        <w:bottom w:val="none" w:sz="0" w:space="0" w:color="auto"/>
                                        <w:right w:val="none" w:sz="0" w:space="0" w:color="auto"/>
                                      </w:divBdr>
                                      <w:divsChild>
                                        <w:div w:id="1631740689">
                                          <w:marLeft w:val="0"/>
                                          <w:marRight w:val="0"/>
                                          <w:marTop w:val="0"/>
                                          <w:marBottom w:val="0"/>
                                          <w:divBdr>
                                            <w:top w:val="none" w:sz="0" w:space="0" w:color="auto"/>
                                            <w:left w:val="none" w:sz="0" w:space="0" w:color="auto"/>
                                            <w:bottom w:val="none" w:sz="0" w:space="0" w:color="auto"/>
                                            <w:right w:val="none" w:sz="0" w:space="0" w:color="auto"/>
                                          </w:divBdr>
                                          <w:divsChild>
                                            <w:div w:id="1752237165">
                                              <w:marLeft w:val="0"/>
                                              <w:marRight w:val="0"/>
                                              <w:marTop w:val="0"/>
                                              <w:marBottom w:val="0"/>
                                              <w:divBdr>
                                                <w:top w:val="none" w:sz="0" w:space="0" w:color="auto"/>
                                                <w:left w:val="none" w:sz="0" w:space="0" w:color="auto"/>
                                                <w:bottom w:val="none" w:sz="0" w:space="0" w:color="auto"/>
                                                <w:right w:val="none" w:sz="0" w:space="0" w:color="auto"/>
                                              </w:divBdr>
                                              <w:divsChild>
                                                <w:div w:id="725639628">
                                                  <w:marLeft w:val="0"/>
                                                  <w:marRight w:val="0"/>
                                                  <w:marTop w:val="225"/>
                                                  <w:marBottom w:val="300"/>
                                                  <w:divBdr>
                                                    <w:top w:val="none" w:sz="0" w:space="0" w:color="auto"/>
                                                    <w:left w:val="none" w:sz="0" w:space="0" w:color="auto"/>
                                                    <w:bottom w:val="none" w:sz="0" w:space="0" w:color="auto"/>
                                                    <w:right w:val="none" w:sz="0" w:space="0" w:color="auto"/>
                                                  </w:divBdr>
                                                  <w:divsChild>
                                                    <w:div w:id="93863865">
                                                      <w:marLeft w:val="0"/>
                                                      <w:marRight w:val="0"/>
                                                      <w:marTop w:val="0"/>
                                                      <w:marBottom w:val="30"/>
                                                      <w:divBdr>
                                                        <w:top w:val="single" w:sz="6" w:space="0" w:color="E5E5E5"/>
                                                        <w:left w:val="single" w:sz="6" w:space="0" w:color="E5E5E5"/>
                                                        <w:bottom w:val="single" w:sz="6" w:space="0" w:color="E5E5E5"/>
                                                        <w:right w:val="single" w:sz="6" w:space="0" w:color="E5E5E5"/>
                                                      </w:divBdr>
                                                      <w:divsChild>
                                                        <w:div w:id="1265070739">
                                                          <w:marLeft w:val="0"/>
                                                          <w:marRight w:val="0"/>
                                                          <w:marTop w:val="0"/>
                                                          <w:marBottom w:val="0"/>
                                                          <w:divBdr>
                                                            <w:top w:val="none" w:sz="0" w:space="0" w:color="auto"/>
                                                            <w:left w:val="none" w:sz="0" w:space="0" w:color="auto"/>
                                                            <w:bottom w:val="none" w:sz="0" w:space="0" w:color="auto"/>
                                                            <w:right w:val="none" w:sz="0" w:space="0" w:color="auto"/>
                                                          </w:divBdr>
                                                        </w:div>
                                                        <w:div w:id="1612475383">
                                                          <w:marLeft w:val="0"/>
                                                          <w:marRight w:val="0"/>
                                                          <w:marTop w:val="0"/>
                                                          <w:marBottom w:val="0"/>
                                                          <w:divBdr>
                                                            <w:top w:val="none" w:sz="0" w:space="0" w:color="auto"/>
                                                            <w:left w:val="none" w:sz="0" w:space="0" w:color="auto"/>
                                                            <w:bottom w:val="none" w:sz="0" w:space="0" w:color="auto"/>
                                                            <w:right w:val="none" w:sz="0" w:space="0" w:color="auto"/>
                                                          </w:divBdr>
                                                          <w:divsChild>
                                                            <w:div w:id="26924027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29740">
      <w:bodyDiv w:val="1"/>
      <w:marLeft w:val="0"/>
      <w:marRight w:val="0"/>
      <w:marTop w:val="0"/>
      <w:marBottom w:val="0"/>
      <w:divBdr>
        <w:top w:val="none" w:sz="0" w:space="0" w:color="auto"/>
        <w:left w:val="none" w:sz="0" w:space="0" w:color="auto"/>
        <w:bottom w:val="none" w:sz="0" w:space="0" w:color="auto"/>
        <w:right w:val="none" w:sz="0" w:space="0" w:color="auto"/>
      </w:divBdr>
      <w:divsChild>
        <w:div w:id="2114207979">
          <w:marLeft w:val="0"/>
          <w:marRight w:val="0"/>
          <w:marTop w:val="0"/>
          <w:marBottom w:val="0"/>
          <w:divBdr>
            <w:top w:val="none" w:sz="0" w:space="0" w:color="auto"/>
            <w:left w:val="none" w:sz="0" w:space="0" w:color="auto"/>
            <w:bottom w:val="none" w:sz="0" w:space="0" w:color="auto"/>
            <w:right w:val="none" w:sz="0" w:space="0" w:color="auto"/>
          </w:divBdr>
          <w:divsChild>
            <w:div w:id="1906648106">
              <w:marLeft w:val="0"/>
              <w:marRight w:val="0"/>
              <w:marTop w:val="0"/>
              <w:marBottom w:val="0"/>
              <w:divBdr>
                <w:top w:val="none" w:sz="0" w:space="0" w:color="auto"/>
                <w:left w:val="none" w:sz="0" w:space="0" w:color="auto"/>
                <w:bottom w:val="none" w:sz="0" w:space="0" w:color="auto"/>
                <w:right w:val="none" w:sz="0" w:space="0" w:color="auto"/>
              </w:divBdr>
              <w:divsChild>
                <w:div w:id="406418450">
                  <w:marLeft w:val="0"/>
                  <w:marRight w:val="0"/>
                  <w:marTop w:val="0"/>
                  <w:marBottom w:val="0"/>
                  <w:divBdr>
                    <w:top w:val="none" w:sz="0" w:space="0" w:color="auto"/>
                    <w:left w:val="none" w:sz="0" w:space="0" w:color="auto"/>
                    <w:bottom w:val="none" w:sz="0" w:space="0" w:color="auto"/>
                    <w:right w:val="none" w:sz="0" w:space="0" w:color="auto"/>
                  </w:divBdr>
                  <w:divsChild>
                    <w:div w:id="388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4152">
      <w:bodyDiv w:val="1"/>
      <w:marLeft w:val="0"/>
      <w:marRight w:val="0"/>
      <w:marTop w:val="0"/>
      <w:marBottom w:val="0"/>
      <w:divBdr>
        <w:top w:val="none" w:sz="0" w:space="0" w:color="auto"/>
        <w:left w:val="none" w:sz="0" w:space="0" w:color="auto"/>
        <w:bottom w:val="none" w:sz="0" w:space="0" w:color="auto"/>
        <w:right w:val="none" w:sz="0" w:space="0" w:color="auto"/>
      </w:divBdr>
      <w:divsChild>
        <w:div w:id="1482456333">
          <w:marLeft w:val="0"/>
          <w:marRight w:val="0"/>
          <w:marTop w:val="0"/>
          <w:marBottom w:val="0"/>
          <w:divBdr>
            <w:top w:val="none" w:sz="0" w:space="0" w:color="auto"/>
            <w:left w:val="none" w:sz="0" w:space="0" w:color="auto"/>
            <w:bottom w:val="none" w:sz="0" w:space="0" w:color="auto"/>
            <w:right w:val="none" w:sz="0" w:space="0" w:color="auto"/>
          </w:divBdr>
          <w:divsChild>
            <w:div w:id="1251767400">
              <w:marLeft w:val="0"/>
              <w:marRight w:val="0"/>
              <w:marTop w:val="0"/>
              <w:marBottom w:val="0"/>
              <w:divBdr>
                <w:top w:val="none" w:sz="0" w:space="0" w:color="auto"/>
                <w:left w:val="none" w:sz="0" w:space="0" w:color="auto"/>
                <w:bottom w:val="none" w:sz="0" w:space="0" w:color="auto"/>
                <w:right w:val="none" w:sz="0" w:space="0" w:color="auto"/>
              </w:divBdr>
              <w:divsChild>
                <w:div w:id="1085951520">
                  <w:marLeft w:val="0"/>
                  <w:marRight w:val="0"/>
                  <w:marTop w:val="0"/>
                  <w:marBottom w:val="0"/>
                  <w:divBdr>
                    <w:top w:val="none" w:sz="0" w:space="0" w:color="auto"/>
                    <w:left w:val="none" w:sz="0" w:space="0" w:color="auto"/>
                    <w:bottom w:val="none" w:sz="0" w:space="0" w:color="auto"/>
                    <w:right w:val="none" w:sz="0" w:space="0" w:color="auto"/>
                  </w:divBdr>
                  <w:divsChild>
                    <w:div w:id="230192058">
                      <w:marLeft w:val="0"/>
                      <w:marRight w:val="0"/>
                      <w:marTop w:val="0"/>
                      <w:marBottom w:val="0"/>
                      <w:divBdr>
                        <w:top w:val="none" w:sz="0" w:space="0" w:color="auto"/>
                        <w:left w:val="none" w:sz="0" w:space="0" w:color="auto"/>
                        <w:bottom w:val="none" w:sz="0" w:space="0" w:color="auto"/>
                        <w:right w:val="none" w:sz="0" w:space="0" w:color="auto"/>
                      </w:divBdr>
                      <w:divsChild>
                        <w:div w:id="638344332">
                          <w:marLeft w:val="0"/>
                          <w:marRight w:val="0"/>
                          <w:marTop w:val="0"/>
                          <w:marBottom w:val="0"/>
                          <w:divBdr>
                            <w:top w:val="none" w:sz="0" w:space="0" w:color="auto"/>
                            <w:left w:val="none" w:sz="0" w:space="0" w:color="auto"/>
                            <w:bottom w:val="none" w:sz="0" w:space="0" w:color="auto"/>
                            <w:right w:val="none" w:sz="0" w:space="0" w:color="auto"/>
                          </w:divBdr>
                          <w:divsChild>
                            <w:div w:id="1204634713">
                              <w:marLeft w:val="0"/>
                              <w:marRight w:val="0"/>
                              <w:marTop w:val="0"/>
                              <w:marBottom w:val="0"/>
                              <w:divBdr>
                                <w:top w:val="none" w:sz="0" w:space="0" w:color="auto"/>
                                <w:left w:val="none" w:sz="0" w:space="0" w:color="auto"/>
                                <w:bottom w:val="none" w:sz="0" w:space="0" w:color="auto"/>
                                <w:right w:val="none" w:sz="0" w:space="0" w:color="auto"/>
                              </w:divBdr>
                              <w:divsChild>
                                <w:div w:id="1605378639">
                                  <w:marLeft w:val="0"/>
                                  <w:marRight w:val="0"/>
                                  <w:marTop w:val="0"/>
                                  <w:marBottom w:val="0"/>
                                  <w:divBdr>
                                    <w:top w:val="none" w:sz="0" w:space="0" w:color="auto"/>
                                    <w:left w:val="none" w:sz="0" w:space="0" w:color="auto"/>
                                    <w:bottom w:val="none" w:sz="0" w:space="0" w:color="auto"/>
                                    <w:right w:val="none" w:sz="0" w:space="0" w:color="auto"/>
                                  </w:divBdr>
                                  <w:divsChild>
                                    <w:div w:id="2095739167">
                                      <w:marLeft w:val="0"/>
                                      <w:marRight w:val="0"/>
                                      <w:marTop w:val="0"/>
                                      <w:marBottom w:val="0"/>
                                      <w:divBdr>
                                        <w:top w:val="none" w:sz="0" w:space="0" w:color="auto"/>
                                        <w:left w:val="none" w:sz="0" w:space="0" w:color="auto"/>
                                        <w:bottom w:val="none" w:sz="0" w:space="0" w:color="auto"/>
                                        <w:right w:val="none" w:sz="0" w:space="0" w:color="auto"/>
                                      </w:divBdr>
                                      <w:divsChild>
                                        <w:div w:id="591622102">
                                          <w:marLeft w:val="0"/>
                                          <w:marRight w:val="0"/>
                                          <w:marTop w:val="0"/>
                                          <w:marBottom w:val="0"/>
                                          <w:divBdr>
                                            <w:top w:val="none" w:sz="0" w:space="0" w:color="auto"/>
                                            <w:left w:val="none" w:sz="0" w:space="0" w:color="auto"/>
                                            <w:bottom w:val="none" w:sz="0" w:space="0" w:color="auto"/>
                                            <w:right w:val="none" w:sz="0" w:space="0" w:color="auto"/>
                                          </w:divBdr>
                                          <w:divsChild>
                                            <w:div w:id="1556047443">
                                              <w:marLeft w:val="0"/>
                                              <w:marRight w:val="0"/>
                                              <w:marTop w:val="0"/>
                                              <w:marBottom w:val="0"/>
                                              <w:divBdr>
                                                <w:top w:val="none" w:sz="0" w:space="0" w:color="auto"/>
                                                <w:left w:val="none" w:sz="0" w:space="0" w:color="auto"/>
                                                <w:bottom w:val="none" w:sz="0" w:space="0" w:color="auto"/>
                                                <w:right w:val="none" w:sz="0" w:space="0" w:color="auto"/>
                                              </w:divBdr>
                                              <w:divsChild>
                                                <w:div w:id="904535678">
                                                  <w:marLeft w:val="0"/>
                                                  <w:marRight w:val="0"/>
                                                  <w:marTop w:val="225"/>
                                                  <w:marBottom w:val="300"/>
                                                  <w:divBdr>
                                                    <w:top w:val="none" w:sz="0" w:space="0" w:color="auto"/>
                                                    <w:left w:val="none" w:sz="0" w:space="0" w:color="auto"/>
                                                    <w:bottom w:val="none" w:sz="0" w:space="0" w:color="auto"/>
                                                    <w:right w:val="none" w:sz="0" w:space="0" w:color="auto"/>
                                                  </w:divBdr>
                                                  <w:divsChild>
                                                    <w:div w:id="1726760269">
                                                      <w:marLeft w:val="0"/>
                                                      <w:marRight w:val="0"/>
                                                      <w:marTop w:val="0"/>
                                                      <w:marBottom w:val="30"/>
                                                      <w:divBdr>
                                                        <w:top w:val="single" w:sz="6" w:space="0" w:color="E5E5E5"/>
                                                        <w:left w:val="single" w:sz="6" w:space="0" w:color="E5E5E5"/>
                                                        <w:bottom w:val="single" w:sz="6" w:space="0" w:color="E5E5E5"/>
                                                        <w:right w:val="single" w:sz="6" w:space="0" w:color="E5E5E5"/>
                                                      </w:divBdr>
                                                      <w:divsChild>
                                                        <w:div w:id="67113229">
                                                          <w:marLeft w:val="0"/>
                                                          <w:marRight w:val="0"/>
                                                          <w:marTop w:val="0"/>
                                                          <w:marBottom w:val="0"/>
                                                          <w:divBdr>
                                                            <w:top w:val="none" w:sz="0" w:space="0" w:color="auto"/>
                                                            <w:left w:val="none" w:sz="0" w:space="0" w:color="auto"/>
                                                            <w:bottom w:val="none" w:sz="0" w:space="0" w:color="auto"/>
                                                            <w:right w:val="none" w:sz="0" w:space="0" w:color="auto"/>
                                                          </w:divBdr>
                                                        </w:div>
                                                        <w:div w:id="2025355428">
                                                          <w:marLeft w:val="0"/>
                                                          <w:marRight w:val="0"/>
                                                          <w:marTop w:val="0"/>
                                                          <w:marBottom w:val="0"/>
                                                          <w:divBdr>
                                                            <w:top w:val="none" w:sz="0" w:space="0" w:color="auto"/>
                                                            <w:left w:val="none" w:sz="0" w:space="0" w:color="auto"/>
                                                            <w:bottom w:val="none" w:sz="0" w:space="0" w:color="auto"/>
                                                            <w:right w:val="none" w:sz="0" w:space="0" w:color="auto"/>
                                                          </w:divBdr>
                                                          <w:divsChild>
                                                            <w:div w:id="8331057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6462631">
          <w:marLeft w:val="0"/>
          <w:marRight w:val="0"/>
          <w:marTop w:val="0"/>
          <w:marBottom w:val="0"/>
          <w:divBdr>
            <w:top w:val="none" w:sz="0" w:space="0" w:color="auto"/>
            <w:left w:val="none" w:sz="0" w:space="0" w:color="auto"/>
            <w:bottom w:val="none" w:sz="0" w:space="0" w:color="auto"/>
            <w:right w:val="none" w:sz="0" w:space="0" w:color="auto"/>
          </w:divBdr>
          <w:divsChild>
            <w:div w:id="1094977813">
              <w:marLeft w:val="0"/>
              <w:marRight w:val="0"/>
              <w:marTop w:val="0"/>
              <w:marBottom w:val="0"/>
              <w:divBdr>
                <w:top w:val="none" w:sz="0" w:space="0" w:color="auto"/>
                <w:left w:val="none" w:sz="0" w:space="0" w:color="auto"/>
                <w:bottom w:val="none" w:sz="0" w:space="0" w:color="auto"/>
                <w:right w:val="none" w:sz="0" w:space="0" w:color="auto"/>
              </w:divBdr>
              <w:divsChild>
                <w:div w:id="851651622">
                  <w:marLeft w:val="0"/>
                  <w:marRight w:val="0"/>
                  <w:marTop w:val="0"/>
                  <w:marBottom w:val="0"/>
                  <w:divBdr>
                    <w:top w:val="none" w:sz="0" w:space="0" w:color="auto"/>
                    <w:left w:val="none" w:sz="0" w:space="0" w:color="auto"/>
                    <w:bottom w:val="none" w:sz="0" w:space="0" w:color="auto"/>
                    <w:right w:val="none" w:sz="0" w:space="0" w:color="auto"/>
                  </w:divBdr>
                  <w:divsChild>
                    <w:div w:id="21297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897">
      <w:bodyDiv w:val="1"/>
      <w:marLeft w:val="0"/>
      <w:marRight w:val="0"/>
      <w:marTop w:val="0"/>
      <w:marBottom w:val="0"/>
      <w:divBdr>
        <w:top w:val="none" w:sz="0" w:space="0" w:color="auto"/>
        <w:left w:val="none" w:sz="0" w:space="0" w:color="auto"/>
        <w:bottom w:val="none" w:sz="0" w:space="0" w:color="auto"/>
        <w:right w:val="none" w:sz="0" w:space="0" w:color="auto"/>
      </w:divBdr>
      <w:divsChild>
        <w:div w:id="2039693463">
          <w:marLeft w:val="0"/>
          <w:marRight w:val="0"/>
          <w:marTop w:val="0"/>
          <w:marBottom w:val="0"/>
          <w:divBdr>
            <w:top w:val="none" w:sz="0" w:space="0" w:color="auto"/>
            <w:left w:val="none" w:sz="0" w:space="0" w:color="auto"/>
            <w:bottom w:val="none" w:sz="0" w:space="0" w:color="auto"/>
            <w:right w:val="none" w:sz="0" w:space="0" w:color="auto"/>
          </w:divBdr>
          <w:divsChild>
            <w:div w:id="210267924">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sChild>
                    <w:div w:id="1907915905">
                      <w:marLeft w:val="0"/>
                      <w:marRight w:val="0"/>
                      <w:marTop w:val="0"/>
                      <w:marBottom w:val="0"/>
                      <w:divBdr>
                        <w:top w:val="none" w:sz="0" w:space="0" w:color="auto"/>
                        <w:left w:val="none" w:sz="0" w:space="0" w:color="auto"/>
                        <w:bottom w:val="none" w:sz="0" w:space="0" w:color="auto"/>
                        <w:right w:val="none" w:sz="0" w:space="0" w:color="auto"/>
                      </w:divBdr>
                      <w:divsChild>
                        <w:div w:id="703561530">
                          <w:marLeft w:val="0"/>
                          <w:marRight w:val="0"/>
                          <w:marTop w:val="0"/>
                          <w:marBottom w:val="0"/>
                          <w:divBdr>
                            <w:top w:val="none" w:sz="0" w:space="0" w:color="auto"/>
                            <w:left w:val="none" w:sz="0" w:space="0" w:color="auto"/>
                            <w:bottom w:val="none" w:sz="0" w:space="0" w:color="auto"/>
                            <w:right w:val="none" w:sz="0" w:space="0" w:color="auto"/>
                          </w:divBdr>
                          <w:divsChild>
                            <w:div w:id="1714039682">
                              <w:marLeft w:val="0"/>
                              <w:marRight w:val="0"/>
                              <w:marTop w:val="0"/>
                              <w:marBottom w:val="0"/>
                              <w:divBdr>
                                <w:top w:val="none" w:sz="0" w:space="0" w:color="auto"/>
                                <w:left w:val="none" w:sz="0" w:space="0" w:color="auto"/>
                                <w:bottom w:val="none" w:sz="0" w:space="0" w:color="auto"/>
                                <w:right w:val="none" w:sz="0" w:space="0" w:color="auto"/>
                              </w:divBdr>
                              <w:divsChild>
                                <w:div w:id="81221754">
                                  <w:marLeft w:val="0"/>
                                  <w:marRight w:val="0"/>
                                  <w:marTop w:val="0"/>
                                  <w:marBottom w:val="0"/>
                                  <w:divBdr>
                                    <w:top w:val="none" w:sz="0" w:space="0" w:color="auto"/>
                                    <w:left w:val="none" w:sz="0" w:space="0" w:color="auto"/>
                                    <w:bottom w:val="none" w:sz="0" w:space="0" w:color="auto"/>
                                    <w:right w:val="none" w:sz="0" w:space="0" w:color="auto"/>
                                  </w:divBdr>
                                  <w:divsChild>
                                    <w:div w:id="1912155433">
                                      <w:marLeft w:val="0"/>
                                      <w:marRight w:val="0"/>
                                      <w:marTop w:val="0"/>
                                      <w:marBottom w:val="0"/>
                                      <w:divBdr>
                                        <w:top w:val="none" w:sz="0" w:space="0" w:color="auto"/>
                                        <w:left w:val="none" w:sz="0" w:space="0" w:color="auto"/>
                                        <w:bottom w:val="none" w:sz="0" w:space="0" w:color="auto"/>
                                        <w:right w:val="none" w:sz="0" w:space="0" w:color="auto"/>
                                      </w:divBdr>
                                      <w:divsChild>
                                        <w:div w:id="2113478491">
                                          <w:marLeft w:val="0"/>
                                          <w:marRight w:val="0"/>
                                          <w:marTop w:val="0"/>
                                          <w:marBottom w:val="0"/>
                                          <w:divBdr>
                                            <w:top w:val="none" w:sz="0" w:space="0" w:color="auto"/>
                                            <w:left w:val="none" w:sz="0" w:space="0" w:color="auto"/>
                                            <w:bottom w:val="none" w:sz="0" w:space="0" w:color="auto"/>
                                            <w:right w:val="none" w:sz="0" w:space="0" w:color="auto"/>
                                          </w:divBdr>
                                          <w:divsChild>
                                            <w:div w:id="1229926618">
                                              <w:marLeft w:val="0"/>
                                              <w:marRight w:val="0"/>
                                              <w:marTop w:val="0"/>
                                              <w:marBottom w:val="0"/>
                                              <w:divBdr>
                                                <w:top w:val="none" w:sz="0" w:space="0" w:color="auto"/>
                                                <w:left w:val="none" w:sz="0" w:space="0" w:color="auto"/>
                                                <w:bottom w:val="none" w:sz="0" w:space="0" w:color="auto"/>
                                                <w:right w:val="none" w:sz="0" w:space="0" w:color="auto"/>
                                              </w:divBdr>
                                              <w:divsChild>
                                                <w:div w:id="433941344">
                                                  <w:marLeft w:val="0"/>
                                                  <w:marRight w:val="0"/>
                                                  <w:marTop w:val="0"/>
                                                  <w:marBottom w:val="0"/>
                                                  <w:divBdr>
                                                    <w:top w:val="none" w:sz="0" w:space="0" w:color="auto"/>
                                                    <w:left w:val="none" w:sz="0" w:space="0" w:color="auto"/>
                                                    <w:bottom w:val="none" w:sz="0" w:space="0" w:color="auto"/>
                                                    <w:right w:val="none" w:sz="0" w:space="0" w:color="auto"/>
                                                  </w:divBdr>
                                                </w:div>
                                                <w:div w:id="1760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439581">
      <w:bodyDiv w:val="1"/>
      <w:marLeft w:val="0"/>
      <w:marRight w:val="0"/>
      <w:marTop w:val="0"/>
      <w:marBottom w:val="0"/>
      <w:divBdr>
        <w:top w:val="none" w:sz="0" w:space="0" w:color="auto"/>
        <w:left w:val="none" w:sz="0" w:space="0" w:color="auto"/>
        <w:bottom w:val="none" w:sz="0" w:space="0" w:color="auto"/>
        <w:right w:val="none" w:sz="0" w:space="0" w:color="auto"/>
      </w:divBdr>
      <w:divsChild>
        <w:div w:id="1811248260">
          <w:marLeft w:val="0"/>
          <w:marRight w:val="0"/>
          <w:marTop w:val="0"/>
          <w:marBottom w:val="0"/>
          <w:divBdr>
            <w:top w:val="none" w:sz="0" w:space="0" w:color="auto"/>
            <w:left w:val="none" w:sz="0" w:space="0" w:color="auto"/>
            <w:bottom w:val="none" w:sz="0" w:space="0" w:color="auto"/>
            <w:right w:val="none" w:sz="0" w:space="0" w:color="auto"/>
          </w:divBdr>
          <w:divsChild>
            <w:div w:id="1850288123">
              <w:marLeft w:val="0"/>
              <w:marRight w:val="0"/>
              <w:marTop w:val="0"/>
              <w:marBottom w:val="0"/>
              <w:divBdr>
                <w:top w:val="none" w:sz="0" w:space="0" w:color="auto"/>
                <w:left w:val="none" w:sz="0" w:space="0" w:color="auto"/>
                <w:bottom w:val="none" w:sz="0" w:space="0" w:color="auto"/>
                <w:right w:val="none" w:sz="0" w:space="0" w:color="auto"/>
              </w:divBdr>
              <w:divsChild>
                <w:div w:id="2074966020">
                  <w:marLeft w:val="0"/>
                  <w:marRight w:val="0"/>
                  <w:marTop w:val="0"/>
                  <w:marBottom w:val="0"/>
                  <w:divBdr>
                    <w:top w:val="none" w:sz="0" w:space="0" w:color="auto"/>
                    <w:left w:val="none" w:sz="0" w:space="0" w:color="auto"/>
                    <w:bottom w:val="none" w:sz="0" w:space="0" w:color="auto"/>
                    <w:right w:val="none" w:sz="0" w:space="0" w:color="auto"/>
                  </w:divBdr>
                  <w:divsChild>
                    <w:div w:id="1528716247">
                      <w:marLeft w:val="0"/>
                      <w:marRight w:val="0"/>
                      <w:marTop w:val="0"/>
                      <w:marBottom w:val="0"/>
                      <w:divBdr>
                        <w:top w:val="none" w:sz="0" w:space="0" w:color="auto"/>
                        <w:left w:val="none" w:sz="0" w:space="0" w:color="auto"/>
                        <w:bottom w:val="none" w:sz="0" w:space="0" w:color="auto"/>
                        <w:right w:val="none" w:sz="0" w:space="0" w:color="auto"/>
                      </w:divBdr>
                      <w:divsChild>
                        <w:div w:id="552085005">
                          <w:marLeft w:val="0"/>
                          <w:marRight w:val="0"/>
                          <w:marTop w:val="0"/>
                          <w:marBottom w:val="0"/>
                          <w:divBdr>
                            <w:top w:val="none" w:sz="0" w:space="0" w:color="auto"/>
                            <w:left w:val="none" w:sz="0" w:space="0" w:color="auto"/>
                            <w:bottom w:val="none" w:sz="0" w:space="0" w:color="auto"/>
                            <w:right w:val="none" w:sz="0" w:space="0" w:color="auto"/>
                          </w:divBdr>
                          <w:divsChild>
                            <w:div w:id="1441611718">
                              <w:marLeft w:val="0"/>
                              <w:marRight w:val="0"/>
                              <w:marTop w:val="0"/>
                              <w:marBottom w:val="0"/>
                              <w:divBdr>
                                <w:top w:val="none" w:sz="0" w:space="0" w:color="auto"/>
                                <w:left w:val="none" w:sz="0" w:space="0" w:color="auto"/>
                                <w:bottom w:val="none" w:sz="0" w:space="0" w:color="auto"/>
                                <w:right w:val="none" w:sz="0" w:space="0" w:color="auto"/>
                              </w:divBdr>
                              <w:divsChild>
                                <w:div w:id="1398091545">
                                  <w:marLeft w:val="0"/>
                                  <w:marRight w:val="0"/>
                                  <w:marTop w:val="0"/>
                                  <w:marBottom w:val="0"/>
                                  <w:divBdr>
                                    <w:top w:val="none" w:sz="0" w:space="0" w:color="auto"/>
                                    <w:left w:val="none" w:sz="0" w:space="0" w:color="auto"/>
                                    <w:bottom w:val="none" w:sz="0" w:space="0" w:color="auto"/>
                                    <w:right w:val="none" w:sz="0" w:space="0" w:color="auto"/>
                                  </w:divBdr>
                                  <w:divsChild>
                                    <w:div w:id="974485361">
                                      <w:marLeft w:val="0"/>
                                      <w:marRight w:val="0"/>
                                      <w:marTop w:val="0"/>
                                      <w:marBottom w:val="0"/>
                                      <w:divBdr>
                                        <w:top w:val="none" w:sz="0" w:space="0" w:color="auto"/>
                                        <w:left w:val="none" w:sz="0" w:space="0" w:color="auto"/>
                                        <w:bottom w:val="none" w:sz="0" w:space="0" w:color="auto"/>
                                        <w:right w:val="none" w:sz="0" w:space="0" w:color="auto"/>
                                      </w:divBdr>
                                      <w:divsChild>
                                        <w:div w:id="1677464072">
                                          <w:marLeft w:val="0"/>
                                          <w:marRight w:val="0"/>
                                          <w:marTop w:val="0"/>
                                          <w:marBottom w:val="0"/>
                                          <w:divBdr>
                                            <w:top w:val="none" w:sz="0" w:space="0" w:color="auto"/>
                                            <w:left w:val="none" w:sz="0" w:space="0" w:color="auto"/>
                                            <w:bottom w:val="none" w:sz="0" w:space="0" w:color="auto"/>
                                            <w:right w:val="none" w:sz="0" w:space="0" w:color="auto"/>
                                          </w:divBdr>
                                          <w:divsChild>
                                            <w:div w:id="1519199684">
                                              <w:marLeft w:val="0"/>
                                              <w:marRight w:val="0"/>
                                              <w:marTop w:val="0"/>
                                              <w:marBottom w:val="0"/>
                                              <w:divBdr>
                                                <w:top w:val="none" w:sz="0" w:space="0" w:color="auto"/>
                                                <w:left w:val="none" w:sz="0" w:space="0" w:color="auto"/>
                                                <w:bottom w:val="none" w:sz="0" w:space="0" w:color="auto"/>
                                                <w:right w:val="none" w:sz="0" w:space="0" w:color="auto"/>
                                              </w:divBdr>
                                              <w:divsChild>
                                                <w:div w:id="1971129083">
                                                  <w:marLeft w:val="0"/>
                                                  <w:marRight w:val="0"/>
                                                  <w:marTop w:val="225"/>
                                                  <w:marBottom w:val="300"/>
                                                  <w:divBdr>
                                                    <w:top w:val="none" w:sz="0" w:space="0" w:color="auto"/>
                                                    <w:left w:val="none" w:sz="0" w:space="0" w:color="auto"/>
                                                    <w:bottom w:val="none" w:sz="0" w:space="0" w:color="auto"/>
                                                    <w:right w:val="none" w:sz="0" w:space="0" w:color="auto"/>
                                                  </w:divBdr>
                                                  <w:divsChild>
                                                    <w:div w:id="967662094">
                                                      <w:marLeft w:val="0"/>
                                                      <w:marRight w:val="0"/>
                                                      <w:marTop w:val="0"/>
                                                      <w:marBottom w:val="30"/>
                                                      <w:divBdr>
                                                        <w:top w:val="single" w:sz="6" w:space="0" w:color="E5E5E5"/>
                                                        <w:left w:val="single" w:sz="6" w:space="0" w:color="E5E5E5"/>
                                                        <w:bottom w:val="single" w:sz="6" w:space="0" w:color="E5E5E5"/>
                                                        <w:right w:val="single" w:sz="6" w:space="0" w:color="E5E5E5"/>
                                                      </w:divBdr>
                                                      <w:divsChild>
                                                        <w:div w:id="385109396">
                                                          <w:marLeft w:val="0"/>
                                                          <w:marRight w:val="0"/>
                                                          <w:marTop w:val="0"/>
                                                          <w:marBottom w:val="0"/>
                                                          <w:divBdr>
                                                            <w:top w:val="none" w:sz="0" w:space="0" w:color="auto"/>
                                                            <w:left w:val="none" w:sz="0" w:space="0" w:color="auto"/>
                                                            <w:bottom w:val="none" w:sz="0" w:space="0" w:color="auto"/>
                                                            <w:right w:val="none" w:sz="0" w:space="0" w:color="auto"/>
                                                          </w:divBdr>
                                                          <w:divsChild>
                                                            <w:div w:id="1603345123">
                                                              <w:marLeft w:val="0"/>
                                                              <w:marRight w:val="0"/>
                                                              <w:marTop w:val="0"/>
                                                              <w:marBottom w:val="0"/>
                                                              <w:divBdr>
                                                                <w:top w:val="single" w:sz="6" w:space="7" w:color="E5E5E5"/>
                                                                <w:left w:val="none" w:sz="0" w:space="0" w:color="auto"/>
                                                                <w:bottom w:val="none" w:sz="0" w:space="0" w:color="auto"/>
                                                                <w:right w:val="none" w:sz="0" w:space="0" w:color="auto"/>
                                                              </w:divBdr>
                                                            </w:div>
                                                          </w:divsChild>
                                                        </w:div>
                                                        <w:div w:id="1185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570582">
      <w:bodyDiv w:val="1"/>
      <w:marLeft w:val="0"/>
      <w:marRight w:val="0"/>
      <w:marTop w:val="0"/>
      <w:marBottom w:val="0"/>
      <w:divBdr>
        <w:top w:val="none" w:sz="0" w:space="0" w:color="auto"/>
        <w:left w:val="none" w:sz="0" w:space="0" w:color="auto"/>
        <w:bottom w:val="none" w:sz="0" w:space="0" w:color="auto"/>
        <w:right w:val="none" w:sz="0" w:space="0" w:color="auto"/>
      </w:divBdr>
      <w:divsChild>
        <w:div w:id="257057756">
          <w:marLeft w:val="0"/>
          <w:marRight w:val="0"/>
          <w:marTop w:val="0"/>
          <w:marBottom w:val="0"/>
          <w:divBdr>
            <w:top w:val="none" w:sz="0" w:space="0" w:color="auto"/>
            <w:left w:val="none" w:sz="0" w:space="0" w:color="auto"/>
            <w:bottom w:val="none" w:sz="0" w:space="0" w:color="auto"/>
            <w:right w:val="none" w:sz="0" w:space="0" w:color="auto"/>
          </w:divBdr>
          <w:divsChild>
            <w:div w:id="1264193397">
              <w:marLeft w:val="0"/>
              <w:marRight w:val="0"/>
              <w:marTop w:val="0"/>
              <w:marBottom w:val="0"/>
              <w:divBdr>
                <w:top w:val="none" w:sz="0" w:space="0" w:color="auto"/>
                <w:left w:val="none" w:sz="0" w:space="0" w:color="auto"/>
                <w:bottom w:val="none" w:sz="0" w:space="0" w:color="auto"/>
                <w:right w:val="none" w:sz="0" w:space="0" w:color="auto"/>
              </w:divBdr>
              <w:divsChild>
                <w:div w:id="2109498567">
                  <w:marLeft w:val="0"/>
                  <w:marRight w:val="0"/>
                  <w:marTop w:val="0"/>
                  <w:marBottom w:val="0"/>
                  <w:divBdr>
                    <w:top w:val="none" w:sz="0" w:space="0" w:color="auto"/>
                    <w:left w:val="none" w:sz="0" w:space="0" w:color="auto"/>
                    <w:bottom w:val="none" w:sz="0" w:space="0" w:color="auto"/>
                    <w:right w:val="none" w:sz="0" w:space="0" w:color="auto"/>
                  </w:divBdr>
                  <w:divsChild>
                    <w:div w:id="265424290">
                      <w:marLeft w:val="0"/>
                      <w:marRight w:val="0"/>
                      <w:marTop w:val="0"/>
                      <w:marBottom w:val="0"/>
                      <w:divBdr>
                        <w:top w:val="none" w:sz="0" w:space="0" w:color="auto"/>
                        <w:left w:val="none" w:sz="0" w:space="0" w:color="auto"/>
                        <w:bottom w:val="none" w:sz="0" w:space="0" w:color="auto"/>
                        <w:right w:val="none" w:sz="0" w:space="0" w:color="auto"/>
                      </w:divBdr>
                      <w:divsChild>
                        <w:div w:id="137382834">
                          <w:marLeft w:val="0"/>
                          <w:marRight w:val="0"/>
                          <w:marTop w:val="0"/>
                          <w:marBottom w:val="0"/>
                          <w:divBdr>
                            <w:top w:val="none" w:sz="0" w:space="0" w:color="auto"/>
                            <w:left w:val="none" w:sz="0" w:space="0" w:color="auto"/>
                            <w:bottom w:val="none" w:sz="0" w:space="0" w:color="auto"/>
                            <w:right w:val="none" w:sz="0" w:space="0" w:color="auto"/>
                          </w:divBdr>
                          <w:divsChild>
                            <w:div w:id="1998873520">
                              <w:marLeft w:val="0"/>
                              <w:marRight w:val="0"/>
                              <w:marTop w:val="0"/>
                              <w:marBottom w:val="0"/>
                              <w:divBdr>
                                <w:top w:val="none" w:sz="0" w:space="0" w:color="auto"/>
                                <w:left w:val="none" w:sz="0" w:space="0" w:color="auto"/>
                                <w:bottom w:val="none" w:sz="0" w:space="0" w:color="auto"/>
                                <w:right w:val="none" w:sz="0" w:space="0" w:color="auto"/>
                              </w:divBdr>
                              <w:divsChild>
                                <w:div w:id="207576354">
                                  <w:marLeft w:val="0"/>
                                  <w:marRight w:val="0"/>
                                  <w:marTop w:val="0"/>
                                  <w:marBottom w:val="0"/>
                                  <w:divBdr>
                                    <w:top w:val="none" w:sz="0" w:space="0" w:color="auto"/>
                                    <w:left w:val="none" w:sz="0" w:space="0" w:color="auto"/>
                                    <w:bottom w:val="none" w:sz="0" w:space="0" w:color="auto"/>
                                    <w:right w:val="none" w:sz="0" w:space="0" w:color="auto"/>
                                  </w:divBdr>
                                  <w:divsChild>
                                    <w:div w:id="127163989">
                                      <w:marLeft w:val="0"/>
                                      <w:marRight w:val="0"/>
                                      <w:marTop w:val="0"/>
                                      <w:marBottom w:val="0"/>
                                      <w:divBdr>
                                        <w:top w:val="none" w:sz="0" w:space="0" w:color="auto"/>
                                        <w:left w:val="none" w:sz="0" w:space="0" w:color="auto"/>
                                        <w:bottom w:val="none" w:sz="0" w:space="0" w:color="auto"/>
                                        <w:right w:val="none" w:sz="0" w:space="0" w:color="auto"/>
                                      </w:divBdr>
                                      <w:divsChild>
                                        <w:div w:id="1740519892">
                                          <w:marLeft w:val="0"/>
                                          <w:marRight w:val="0"/>
                                          <w:marTop w:val="0"/>
                                          <w:marBottom w:val="0"/>
                                          <w:divBdr>
                                            <w:top w:val="none" w:sz="0" w:space="0" w:color="auto"/>
                                            <w:left w:val="none" w:sz="0" w:space="0" w:color="auto"/>
                                            <w:bottom w:val="none" w:sz="0" w:space="0" w:color="auto"/>
                                            <w:right w:val="none" w:sz="0" w:space="0" w:color="auto"/>
                                          </w:divBdr>
                                          <w:divsChild>
                                            <w:div w:id="372848066">
                                              <w:marLeft w:val="0"/>
                                              <w:marRight w:val="0"/>
                                              <w:marTop w:val="0"/>
                                              <w:marBottom w:val="0"/>
                                              <w:divBdr>
                                                <w:top w:val="none" w:sz="0" w:space="0" w:color="auto"/>
                                                <w:left w:val="none" w:sz="0" w:space="0" w:color="auto"/>
                                                <w:bottom w:val="none" w:sz="0" w:space="0" w:color="auto"/>
                                                <w:right w:val="none" w:sz="0" w:space="0" w:color="auto"/>
                                              </w:divBdr>
                                              <w:divsChild>
                                                <w:div w:id="523398119">
                                                  <w:marLeft w:val="0"/>
                                                  <w:marRight w:val="0"/>
                                                  <w:marTop w:val="225"/>
                                                  <w:marBottom w:val="300"/>
                                                  <w:divBdr>
                                                    <w:top w:val="none" w:sz="0" w:space="0" w:color="auto"/>
                                                    <w:left w:val="none" w:sz="0" w:space="0" w:color="auto"/>
                                                    <w:bottom w:val="none" w:sz="0" w:space="0" w:color="auto"/>
                                                    <w:right w:val="none" w:sz="0" w:space="0" w:color="auto"/>
                                                  </w:divBdr>
                                                  <w:divsChild>
                                                    <w:div w:id="1841966724">
                                                      <w:marLeft w:val="0"/>
                                                      <w:marRight w:val="0"/>
                                                      <w:marTop w:val="0"/>
                                                      <w:marBottom w:val="30"/>
                                                      <w:divBdr>
                                                        <w:top w:val="single" w:sz="6" w:space="0" w:color="E5E5E5"/>
                                                        <w:left w:val="single" w:sz="6" w:space="0" w:color="E5E5E5"/>
                                                        <w:bottom w:val="single" w:sz="6" w:space="0" w:color="E5E5E5"/>
                                                        <w:right w:val="single" w:sz="6" w:space="0" w:color="E5E5E5"/>
                                                      </w:divBdr>
                                                      <w:divsChild>
                                                        <w:div w:id="1220481206">
                                                          <w:marLeft w:val="0"/>
                                                          <w:marRight w:val="0"/>
                                                          <w:marTop w:val="0"/>
                                                          <w:marBottom w:val="0"/>
                                                          <w:divBdr>
                                                            <w:top w:val="none" w:sz="0" w:space="0" w:color="auto"/>
                                                            <w:left w:val="none" w:sz="0" w:space="0" w:color="auto"/>
                                                            <w:bottom w:val="none" w:sz="0" w:space="0" w:color="auto"/>
                                                            <w:right w:val="none" w:sz="0" w:space="0" w:color="auto"/>
                                                          </w:divBdr>
                                                        </w:div>
                                                        <w:div w:id="1689597855">
                                                          <w:marLeft w:val="0"/>
                                                          <w:marRight w:val="0"/>
                                                          <w:marTop w:val="0"/>
                                                          <w:marBottom w:val="0"/>
                                                          <w:divBdr>
                                                            <w:top w:val="none" w:sz="0" w:space="0" w:color="auto"/>
                                                            <w:left w:val="none" w:sz="0" w:space="0" w:color="auto"/>
                                                            <w:bottom w:val="none" w:sz="0" w:space="0" w:color="auto"/>
                                                            <w:right w:val="none" w:sz="0" w:space="0" w:color="auto"/>
                                                          </w:divBdr>
                                                          <w:divsChild>
                                                            <w:div w:id="7555191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605728">
      <w:bodyDiv w:val="1"/>
      <w:marLeft w:val="0"/>
      <w:marRight w:val="0"/>
      <w:marTop w:val="0"/>
      <w:marBottom w:val="0"/>
      <w:divBdr>
        <w:top w:val="none" w:sz="0" w:space="0" w:color="auto"/>
        <w:left w:val="none" w:sz="0" w:space="0" w:color="auto"/>
        <w:bottom w:val="none" w:sz="0" w:space="0" w:color="auto"/>
        <w:right w:val="none" w:sz="0" w:space="0" w:color="auto"/>
      </w:divBdr>
      <w:divsChild>
        <w:div w:id="299464366">
          <w:marLeft w:val="0"/>
          <w:marRight w:val="0"/>
          <w:marTop w:val="0"/>
          <w:marBottom w:val="0"/>
          <w:divBdr>
            <w:top w:val="none" w:sz="0" w:space="0" w:color="auto"/>
            <w:left w:val="none" w:sz="0" w:space="0" w:color="auto"/>
            <w:bottom w:val="none" w:sz="0" w:space="0" w:color="auto"/>
            <w:right w:val="none" w:sz="0" w:space="0" w:color="auto"/>
          </w:divBdr>
          <w:divsChild>
            <w:div w:id="1473399226">
              <w:marLeft w:val="0"/>
              <w:marRight w:val="0"/>
              <w:marTop w:val="0"/>
              <w:marBottom w:val="0"/>
              <w:divBdr>
                <w:top w:val="none" w:sz="0" w:space="0" w:color="auto"/>
                <w:left w:val="none" w:sz="0" w:space="0" w:color="auto"/>
                <w:bottom w:val="none" w:sz="0" w:space="0" w:color="auto"/>
                <w:right w:val="none" w:sz="0" w:space="0" w:color="auto"/>
              </w:divBdr>
              <w:divsChild>
                <w:div w:id="81226478">
                  <w:marLeft w:val="0"/>
                  <w:marRight w:val="0"/>
                  <w:marTop w:val="0"/>
                  <w:marBottom w:val="0"/>
                  <w:divBdr>
                    <w:top w:val="none" w:sz="0" w:space="0" w:color="auto"/>
                    <w:left w:val="none" w:sz="0" w:space="0" w:color="auto"/>
                    <w:bottom w:val="none" w:sz="0" w:space="0" w:color="auto"/>
                    <w:right w:val="none" w:sz="0" w:space="0" w:color="auto"/>
                  </w:divBdr>
                  <w:divsChild>
                    <w:div w:id="538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6276">
      <w:bodyDiv w:val="1"/>
      <w:marLeft w:val="0"/>
      <w:marRight w:val="0"/>
      <w:marTop w:val="0"/>
      <w:marBottom w:val="0"/>
      <w:divBdr>
        <w:top w:val="none" w:sz="0" w:space="0" w:color="auto"/>
        <w:left w:val="none" w:sz="0" w:space="0" w:color="auto"/>
        <w:bottom w:val="none" w:sz="0" w:space="0" w:color="auto"/>
        <w:right w:val="none" w:sz="0" w:space="0" w:color="auto"/>
      </w:divBdr>
      <w:divsChild>
        <w:div w:id="466437499">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sChild>
                <w:div w:id="1346009250">
                  <w:marLeft w:val="0"/>
                  <w:marRight w:val="0"/>
                  <w:marTop w:val="0"/>
                  <w:marBottom w:val="0"/>
                  <w:divBdr>
                    <w:top w:val="none" w:sz="0" w:space="0" w:color="auto"/>
                    <w:left w:val="none" w:sz="0" w:space="0" w:color="auto"/>
                    <w:bottom w:val="none" w:sz="0" w:space="0" w:color="auto"/>
                    <w:right w:val="none" w:sz="0" w:space="0" w:color="auto"/>
                  </w:divBdr>
                  <w:divsChild>
                    <w:div w:id="15558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00600">
      <w:bodyDiv w:val="1"/>
      <w:marLeft w:val="0"/>
      <w:marRight w:val="0"/>
      <w:marTop w:val="0"/>
      <w:marBottom w:val="0"/>
      <w:divBdr>
        <w:top w:val="none" w:sz="0" w:space="0" w:color="auto"/>
        <w:left w:val="none" w:sz="0" w:space="0" w:color="auto"/>
        <w:bottom w:val="none" w:sz="0" w:space="0" w:color="auto"/>
        <w:right w:val="none" w:sz="0" w:space="0" w:color="auto"/>
      </w:divBdr>
      <w:divsChild>
        <w:div w:id="1168055325">
          <w:marLeft w:val="0"/>
          <w:marRight w:val="0"/>
          <w:marTop w:val="0"/>
          <w:marBottom w:val="0"/>
          <w:divBdr>
            <w:top w:val="none" w:sz="0" w:space="0" w:color="auto"/>
            <w:left w:val="none" w:sz="0" w:space="0" w:color="auto"/>
            <w:bottom w:val="none" w:sz="0" w:space="0" w:color="auto"/>
            <w:right w:val="none" w:sz="0" w:space="0" w:color="auto"/>
          </w:divBdr>
          <w:divsChild>
            <w:div w:id="279529132">
              <w:marLeft w:val="0"/>
              <w:marRight w:val="0"/>
              <w:marTop w:val="0"/>
              <w:marBottom w:val="0"/>
              <w:divBdr>
                <w:top w:val="none" w:sz="0" w:space="0" w:color="auto"/>
                <w:left w:val="none" w:sz="0" w:space="0" w:color="auto"/>
                <w:bottom w:val="none" w:sz="0" w:space="0" w:color="auto"/>
                <w:right w:val="none" w:sz="0" w:space="0" w:color="auto"/>
              </w:divBdr>
              <w:divsChild>
                <w:div w:id="1911381946">
                  <w:marLeft w:val="0"/>
                  <w:marRight w:val="0"/>
                  <w:marTop w:val="0"/>
                  <w:marBottom w:val="0"/>
                  <w:divBdr>
                    <w:top w:val="none" w:sz="0" w:space="0" w:color="auto"/>
                    <w:left w:val="none" w:sz="0" w:space="0" w:color="auto"/>
                    <w:bottom w:val="none" w:sz="0" w:space="0" w:color="auto"/>
                    <w:right w:val="none" w:sz="0" w:space="0" w:color="auto"/>
                  </w:divBdr>
                  <w:divsChild>
                    <w:div w:id="208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2515">
      <w:bodyDiv w:val="1"/>
      <w:marLeft w:val="0"/>
      <w:marRight w:val="0"/>
      <w:marTop w:val="0"/>
      <w:marBottom w:val="0"/>
      <w:divBdr>
        <w:top w:val="none" w:sz="0" w:space="0" w:color="auto"/>
        <w:left w:val="none" w:sz="0" w:space="0" w:color="auto"/>
        <w:bottom w:val="none" w:sz="0" w:space="0" w:color="auto"/>
        <w:right w:val="none" w:sz="0" w:space="0" w:color="auto"/>
      </w:divBdr>
      <w:divsChild>
        <w:div w:id="1952276814">
          <w:marLeft w:val="0"/>
          <w:marRight w:val="0"/>
          <w:marTop w:val="0"/>
          <w:marBottom w:val="0"/>
          <w:divBdr>
            <w:top w:val="none" w:sz="0" w:space="0" w:color="auto"/>
            <w:left w:val="none" w:sz="0" w:space="0" w:color="auto"/>
            <w:bottom w:val="none" w:sz="0" w:space="0" w:color="auto"/>
            <w:right w:val="none" w:sz="0" w:space="0" w:color="auto"/>
          </w:divBdr>
          <w:divsChild>
            <w:div w:id="1367022173">
              <w:marLeft w:val="0"/>
              <w:marRight w:val="0"/>
              <w:marTop w:val="0"/>
              <w:marBottom w:val="0"/>
              <w:divBdr>
                <w:top w:val="none" w:sz="0" w:space="0" w:color="auto"/>
                <w:left w:val="none" w:sz="0" w:space="0" w:color="auto"/>
                <w:bottom w:val="none" w:sz="0" w:space="0" w:color="auto"/>
                <w:right w:val="none" w:sz="0" w:space="0" w:color="auto"/>
              </w:divBdr>
              <w:divsChild>
                <w:div w:id="1876186557">
                  <w:marLeft w:val="0"/>
                  <w:marRight w:val="0"/>
                  <w:marTop w:val="0"/>
                  <w:marBottom w:val="0"/>
                  <w:divBdr>
                    <w:top w:val="none" w:sz="0" w:space="0" w:color="auto"/>
                    <w:left w:val="none" w:sz="0" w:space="0" w:color="auto"/>
                    <w:bottom w:val="none" w:sz="0" w:space="0" w:color="auto"/>
                    <w:right w:val="none" w:sz="0" w:space="0" w:color="auto"/>
                  </w:divBdr>
                  <w:divsChild>
                    <w:div w:id="2041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6021">
      <w:bodyDiv w:val="1"/>
      <w:marLeft w:val="0"/>
      <w:marRight w:val="0"/>
      <w:marTop w:val="0"/>
      <w:marBottom w:val="0"/>
      <w:divBdr>
        <w:top w:val="none" w:sz="0" w:space="0" w:color="auto"/>
        <w:left w:val="none" w:sz="0" w:space="0" w:color="auto"/>
        <w:bottom w:val="none" w:sz="0" w:space="0" w:color="auto"/>
        <w:right w:val="none" w:sz="0" w:space="0" w:color="auto"/>
      </w:divBdr>
      <w:divsChild>
        <w:div w:id="751321376">
          <w:marLeft w:val="0"/>
          <w:marRight w:val="0"/>
          <w:marTop w:val="0"/>
          <w:marBottom w:val="0"/>
          <w:divBdr>
            <w:top w:val="none" w:sz="0" w:space="0" w:color="auto"/>
            <w:left w:val="none" w:sz="0" w:space="0" w:color="auto"/>
            <w:bottom w:val="none" w:sz="0" w:space="0" w:color="auto"/>
            <w:right w:val="none" w:sz="0" w:space="0" w:color="auto"/>
          </w:divBdr>
          <w:divsChild>
            <w:div w:id="190991677">
              <w:marLeft w:val="0"/>
              <w:marRight w:val="0"/>
              <w:marTop w:val="0"/>
              <w:marBottom w:val="0"/>
              <w:divBdr>
                <w:top w:val="none" w:sz="0" w:space="0" w:color="auto"/>
                <w:left w:val="none" w:sz="0" w:space="0" w:color="auto"/>
                <w:bottom w:val="none" w:sz="0" w:space="0" w:color="auto"/>
                <w:right w:val="none" w:sz="0" w:space="0" w:color="auto"/>
              </w:divBdr>
              <w:divsChild>
                <w:div w:id="936987153">
                  <w:marLeft w:val="0"/>
                  <w:marRight w:val="0"/>
                  <w:marTop w:val="0"/>
                  <w:marBottom w:val="0"/>
                  <w:divBdr>
                    <w:top w:val="none" w:sz="0" w:space="0" w:color="auto"/>
                    <w:left w:val="none" w:sz="0" w:space="0" w:color="auto"/>
                    <w:bottom w:val="none" w:sz="0" w:space="0" w:color="auto"/>
                    <w:right w:val="none" w:sz="0" w:space="0" w:color="auto"/>
                  </w:divBdr>
                  <w:divsChild>
                    <w:div w:id="439837384">
                      <w:marLeft w:val="0"/>
                      <w:marRight w:val="0"/>
                      <w:marTop w:val="0"/>
                      <w:marBottom w:val="0"/>
                      <w:divBdr>
                        <w:top w:val="none" w:sz="0" w:space="0" w:color="auto"/>
                        <w:left w:val="none" w:sz="0" w:space="0" w:color="auto"/>
                        <w:bottom w:val="none" w:sz="0" w:space="0" w:color="auto"/>
                        <w:right w:val="none" w:sz="0" w:space="0" w:color="auto"/>
                      </w:divBdr>
                      <w:divsChild>
                        <w:div w:id="1616057313">
                          <w:marLeft w:val="0"/>
                          <w:marRight w:val="0"/>
                          <w:marTop w:val="0"/>
                          <w:marBottom w:val="0"/>
                          <w:divBdr>
                            <w:top w:val="none" w:sz="0" w:space="0" w:color="auto"/>
                            <w:left w:val="none" w:sz="0" w:space="0" w:color="auto"/>
                            <w:bottom w:val="none" w:sz="0" w:space="0" w:color="auto"/>
                            <w:right w:val="none" w:sz="0" w:space="0" w:color="auto"/>
                          </w:divBdr>
                          <w:divsChild>
                            <w:div w:id="1013336328">
                              <w:marLeft w:val="0"/>
                              <w:marRight w:val="0"/>
                              <w:marTop w:val="0"/>
                              <w:marBottom w:val="0"/>
                              <w:divBdr>
                                <w:top w:val="none" w:sz="0" w:space="0" w:color="auto"/>
                                <w:left w:val="none" w:sz="0" w:space="0" w:color="auto"/>
                                <w:bottom w:val="none" w:sz="0" w:space="0" w:color="auto"/>
                                <w:right w:val="none" w:sz="0" w:space="0" w:color="auto"/>
                              </w:divBdr>
                              <w:divsChild>
                                <w:div w:id="2033653206">
                                  <w:marLeft w:val="0"/>
                                  <w:marRight w:val="0"/>
                                  <w:marTop w:val="0"/>
                                  <w:marBottom w:val="0"/>
                                  <w:divBdr>
                                    <w:top w:val="none" w:sz="0" w:space="0" w:color="auto"/>
                                    <w:left w:val="none" w:sz="0" w:space="0" w:color="auto"/>
                                    <w:bottom w:val="none" w:sz="0" w:space="0" w:color="auto"/>
                                    <w:right w:val="none" w:sz="0" w:space="0" w:color="auto"/>
                                  </w:divBdr>
                                  <w:divsChild>
                                    <w:div w:id="1369796379">
                                      <w:marLeft w:val="0"/>
                                      <w:marRight w:val="0"/>
                                      <w:marTop w:val="0"/>
                                      <w:marBottom w:val="0"/>
                                      <w:divBdr>
                                        <w:top w:val="none" w:sz="0" w:space="0" w:color="auto"/>
                                        <w:left w:val="none" w:sz="0" w:space="0" w:color="auto"/>
                                        <w:bottom w:val="none" w:sz="0" w:space="0" w:color="auto"/>
                                        <w:right w:val="none" w:sz="0" w:space="0" w:color="auto"/>
                                      </w:divBdr>
                                      <w:divsChild>
                                        <w:div w:id="546837881">
                                          <w:marLeft w:val="0"/>
                                          <w:marRight w:val="0"/>
                                          <w:marTop w:val="0"/>
                                          <w:marBottom w:val="0"/>
                                          <w:divBdr>
                                            <w:top w:val="none" w:sz="0" w:space="0" w:color="auto"/>
                                            <w:left w:val="none" w:sz="0" w:space="0" w:color="auto"/>
                                            <w:bottom w:val="none" w:sz="0" w:space="0" w:color="auto"/>
                                            <w:right w:val="none" w:sz="0" w:space="0" w:color="auto"/>
                                          </w:divBdr>
                                          <w:divsChild>
                                            <w:div w:id="2083093065">
                                              <w:marLeft w:val="0"/>
                                              <w:marRight w:val="0"/>
                                              <w:marTop w:val="0"/>
                                              <w:marBottom w:val="0"/>
                                              <w:divBdr>
                                                <w:top w:val="none" w:sz="0" w:space="0" w:color="auto"/>
                                                <w:left w:val="none" w:sz="0" w:space="0" w:color="auto"/>
                                                <w:bottom w:val="none" w:sz="0" w:space="0" w:color="auto"/>
                                                <w:right w:val="none" w:sz="0" w:space="0" w:color="auto"/>
                                              </w:divBdr>
                                              <w:divsChild>
                                                <w:div w:id="985353038">
                                                  <w:marLeft w:val="0"/>
                                                  <w:marRight w:val="0"/>
                                                  <w:marTop w:val="0"/>
                                                  <w:marBottom w:val="0"/>
                                                  <w:divBdr>
                                                    <w:top w:val="none" w:sz="0" w:space="0" w:color="auto"/>
                                                    <w:left w:val="none" w:sz="0" w:space="0" w:color="auto"/>
                                                    <w:bottom w:val="none" w:sz="0" w:space="0" w:color="auto"/>
                                                    <w:right w:val="none" w:sz="0" w:space="0" w:color="auto"/>
                                                  </w:divBdr>
                                                </w:div>
                                                <w:div w:id="1321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074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4137">
          <w:marLeft w:val="0"/>
          <w:marRight w:val="0"/>
          <w:marTop w:val="0"/>
          <w:marBottom w:val="0"/>
          <w:divBdr>
            <w:top w:val="none" w:sz="0" w:space="0" w:color="auto"/>
            <w:left w:val="none" w:sz="0" w:space="0" w:color="auto"/>
            <w:bottom w:val="none" w:sz="0" w:space="0" w:color="auto"/>
            <w:right w:val="none" w:sz="0" w:space="0" w:color="auto"/>
          </w:divBdr>
          <w:divsChild>
            <w:div w:id="943995656">
              <w:marLeft w:val="0"/>
              <w:marRight w:val="0"/>
              <w:marTop w:val="0"/>
              <w:marBottom w:val="0"/>
              <w:divBdr>
                <w:top w:val="none" w:sz="0" w:space="0" w:color="auto"/>
                <w:left w:val="none" w:sz="0" w:space="0" w:color="auto"/>
                <w:bottom w:val="none" w:sz="0" w:space="0" w:color="auto"/>
                <w:right w:val="none" w:sz="0" w:space="0" w:color="auto"/>
              </w:divBdr>
              <w:divsChild>
                <w:div w:id="1522430729">
                  <w:marLeft w:val="0"/>
                  <w:marRight w:val="0"/>
                  <w:marTop w:val="0"/>
                  <w:marBottom w:val="0"/>
                  <w:divBdr>
                    <w:top w:val="none" w:sz="0" w:space="0" w:color="auto"/>
                    <w:left w:val="none" w:sz="0" w:space="0" w:color="auto"/>
                    <w:bottom w:val="none" w:sz="0" w:space="0" w:color="auto"/>
                    <w:right w:val="none" w:sz="0" w:space="0" w:color="auto"/>
                  </w:divBdr>
                  <w:divsChild>
                    <w:div w:id="19860670">
                      <w:marLeft w:val="0"/>
                      <w:marRight w:val="0"/>
                      <w:marTop w:val="0"/>
                      <w:marBottom w:val="0"/>
                      <w:divBdr>
                        <w:top w:val="none" w:sz="0" w:space="0" w:color="auto"/>
                        <w:left w:val="none" w:sz="0" w:space="0" w:color="auto"/>
                        <w:bottom w:val="none" w:sz="0" w:space="0" w:color="auto"/>
                        <w:right w:val="none" w:sz="0" w:space="0" w:color="auto"/>
                      </w:divBdr>
                      <w:divsChild>
                        <w:div w:id="474371478">
                          <w:marLeft w:val="0"/>
                          <w:marRight w:val="0"/>
                          <w:marTop w:val="0"/>
                          <w:marBottom w:val="0"/>
                          <w:divBdr>
                            <w:top w:val="none" w:sz="0" w:space="0" w:color="auto"/>
                            <w:left w:val="none" w:sz="0" w:space="0" w:color="auto"/>
                            <w:bottom w:val="none" w:sz="0" w:space="0" w:color="auto"/>
                            <w:right w:val="none" w:sz="0" w:space="0" w:color="auto"/>
                          </w:divBdr>
                          <w:divsChild>
                            <w:div w:id="954598354">
                              <w:marLeft w:val="0"/>
                              <w:marRight w:val="0"/>
                              <w:marTop w:val="0"/>
                              <w:marBottom w:val="0"/>
                              <w:divBdr>
                                <w:top w:val="none" w:sz="0" w:space="0" w:color="auto"/>
                                <w:left w:val="none" w:sz="0" w:space="0" w:color="auto"/>
                                <w:bottom w:val="none" w:sz="0" w:space="0" w:color="auto"/>
                                <w:right w:val="none" w:sz="0" w:space="0" w:color="auto"/>
                              </w:divBdr>
                              <w:divsChild>
                                <w:div w:id="1709984911">
                                  <w:marLeft w:val="0"/>
                                  <w:marRight w:val="0"/>
                                  <w:marTop w:val="0"/>
                                  <w:marBottom w:val="0"/>
                                  <w:divBdr>
                                    <w:top w:val="none" w:sz="0" w:space="0" w:color="auto"/>
                                    <w:left w:val="none" w:sz="0" w:space="0" w:color="auto"/>
                                    <w:bottom w:val="none" w:sz="0" w:space="0" w:color="auto"/>
                                    <w:right w:val="none" w:sz="0" w:space="0" w:color="auto"/>
                                  </w:divBdr>
                                  <w:divsChild>
                                    <w:div w:id="1207062640">
                                      <w:marLeft w:val="0"/>
                                      <w:marRight w:val="0"/>
                                      <w:marTop w:val="0"/>
                                      <w:marBottom w:val="0"/>
                                      <w:divBdr>
                                        <w:top w:val="none" w:sz="0" w:space="0" w:color="auto"/>
                                        <w:left w:val="none" w:sz="0" w:space="0" w:color="auto"/>
                                        <w:bottom w:val="none" w:sz="0" w:space="0" w:color="auto"/>
                                        <w:right w:val="none" w:sz="0" w:space="0" w:color="auto"/>
                                      </w:divBdr>
                                      <w:divsChild>
                                        <w:div w:id="295524357">
                                          <w:marLeft w:val="0"/>
                                          <w:marRight w:val="0"/>
                                          <w:marTop w:val="0"/>
                                          <w:marBottom w:val="0"/>
                                          <w:divBdr>
                                            <w:top w:val="none" w:sz="0" w:space="0" w:color="auto"/>
                                            <w:left w:val="none" w:sz="0" w:space="0" w:color="auto"/>
                                            <w:bottom w:val="none" w:sz="0" w:space="0" w:color="auto"/>
                                            <w:right w:val="none" w:sz="0" w:space="0" w:color="auto"/>
                                          </w:divBdr>
                                          <w:divsChild>
                                            <w:div w:id="1091854950">
                                              <w:marLeft w:val="0"/>
                                              <w:marRight w:val="0"/>
                                              <w:marTop w:val="0"/>
                                              <w:marBottom w:val="0"/>
                                              <w:divBdr>
                                                <w:top w:val="none" w:sz="0" w:space="0" w:color="auto"/>
                                                <w:left w:val="none" w:sz="0" w:space="0" w:color="auto"/>
                                                <w:bottom w:val="none" w:sz="0" w:space="0" w:color="auto"/>
                                                <w:right w:val="none" w:sz="0" w:space="0" w:color="auto"/>
                                              </w:divBdr>
                                              <w:divsChild>
                                                <w:div w:id="1702588469">
                                                  <w:marLeft w:val="0"/>
                                                  <w:marRight w:val="0"/>
                                                  <w:marTop w:val="225"/>
                                                  <w:marBottom w:val="300"/>
                                                  <w:divBdr>
                                                    <w:top w:val="none" w:sz="0" w:space="0" w:color="auto"/>
                                                    <w:left w:val="none" w:sz="0" w:space="0" w:color="auto"/>
                                                    <w:bottom w:val="none" w:sz="0" w:space="0" w:color="auto"/>
                                                    <w:right w:val="none" w:sz="0" w:space="0" w:color="auto"/>
                                                  </w:divBdr>
                                                  <w:divsChild>
                                                    <w:div w:id="46993952">
                                                      <w:marLeft w:val="0"/>
                                                      <w:marRight w:val="0"/>
                                                      <w:marTop w:val="0"/>
                                                      <w:marBottom w:val="30"/>
                                                      <w:divBdr>
                                                        <w:top w:val="single" w:sz="6" w:space="0" w:color="E5E5E5"/>
                                                        <w:left w:val="single" w:sz="6" w:space="0" w:color="E5E5E5"/>
                                                        <w:bottom w:val="single" w:sz="6" w:space="0" w:color="E5E5E5"/>
                                                        <w:right w:val="single" w:sz="6" w:space="0" w:color="E5E5E5"/>
                                                      </w:divBdr>
                                                      <w:divsChild>
                                                        <w:div w:id="1400981512">
                                                          <w:marLeft w:val="0"/>
                                                          <w:marRight w:val="0"/>
                                                          <w:marTop w:val="0"/>
                                                          <w:marBottom w:val="0"/>
                                                          <w:divBdr>
                                                            <w:top w:val="none" w:sz="0" w:space="0" w:color="auto"/>
                                                            <w:left w:val="none" w:sz="0" w:space="0" w:color="auto"/>
                                                            <w:bottom w:val="none" w:sz="0" w:space="0" w:color="auto"/>
                                                            <w:right w:val="none" w:sz="0" w:space="0" w:color="auto"/>
                                                          </w:divBdr>
                                                          <w:divsChild>
                                                            <w:div w:id="1246915290">
                                                              <w:marLeft w:val="0"/>
                                                              <w:marRight w:val="0"/>
                                                              <w:marTop w:val="0"/>
                                                              <w:marBottom w:val="0"/>
                                                              <w:divBdr>
                                                                <w:top w:val="single" w:sz="6" w:space="7" w:color="E5E5E5"/>
                                                                <w:left w:val="none" w:sz="0" w:space="0" w:color="auto"/>
                                                                <w:bottom w:val="none" w:sz="0" w:space="0" w:color="auto"/>
                                                                <w:right w:val="none" w:sz="0" w:space="0" w:color="auto"/>
                                                              </w:divBdr>
                                                            </w:div>
                                                          </w:divsChild>
                                                        </w:div>
                                                        <w:div w:id="19684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442023">
      <w:bodyDiv w:val="1"/>
      <w:marLeft w:val="0"/>
      <w:marRight w:val="0"/>
      <w:marTop w:val="0"/>
      <w:marBottom w:val="0"/>
      <w:divBdr>
        <w:top w:val="none" w:sz="0" w:space="0" w:color="auto"/>
        <w:left w:val="none" w:sz="0" w:space="0" w:color="auto"/>
        <w:bottom w:val="none" w:sz="0" w:space="0" w:color="auto"/>
        <w:right w:val="none" w:sz="0" w:space="0" w:color="auto"/>
      </w:divBdr>
      <w:divsChild>
        <w:div w:id="1658150182">
          <w:marLeft w:val="0"/>
          <w:marRight w:val="0"/>
          <w:marTop w:val="0"/>
          <w:marBottom w:val="0"/>
          <w:divBdr>
            <w:top w:val="none" w:sz="0" w:space="0" w:color="auto"/>
            <w:left w:val="none" w:sz="0" w:space="0" w:color="auto"/>
            <w:bottom w:val="none" w:sz="0" w:space="0" w:color="auto"/>
            <w:right w:val="none" w:sz="0" w:space="0" w:color="auto"/>
          </w:divBdr>
          <w:divsChild>
            <w:div w:id="1342585496">
              <w:marLeft w:val="0"/>
              <w:marRight w:val="0"/>
              <w:marTop w:val="0"/>
              <w:marBottom w:val="0"/>
              <w:divBdr>
                <w:top w:val="none" w:sz="0" w:space="0" w:color="auto"/>
                <w:left w:val="none" w:sz="0" w:space="0" w:color="auto"/>
                <w:bottom w:val="none" w:sz="0" w:space="0" w:color="auto"/>
                <w:right w:val="none" w:sz="0" w:space="0" w:color="auto"/>
              </w:divBdr>
              <w:divsChild>
                <w:div w:id="1578203073">
                  <w:marLeft w:val="0"/>
                  <w:marRight w:val="0"/>
                  <w:marTop w:val="0"/>
                  <w:marBottom w:val="0"/>
                  <w:divBdr>
                    <w:top w:val="none" w:sz="0" w:space="0" w:color="auto"/>
                    <w:left w:val="none" w:sz="0" w:space="0" w:color="auto"/>
                    <w:bottom w:val="none" w:sz="0" w:space="0" w:color="auto"/>
                    <w:right w:val="none" w:sz="0" w:space="0" w:color="auto"/>
                  </w:divBdr>
                  <w:divsChild>
                    <w:div w:id="256907151">
                      <w:marLeft w:val="0"/>
                      <w:marRight w:val="0"/>
                      <w:marTop w:val="0"/>
                      <w:marBottom w:val="0"/>
                      <w:divBdr>
                        <w:top w:val="none" w:sz="0" w:space="0" w:color="auto"/>
                        <w:left w:val="none" w:sz="0" w:space="0" w:color="auto"/>
                        <w:bottom w:val="none" w:sz="0" w:space="0" w:color="auto"/>
                        <w:right w:val="none" w:sz="0" w:space="0" w:color="auto"/>
                      </w:divBdr>
                      <w:divsChild>
                        <w:div w:id="692342329">
                          <w:marLeft w:val="0"/>
                          <w:marRight w:val="0"/>
                          <w:marTop w:val="0"/>
                          <w:marBottom w:val="0"/>
                          <w:divBdr>
                            <w:top w:val="none" w:sz="0" w:space="0" w:color="auto"/>
                            <w:left w:val="none" w:sz="0" w:space="0" w:color="auto"/>
                            <w:bottom w:val="none" w:sz="0" w:space="0" w:color="auto"/>
                            <w:right w:val="none" w:sz="0" w:space="0" w:color="auto"/>
                          </w:divBdr>
                          <w:divsChild>
                            <w:div w:id="1573932902">
                              <w:marLeft w:val="0"/>
                              <w:marRight w:val="0"/>
                              <w:marTop w:val="0"/>
                              <w:marBottom w:val="0"/>
                              <w:divBdr>
                                <w:top w:val="none" w:sz="0" w:space="0" w:color="auto"/>
                                <w:left w:val="none" w:sz="0" w:space="0" w:color="auto"/>
                                <w:bottom w:val="none" w:sz="0" w:space="0" w:color="auto"/>
                                <w:right w:val="none" w:sz="0" w:space="0" w:color="auto"/>
                              </w:divBdr>
                              <w:divsChild>
                                <w:div w:id="989406073">
                                  <w:marLeft w:val="0"/>
                                  <w:marRight w:val="0"/>
                                  <w:marTop w:val="0"/>
                                  <w:marBottom w:val="0"/>
                                  <w:divBdr>
                                    <w:top w:val="none" w:sz="0" w:space="0" w:color="auto"/>
                                    <w:left w:val="none" w:sz="0" w:space="0" w:color="auto"/>
                                    <w:bottom w:val="none" w:sz="0" w:space="0" w:color="auto"/>
                                    <w:right w:val="none" w:sz="0" w:space="0" w:color="auto"/>
                                  </w:divBdr>
                                  <w:divsChild>
                                    <w:div w:id="1323042544">
                                      <w:marLeft w:val="0"/>
                                      <w:marRight w:val="0"/>
                                      <w:marTop w:val="0"/>
                                      <w:marBottom w:val="0"/>
                                      <w:divBdr>
                                        <w:top w:val="none" w:sz="0" w:space="0" w:color="auto"/>
                                        <w:left w:val="none" w:sz="0" w:space="0" w:color="auto"/>
                                        <w:bottom w:val="none" w:sz="0" w:space="0" w:color="auto"/>
                                        <w:right w:val="none" w:sz="0" w:space="0" w:color="auto"/>
                                      </w:divBdr>
                                      <w:divsChild>
                                        <w:div w:id="943029779">
                                          <w:marLeft w:val="0"/>
                                          <w:marRight w:val="0"/>
                                          <w:marTop w:val="0"/>
                                          <w:marBottom w:val="0"/>
                                          <w:divBdr>
                                            <w:top w:val="none" w:sz="0" w:space="0" w:color="auto"/>
                                            <w:left w:val="none" w:sz="0" w:space="0" w:color="auto"/>
                                            <w:bottom w:val="none" w:sz="0" w:space="0" w:color="auto"/>
                                            <w:right w:val="none" w:sz="0" w:space="0" w:color="auto"/>
                                          </w:divBdr>
                                          <w:divsChild>
                                            <w:div w:id="2014452776">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
                                                <w:div w:id="527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205976">
      <w:bodyDiv w:val="1"/>
      <w:marLeft w:val="0"/>
      <w:marRight w:val="0"/>
      <w:marTop w:val="0"/>
      <w:marBottom w:val="0"/>
      <w:divBdr>
        <w:top w:val="none" w:sz="0" w:space="0" w:color="auto"/>
        <w:left w:val="none" w:sz="0" w:space="0" w:color="auto"/>
        <w:bottom w:val="none" w:sz="0" w:space="0" w:color="auto"/>
        <w:right w:val="none" w:sz="0" w:space="0" w:color="auto"/>
      </w:divBdr>
      <w:divsChild>
        <w:div w:id="307590940">
          <w:marLeft w:val="0"/>
          <w:marRight w:val="0"/>
          <w:marTop w:val="0"/>
          <w:marBottom w:val="0"/>
          <w:divBdr>
            <w:top w:val="none" w:sz="0" w:space="0" w:color="auto"/>
            <w:left w:val="none" w:sz="0" w:space="0" w:color="auto"/>
            <w:bottom w:val="none" w:sz="0" w:space="0" w:color="auto"/>
            <w:right w:val="none" w:sz="0" w:space="0" w:color="auto"/>
          </w:divBdr>
          <w:divsChild>
            <w:div w:id="2125465177">
              <w:marLeft w:val="0"/>
              <w:marRight w:val="0"/>
              <w:marTop w:val="0"/>
              <w:marBottom w:val="0"/>
              <w:divBdr>
                <w:top w:val="none" w:sz="0" w:space="0" w:color="auto"/>
                <w:left w:val="none" w:sz="0" w:space="0" w:color="auto"/>
                <w:bottom w:val="none" w:sz="0" w:space="0" w:color="auto"/>
                <w:right w:val="none" w:sz="0" w:space="0" w:color="auto"/>
              </w:divBdr>
              <w:divsChild>
                <w:div w:id="582225267">
                  <w:marLeft w:val="0"/>
                  <w:marRight w:val="0"/>
                  <w:marTop w:val="0"/>
                  <w:marBottom w:val="0"/>
                  <w:divBdr>
                    <w:top w:val="none" w:sz="0" w:space="0" w:color="auto"/>
                    <w:left w:val="none" w:sz="0" w:space="0" w:color="auto"/>
                    <w:bottom w:val="none" w:sz="0" w:space="0" w:color="auto"/>
                    <w:right w:val="none" w:sz="0" w:space="0" w:color="auto"/>
                  </w:divBdr>
                  <w:divsChild>
                    <w:div w:id="1083181304">
                      <w:marLeft w:val="0"/>
                      <w:marRight w:val="0"/>
                      <w:marTop w:val="0"/>
                      <w:marBottom w:val="0"/>
                      <w:divBdr>
                        <w:top w:val="none" w:sz="0" w:space="0" w:color="auto"/>
                        <w:left w:val="none" w:sz="0" w:space="0" w:color="auto"/>
                        <w:bottom w:val="none" w:sz="0" w:space="0" w:color="auto"/>
                        <w:right w:val="none" w:sz="0" w:space="0" w:color="auto"/>
                      </w:divBdr>
                      <w:divsChild>
                        <w:div w:id="582106425">
                          <w:marLeft w:val="0"/>
                          <w:marRight w:val="0"/>
                          <w:marTop w:val="0"/>
                          <w:marBottom w:val="0"/>
                          <w:divBdr>
                            <w:top w:val="none" w:sz="0" w:space="0" w:color="auto"/>
                            <w:left w:val="none" w:sz="0" w:space="0" w:color="auto"/>
                            <w:bottom w:val="none" w:sz="0" w:space="0" w:color="auto"/>
                            <w:right w:val="none" w:sz="0" w:space="0" w:color="auto"/>
                          </w:divBdr>
                          <w:divsChild>
                            <w:div w:id="831724413">
                              <w:marLeft w:val="0"/>
                              <w:marRight w:val="0"/>
                              <w:marTop w:val="0"/>
                              <w:marBottom w:val="0"/>
                              <w:divBdr>
                                <w:top w:val="none" w:sz="0" w:space="0" w:color="auto"/>
                                <w:left w:val="none" w:sz="0" w:space="0" w:color="auto"/>
                                <w:bottom w:val="none" w:sz="0" w:space="0" w:color="auto"/>
                                <w:right w:val="none" w:sz="0" w:space="0" w:color="auto"/>
                              </w:divBdr>
                              <w:divsChild>
                                <w:div w:id="1582176022">
                                  <w:marLeft w:val="0"/>
                                  <w:marRight w:val="0"/>
                                  <w:marTop w:val="0"/>
                                  <w:marBottom w:val="0"/>
                                  <w:divBdr>
                                    <w:top w:val="none" w:sz="0" w:space="0" w:color="auto"/>
                                    <w:left w:val="none" w:sz="0" w:space="0" w:color="auto"/>
                                    <w:bottom w:val="none" w:sz="0" w:space="0" w:color="auto"/>
                                    <w:right w:val="none" w:sz="0" w:space="0" w:color="auto"/>
                                  </w:divBdr>
                                  <w:divsChild>
                                    <w:div w:id="820272070">
                                      <w:marLeft w:val="0"/>
                                      <w:marRight w:val="0"/>
                                      <w:marTop w:val="0"/>
                                      <w:marBottom w:val="0"/>
                                      <w:divBdr>
                                        <w:top w:val="none" w:sz="0" w:space="0" w:color="auto"/>
                                        <w:left w:val="none" w:sz="0" w:space="0" w:color="auto"/>
                                        <w:bottom w:val="none" w:sz="0" w:space="0" w:color="auto"/>
                                        <w:right w:val="none" w:sz="0" w:space="0" w:color="auto"/>
                                      </w:divBdr>
                                      <w:divsChild>
                                        <w:div w:id="743844504">
                                          <w:marLeft w:val="0"/>
                                          <w:marRight w:val="0"/>
                                          <w:marTop w:val="0"/>
                                          <w:marBottom w:val="0"/>
                                          <w:divBdr>
                                            <w:top w:val="none" w:sz="0" w:space="0" w:color="auto"/>
                                            <w:left w:val="none" w:sz="0" w:space="0" w:color="auto"/>
                                            <w:bottom w:val="none" w:sz="0" w:space="0" w:color="auto"/>
                                            <w:right w:val="none" w:sz="0" w:space="0" w:color="auto"/>
                                          </w:divBdr>
                                          <w:divsChild>
                                            <w:div w:id="644159694">
                                              <w:marLeft w:val="0"/>
                                              <w:marRight w:val="0"/>
                                              <w:marTop w:val="0"/>
                                              <w:marBottom w:val="0"/>
                                              <w:divBdr>
                                                <w:top w:val="none" w:sz="0" w:space="0" w:color="auto"/>
                                                <w:left w:val="none" w:sz="0" w:space="0" w:color="auto"/>
                                                <w:bottom w:val="none" w:sz="0" w:space="0" w:color="auto"/>
                                                <w:right w:val="none" w:sz="0" w:space="0" w:color="auto"/>
                                              </w:divBdr>
                                              <w:divsChild>
                                                <w:div w:id="1965496192">
                                                  <w:marLeft w:val="0"/>
                                                  <w:marRight w:val="0"/>
                                                  <w:marTop w:val="225"/>
                                                  <w:marBottom w:val="300"/>
                                                  <w:divBdr>
                                                    <w:top w:val="none" w:sz="0" w:space="0" w:color="auto"/>
                                                    <w:left w:val="none" w:sz="0" w:space="0" w:color="auto"/>
                                                    <w:bottom w:val="none" w:sz="0" w:space="0" w:color="auto"/>
                                                    <w:right w:val="none" w:sz="0" w:space="0" w:color="auto"/>
                                                  </w:divBdr>
                                                  <w:divsChild>
                                                    <w:div w:id="813329669">
                                                      <w:marLeft w:val="0"/>
                                                      <w:marRight w:val="0"/>
                                                      <w:marTop w:val="0"/>
                                                      <w:marBottom w:val="30"/>
                                                      <w:divBdr>
                                                        <w:top w:val="single" w:sz="6" w:space="0" w:color="E5E5E5"/>
                                                        <w:left w:val="single" w:sz="6" w:space="0" w:color="E5E5E5"/>
                                                        <w:bottom w:val="single" w:sz="6" w:space="0" w:color="E5E5E5"/>
                                                        <w:right w:val="single" w:sz="6" w:space="0" w:color="E5E5E5"/>
                                                      </w:divBdr>
                                                      <w:divsChild>
                                                        <w:div w:id="182014536">
                                                          <w:marLeft w:val="0"/>
                                                          <w:marRight w:val="0"/>
                                                          <w:marTop w:val="0"/>
                                                          <w:marBottom w:val="0"/>
                                                          <w:divBdr>
                                                            <w:top w:val="none" w:sz="0" w:space="0" w:color="auto"/>
                                                            <w:left w:val="none" w:sz="0" w:space="0" w:color="auto"/>
                                                            <w:bottom w:val="none" w:sz="0" w:space="0" w:color="auto"/>
                                                            <w:right w:val="none" w:sz="0" w:space="0" w:color="auto"/>
                                                          </w:divBdr>
                                                        </w:div>
                                                        <w:div w:id="487749725">
                                                          <w:marLeft w:val="0"/>
                                                          <w:marRight w:val="0"/>
                                                          <w:marTop w:val="0"/>
                                                          <w:marBottom w:val="0"/>
                                                          <w:divBdr>
                                                            <w:top w:val="none" w:sz="0" w:space="0" w:color="auto"/>
                                                            <w:left w:val="none" w:sz="0" w:space="0" w:color="auto"/>
                                                            <w:bottom w:val="none" w:sz="0" w:space="0" w:color="auto"/>
                                                            <w:right w:val="none" w:sz="0" w:space="0" w:color="auto"/>
                                                          </w:divBdr>
                                                          <w:divsChild>
                                                            <w:div w:id="10197456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836218">
      <w:bodyDiv w:val="1"/>
      <w:marLeft w:val="0"/>
      <w:marRight w:val="0"/>
      <w:marTop w:val="0"/>
      <w:marBottom w:val="0"/>
      <w:divBdr>
        <w:top w:val="none" w:sz="0" w:space="0" w:color="auto"/>
        <w:left w:val="none" w:sz="0" w:space="0" w:color="auto"/>
        <w:bottom w:val="none" w:sz="0" w:space="0" w:color="auto"/>
        <w:right w:val="none" w:sz="0" w:space="0" w:color="auto"/>
      </w:divBdr>
      <w:divsChild>
        <w:div w:id="88476026">
          <w:marLeft w:val="0"/>
          <w:marRight w:val="0"/>
          <w:marTop w:val="0"/>
          <w:marBottom w:val="0"/>
          <w:divBdr>
            <w:top w:val="none" w:sz="0" w:space="0" w:color="auto"/>
            <w:left w:val="none" w:sz="0" w:space="0" w:color="auto"/>
            <w:bottom w:val="none" w:sz="0" w:space="0" w:color="auto"/>
            <w:right w:val="none" w:sz="0" w:space="0" w:color="auto"/>
          </w:divBdr>
          <w:divsChild>
            <w:div w:id="1175068097">
              <w:marLeft w:val="0"/>
              <w:marRight w:val="0"/>
              <w:marTop w:val="0"/>
              <w:marBottom w:val="0"/>
              <w:divBdr>
                <w:top w:val="none" w:sz="0" w:space="0" w:color="auto"/>
                <w:left w:val="none" w:sz="0" w:space="0" w:color="auto"/>
                <w:bottom w:val="none" w:sz="0" w:space="0" w:color="auto"/>
                <w:right w:val="none" w:sz="0" w:space="0" w:color="auto"/>
              </w:divBdr>
              <w:divsChild>
                <w:div w:id="885337360">
                  <w:marLeft w:val="0"/>
                  <w:marRight w:val="0"/>
                  <w:marTop w:val="0"/>
                  <w:marBottom w:val="0"/>
                  <w:divBdr>
                    <w:top w:val="none" w:sz="0" w:space="0" w:color="auto"/>
                    <w:left w:val="none" w:sz="0" w:space="0" w:color="auto"/>
                    <w:bottom w:val="none" w:sz="0" w:space="0" w:color="auto"/>
                    <w:right w:val="none" w:sz="0" w:space="0" w:color="auto"/>
                  </w:divBdr>
                  <w:divsChild>
                    <w:div w:id="6635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8238">
      <w:bodyDiv w:val="1"/>
      <w:marLeft w:val="0"/>
      <w:marRight w:val="0"/>
      <w:marTop w:val="0"/>
      <w:marBottom w:val="0"/>
      <w:divBdr>
        <w:top w:val="none" w:sz="0" w:space="0" w:color="auto"/>
        <w:left w:val="none" w:sz="0" w:space="0" w:color="auto"/>
        <w:bottom w:val="none" w:sz="0" w:space="0" w:color="auto"/>
        <w:right w:val="none" w:sz="0" w:space="0" w:color="auto"/>
      </w:divBdr>
      <w:divsChild>
        <w:div w:id="522062879">
          <w:marLeft w:val="0"/>
          <w:marRight w:val="0"/>
          <w:marTop w:val="0"/>
          <w:marBottom w:val="0"/>
          <w:divBdr>
            <w:top w:val="none" w:sz="0" w:space="0" w:color="auto"/>
            <w:left w:val="none" w:sz="0" w:space="0" w:color="auto"/>
            <w:bottom w:val="none" w:sz="0" w:space="0" w:color="auto"/>
            <w:right w:val="none" w:sz="0" w:space="0" w:color="auto"/>
          </w:divBdr>
          <w:divsChild>
            <w:div w:id="1901549084">
              <w:marLeft w:val="0"/>
              <w:marRight w:val="0"/>
              <w:marTop w:val="0"/>
              <w:marBottom w:val="0"/>
              <w:divBdr>
                <w:top w:val="none" w:sz="0" w:space="0" w:color="auto"/>
                <w:left w:val="none" w:sz="0" w:space="0" w:color="auto"/>
                <w:bottom w:val="none" w:sz="0" w:space="0" w:color="auto"/>
                <w:right w:val="none" w:sz="0" w:space="0" w:color="auto"/>
              </w:divBdr>
              <w:divsChild>
                <w:div w:id="871040907">
                  <w:marLeft w:val="0"/>
                  <w:marRight w:val="0"/>
                  <w:marTop w:val="0"/>
                  <w:marBottom w:val="0"/>
                  <w:divBdr>
                    <w:top w:val="none" w:sz="0" w:space="0" w:color="auto"/>
                    <w:left w:val="none" w:sz="0" w:space="0" w:color="auto"/>
                    <w:bottom w:val="none" w:sz="0" w:space="0" w:color="auto"/>
                    <w:right w:val="none" w:sz="0" w:space="0" w:color="auto"/>
                  </w:divBdr>
                  <w:divsChild>
                    <w:div w:id="1598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273">
      <w:bodyDiv w:val="1"/>
      <w:marLeft w:val="0"/>
      <w:marRight w:val="0"/>
      <w:marTop w:val="0"/>
      <w:marBottom w:val="0"/>
      <w:divBdr>
        <w:top w:val="none" w:sz="0" w:space="0" w:color="auto"/>
        <w:left w:val="none" w:sz="0" w:space="0" w:color="auto"/>
        <w:bottom w:val="none" w:sz="0" w:space="0" w:color="auto"/>
        <w:right w:val="none" w:sz="0" w:space="0" w:color="auto"/>
      </w:divBdr>
      <w:divsChild>
        <w:div w:id="1399980987">
          <w:marLeft w:val="0"/>
          <w:marRight w:val="0"/>
          <w:marTop w:val="0"/>
          <w:marBottom w:val="0"/>
          <w:divBdr>
            <w:top w:val="none" w:sz="0" w:space="0" w:color="auto"/>
            <w:left w:val="none" w:sz="0" w:space="0" w:color="auto"/>
            <w:bottom w:val="none" w:sz="0" w:space="0" w:color="auto"/>
            <w:right w:val="none" w:sz="0" w:space="0" w:color="auto"/>
          </w:divBdr>
          <w:divsChild>
            <w:div w:id="994601306">
              <w:marLeft w:val="0"/>
              <w:marRight w:val="0"/>
              <w:marTop w:val="0"/>
              <w:marBottom w:val="0"/>
              <w:divBdr>
                <w:top w:val="none" w:sz="0" w:space="0" w:color="auto"/>
                <w:left w:val="none" w:sz="0" w:space="0" w:color="auto"/>
                <w:bottom w:val="none" w:sz="0" w:space="0" w:color="auto"/>
                <w:right w:val="none" w:sz="0" w:space="0" w:color="auto"/>
              </w:divBdr>
              <w:divsChild>
                <w:div w:id="915473863">
                  <w:marLeft w:val="0"/>
                  <w:marRight w:val="0"/>
                  <w:marTop w:val="0"/>
                  <w:marBottom w:val="0"/>
                  <w:divBdr>
                    <w:top w:val="none" w:sz="0" w:space="0" w:color="auto"/>
                    <w:left w:val="none" w:sz="0" w:space="0" w:color="auto"/>
                    <w:bottom w:val="none" w:sz="0" w:space="0" w:color="auto"/>
                    <w:right w:val="none" w:sz="0" w:space="0" w:color="auto"/>
                  </w:divBdr>
                  <w:divsChild>
                    <w:div w:id="2132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5575">
      <w:bodyDiv w:val="1"/>
      <w:marLeft w:val="0"/>
      <w:marRight w:val="0"/>
      <w:marTop w:val="0"/>
      <w:marBottom w:val="0"/>
      <w:divBdr>
        <w:top w:val="none" w:sz="0" w:space="0" w:color="auto"/>
        <w:left w:val="none" w:sz="0" w:space="0" w:color="auto"/>
        <w:bottom w:val="none" w:sz="0" w:space="0" w:color="auto"/>
        <w:right w:val="none" w:sz="0" w:space="0" w:color="auto"/>
      </w:divBdr>
      <w:divsChild>
        <w:div w:id="1878618391">
          <w:marLeft w:val="0"/>
          <w:marRight w:val="0"/>
          <w:marTop w:val="0"/>
          <w:marBottom w:val="0"/>
          <w:divBdr>
            <w:top w:val="none" w:sz="0" w:space="0" w:color="auto"/>
            <w:left w:val="none" w:sz="0" w:space="0" w:color="auto"/>
            <w:bottom w:val="none" w:sz="0" w:space="0" w:color="auto"/>
            <w:right w:val="none" w:sz="0" w:space="0" w:color="auto"/>
          </w:divBdr>
          <w:divsChild>
            <w:div w:id="2036732769">
              <w:marLeft w:val="0"/>
              <w:marRight w:val="0"/>
              <w:marTop w:val="0"/>
              <w:marBottom w:val="0"/>
              <w:divBdr>
                <w:top w:val="none" w:sz="0" w:space="0" w:color="auto"/>
                <w:left w:val="none" w:sz="0" w:space="0" w:color="auto"/>
                <w:bottom w:val="none" w:sz="0" w:space="0" w:color="auto"/>
                <w:right w:val="none" w:sz="0" w:space="0" w:color="auto"/>
              </w:divBdr>
              <w:divsChild>
                <w:div w:id="2035885445">
                  <w:marLeft w:val="0"/>
                  <w:marRight w:val="0"/>
                  <w:marTop w:val="0"/>
                  <w:marBottom w:val="0"/>
                  <w:divBdr>
                    <w:top w:val="none" w:sz="0" w:space="0" w:color="auto"/>
                    <w:left w:val="none" w:sz="0" w:space="0" w:color="auto"/>
                    <w:bottom w:val="none" w:sz="0" w:space="0" w:color="auto"/>
                    <w:right w:val="none" w:sz="0" w:space="0" w:color="auto"/>
                  </w:divBdr>
                  <w:divsChild>
                    <w:div w:id="1650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991">
      <w:bodyDiv w:val="1"/>
      <w:marLeft w:val="0"/>
      <w:marRight w:val="0"/>
      <w:marTop w:val="0"/>
      <w:marBottom w:val="0"/>
      <w:divBdr>
        <w:top w:val="none" w:sz="0" w:space="0" w:color="auto"/>
        <w:left w:val="none" w:sz="0" w:space="0" w:color="auto"/>
        <w:bottom w:val="none" w:sz="0" w:space="0" w:color="auto"/>
        <w:right w:val="none" w:sz="0" w:space="0" w:color="auto"/>
      </w:divBdr>
      <w:divsChild>
        <w:div w:id="839854264">
          <w:marLeft w:val="0"/>
          <w:marRight w:val="0"/>
          <w:marTop w:val="0"/>
          <w:marBottom w:val="0"/>
          <w:divBdr>
            <w:top w:val="none" w:sz="0" w:space="0" w:color="auto"/>
            <w:left w:val="none" w:sz="0" w:space="0" w:color="auto"/>
            <w:bottom w:val="none" w:sz="0" w:space="0" w:color="auto"/>
            <w:right w:val="none" w:sz="0" w:space="0" w:color="auto"/>
          </w:divBdr>
          <w:divsChild>
            <w:div w:id="889653033">
              <w:marLeft w:val="0"/>
              <w:marRight w:val="0"/>
              <w:marTop w:val="0"/>
              <w:marBottom w:val="0"/>
              <w:divBdr>
                <w:top w:val="none" w:sz="0" w:space="0" w:color="auto"/>
                <w:left w:val="none" w:sz="0" w:space="0" w:color="auto"/>
                <w:bottom w:val="none" w:sz="0" w:space="0" w:color="auto"/>
                <w:right w:val="none" w:sz="0" w:space="0" w:color="auto"/>
              </w:divBdr>
              <w:divsChild>
                <w:div w:id="1981614726">
                  <w:marLeft w:val="0"/>
                  <w:marRight w:val="0"/>
                  <w:marTop w:val="0"/>
                  <w:marBottom w:val="0"/>
                  <w:divBdr>
                    <w:top w:val="none" w:sz="0" w:space="0" w:color="auto"/>
                    <w:left w:val="none" w:sz="0" w:space="0" w:color="auto"/>
                    <w:bottom w:val="none" w:sz="0" w:space="0" w:color="auto"/>
                    <w:right w:val="none" w:sz="0" w:space="0" w:color="auto"/>
                  </w:divBdr>
                  <w:divsChild>
                    <w:div w:id="494301622">
                      <w:marLeft w:val="0"/>
                      <w:marRight w:val="0"/>
                      <w:marTop w:val="0"/>
                      <w:marBottom w:val="0"/>
                      <w:divBdr>
                        <w:top w:val="none" w:sz="0" w:space="0" w:color="auto"/>
                        <w:left w:val="none" w:sz="0" w:space="0" w:color="auto"/>
                        <w:bottom w:val="none" w:sz="0" w:space="0" w:color="auto"/>
                        <w:right w:val="none" w:sz="0" w:space="0" w:color="auto"/>
                      </w:divBdr>
                      <w:divsChild>
                        <w:div w:id="669605211">
                          <w:marLeft w:val="0"/>
                          <w:marRight w:val="0"/>
                          <w:marTop w:val="0"/>
                          <w:marBottom w:val="0"/>
                          <w:divBdr>
                            <w:top w:val="none" w:sz="0" w:space="0" w:color="auto"/>
                            <w:left w:val="none" w:sz="0" w:space="0" w:color="auto"/>
                            <w:bottom w:val="none" w:sz="0" w:space="0" w:color="auto"/>
                            <w:right w:val="none" w:sz="0" w:space="0" w:color="auto"/>
                          </w:divBdr>
                          <w:divsChild>
                            <w:div w:id="419058421">
                              <w:marLeft w:val="0"/>
                              <w:marRight w:val="0"/>
                              <w:marTop w:val="0"/>
                              <w:marBottom w:val="0"/>
                              <w:divBdr>
                                <w:top w:val="none" w:sz="0" w:space="0" w:color="auto"/>
                                <w:left w:val="none" w:sz="0" w:space="0" w:color="auto"/>
                                <w:bottom w:val="none" w:sz="0" w:space="0" w:color="auto"/>
                                <w:right w:val="none" w:sz="0" w:space="0" w:color="auto"/>
                              </w:divBdr>
                              <w:divsChild>
                                <w:div w:id="365760006">
                                  <w:marLeft w:val="0"/>
                                  <w:marRight w:val="0"/>
                                  <w:marTop w:val="0"/>
                                  <w:marBottom w:val="0"/>
                                  <w:divBdr>
                                    <w:top w:val="none" w:sz="0" w:space="0" w:color="auto"/>
                                    <w:left w:val="none" w:sz="0" w:space="0" w:color="auto"/>
                                    <w:bottom w:val="none" w:sz="0" w:space="0" w:color="auto"/>
                                    <w:right w:val="none" w:sz="0" w:space="0" w:color="auto"/>
                                  </w:divBdr>
                                  <w:divsChild>
                                    <w:div w:id="625963297">
                                      <w:marLeft w:val="0"/>
                                      <w:marRight w:val="0"/>
                                      <w:marTop w:val="0"/>
                                      <w:marBottom w:val="0"/>
                                      <w:divBdr>
                                        <w:top w:val="none" w:sz="0" w:space="0" w:color="auto"/>
                                        <w:left w:val="none" w:sz="0" w:space="0" w:color="auto"/>
                                        <w:bottom w:val="none" w:sz="0" w:space="0" w:color="auto"/>
                                        <w:right w:val="none" w:sz="0" w:space="0" w:color="auto"/>
                                      </w:divBdr>
                                      <w:divsChild>
                                        <w:div w:id="694428542">
                                          <w:marLeft w:val="0"/>
                                          <w:marRight w:val="0"/>
                                          <w:marTop w:val="0"/>
                                          <w:marBottom w:val="0"/>
                                          <w:divBdr>
                                            <w:top w:val="none" w:sz="0" w:space="0" w:color="auto"/>
                                            <w:left w:val="none" w:sz="0" w:space="0" w:color="auto"/>
                                            <w:bottom w:val="none" w:sz="0" w:space="0" w:color="auto"/>
                                            <w:right w:val="none" w:sz="0" w:space="0" w:color="auto"/>
                                          </w:divBdr>
                                          <w:divsChild>
                                            <w:div w:id="276789711">
                                              <w:marLeft w:val="0"/>
                                              <w:marRight w:val="0"/>
                                              <w:marTop w:val="0"/>
                                              <w:marBottom w:val="0"/>
                                              <w:divBdr>
                                                <w:top w:val="none" w:sz="0" w:space="0" w:color="auto"/>
                                                <w:left w:val="none" w:sz="0" w:space="0" w:color="auto"/>
                                                <w:bottom w:val="none" w:sz="0" w:space="0" w:color="auto"/>
                                                <w:right w:val="none" w:sz="0" w:space="0" w:color="auto"/>
                                              </w:divBdr>
                                              <w:divsChild>
                                                <w:div w:id="1406493850">
                                                  <w:marLeft w:val="0"/>
                                                  <w:marRight w:val="0"/>
                                                  <w:marTop w:val="225"/>
                                                  <w:marBottom w:val="300"/>
                                                  <w:divBdr>
                                                    <w:top w:val="none" w:sz="0" w:space="0" w:color="auto"/>
                                                    <w:left w:val="none" w:sz="0" w:space="0" w:color="auto"/>
                                                    <w:bottom w:val="none" w:sz="0" w:space="0" w:color="auto"/>
                                                    <w:right w:val="none" w:sz="0" w:space="0" w:color="auto"/>
                                                  </w:divBdr>
                                                  <w:divsChild>
                                                    <w:div w:id="1182281807">
                                                      <w:marLeft w:val="0"/>
                                                      <w:marRight w:val="0"/>
                                                      <w:marTop w:val="0"/>
                                                      <w:marBottom w:val="30"/>
                                                      <w:divBdr>
                                                        <w:top w:val="single" w:sz="6" w:space="0" w:color="E5E5E5"/>
                                                        <w:left w:val="single" w:sz="6" w:space="0" w:color="E5E5E5"/>
                                                        <w:bottom w:val="single" w:sz="6" w:space="0" w:color="E5E5E5"/>
                                                        <w:right w:val="single" w:sz="6" w:space="0" w:color="E5E5E5"/>
                                                      </w:divBdr>
                                                      <w:divsChild>
                                                        <w:div w:id="264701477">
                                                          <w:marLeft w:val="0"/>
                                                          <w:marRight w:val="0"/>
                                                          <w:marTop w:val="0"/>
                                                          <w:marBottom w:val="0"/>
                                                          <w:divBdr>
                                                            <w:top w:val="none" w:sz="0" w:space="0" w:color="auto"/>
                                                            <w:left w:val="none" w:sz="0" w:space="0" w:color="auto"/>
                                                            <w:bottom w:val="none" w:sz="0" w:space="0" w:color="auto"/>
                                                            <w:right w:val="none" w:sz="0" w:space="0" w:color="auto"/>
                                                          </w:divBdr>
                                                        </w:div>
                                                        <w:div w:id="2023319107">
                                                          <w:marLeft w:val="0"/>
                                                          <w:marRight w:val="0"/>
                                                          <w:marTop w:val="0"/>
                                                          <w:marBottom w:val="0"/>
                                                          <w:divBdr>
                                                            <w:top w:val="none" w:sz="0" w:space="0" w:color="auto"/>
                                                            <w:left w:val="none" w:sz="0" w:space="0" w:color="auto"/>
                                                            <w:bottom w:val="none" w:sz="0" w:space="0" w:color="auto"/>
                                                            <w:right w:val="none" w:sz="0" w:space="0" w:color="auto"/>
                                                          </w:divBdr>
                                                          <w:divsChild>
                                                            <w:div w:id="138054755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86184">
      <w:bodyDiv w:val="1"/>
      <w:marLeft w:val="0"/>
      <w:marRight w:val="0"/>
      <w:marTop w:val="0"/>
      <w:marBottom w:val="0"/>
      <w:divBdr>
        <w:top w:val="none" w:sz="0" w:space="0" w:color="auto"/>
        <w:left w:val="none" w:sz="0" w:space="0" w:color="auto"/>
        <w:bottom w:val="none" w:sz="0" w:space="0" w:color="auto"/>
        <w:right w:val="none" w:sz="0" w:space="0" w:color="auto"/>
      </w:divBdr>
      <w:divsChild>
        <w:div w:id="194465625">
          <w:marLeft w:val="0"/>
          <w:marRight w:val="0"/>
          <w:marTop w:val="0"/>
          <w:marBottom w:val="0"/>
          <w:divBdr>
            <w:top w:val="none" w:sz="0" w:space="0" w:color="auto"/>
            <w:left w:val="none" w:sz="0" w:space="0" w:color="auto"/>
            <w:bottom w:val="none" w:sz="0" w:space="0" w:color="auto"/>
            <w:right w:val="none" w:sz="0" w:space="0" w:color="auto"/>
          </w:divBdr>
          <w:divsChild>
            <w:div w:id="1321348803">
              <w:marLeft w:val="0"/>
              <w:marRight w:val="0"/>
              <w:marTop w:val="0"/>
              <w:marBottom w:val="0"/>
              <w:divBdr>
                <w:top w:val="none" w:sz="0" w:space="0" w:color="auto"/>
                <w:left w:val="none" w:sz="0" w:space="0" w:color="auto"/>
                <w:bottom w:val="none" w:sz="0" w:space="0" w:color="auto"/>
                <w:right w:val="none" w:sz="0" w:space="0" w:color="auto"/>
              </w:divBdr>
              <w:divsChild>
                <w:div w:id="26682930">
                  <w:marLeft w:val="0"/>
                  <w:marRight w:val="0"/>
                  <w:marTop w:val="0"/>
                  <w:marBottom w:val="0"/>
                  <w:divBdr>
                    <w:top w:val="none" w:sz="0" w:space="0" w:color="auto"/>
                    <w:left w:val="none" w:sz="0" w:space="0" w:color="auto"/>
                    <w:bottom w:val="none" w:sz="0" w:space="0" w:color="auto"/>
                    <w:right w:val="none" w:sz="0" w:space="0" w:color="auto"/>
                  </w:divBdr>
                  <w:divsChild>
                    <w:div w:id="690692869">
                      <w:marLeft w:val="0"/>
                      <w:marRight w:val="0"/>
                      <w:marTop w:val="0"/>
                      <w:marBottom w:val="0"/>
                      <w:divBdr>
                        <w:top w:val="none" w:sz="0" w:space="0" w:color="auto"/>
                        <w:left w:val="none" w:sz="0" w:space="0" w:color="auto"/>
                        <w:bottom w:val="none" w:sz="0" w:space="0" w:color="auto"/>
                        <w:right w:val="none" w:sz="0" w:space="0" w:color="auto"/>
                      </w:divBdr>
                      <w:divsChild>
                        <w:div w:id="1295139355">
                          <w:marLeft w:val="0"/>
                          <w:marRight w:val="0"/>
                          <w:marTop w:val="0"/>
                          <w:marBottom w:val="0"/>
                          <w:divBdr>
                            <w:top w:val="none" w:sz="0" w:space="0" w:color="auto"/>
                            <w:left w:val="none" w:sz="0" w:space="0" w:color="auto"/>
                            <w:bottom w:val="none" w:sz="0" w:space="0" w:color="auto"/>
                            <w:right w:val="none" w:sz="0" w:space="0" w:color="auto"/>
                          </w:divBdr>
                          <w:divsChild>
                            <w:div w:id="1309359524">
                              <w:marLeft w:val="0"/>
                              <w:marRight w:val="0"/>
                              <w:marTop w:val="0"/>
                              <w:marBottom w:val="0"/>
                              <w:divBdr>
                                <w:top w:val="none" w:sz="0" w:space="0" w:color="auto"/>
                                <w:left w:val="none" w:sz="0" w:space="0" w:color="auto"/>
                                <w:bottom w:val="none" w:sz="0" w:space="0" w:color="auto"/>
                                <w:right w:val="none" w:sz="0" w:space="0" w:color="auto"/>
                              </w:divBdr>
                              <w:divsChild>
                                <w:div w:id="409695382">
                                  <w:marLeft w:val="0"/>
                                  <w:marRight w:val="0"/>
                                  <w:marTop w:val="0"/>
                                  <w:marBottom w:val="0"/>
                                  <w:divBdr>
                                    <w:top w:val="none" w:sz="0" w:space="0" w:color="auto"/>
                                    <w:left w:val="none" w:sz="0" w:space="0" w:color="auto"/>
                                    <w:bottom w:val="none" w:sz="0" w:space="0" w:color="auto"/>
                                    <w:right w:val="none" w:sz="0" w:space="0" w:color="auto"/>
                                  </w:divBdr>
                                  <w:divsChild>
                                    <w:div w:id="1654488637">
                                      <w:marLeft w:val="0"/>
                                      <w:marRight w:val="0"/>
                                      <w:marTop w:val="0"/>
                                      <w:marBottom w:val="0"/>
                                      <w:divBdr>
                                        <w:top w:val="none" w:sz="0" w:space="0" w:color="auto"/>
                                        <w:left w:val="none" w:sz="0" w:space="0" w:color="auto"/>
                                        <w:bottom w:val="none" w:sz="0" w:space="0" w:color="auto"/>
                                        <w:right w:val="none" w:sz="0" w:space="0" w:color="auto"/>
                                      </w:divBdr>
                                      <w:divsChild>
                                        <w:div w:id="2008823744">
                                          <w:marLeft w:val="0"/>
                                          <w:marRight w:val="0"/>
                                          <w:marTop w:val="0"/>
                                          <w:marBottom w:val="0"/>
                                          <w:divBdr>
                                            <w:top w:val="none" w:sz="0" w:space="0" w:color="auto"/>
                                            <w:left w:val="none" w:sz="0" w:space="0" w:color="auto"/>
                                            <w:bottom w:val="none" w:sz="0" w:space="0" w:color="auto"/>
                                            <w:right w:val="none" w:sz="0" w:space="0" w:color="auto"/>
                                          </w:divBdr>
                                          <w:divsChild>
                                            <w:div w:id="840852967">
                                              <w:marLeft w:val="0"/>
                                              <w:marRight w:val="0"/>
                                              <w:marTop w:val="0"/>
                                              <w:marBottom w:val="0"/>
                                              <w:divBdr>
                                                <w:top w:val="none" w:sz="0" w:space="0" w:color="auto"/>
                                                <w:left w:val="none" w:sz="0" w:space="0" w:color="auto"/>
                                                <w:bottom w:val="none" w:sz="0" w:space="0" w:color="auto"/>
                                                <w:right w:val="none" w:sz="0" w:space="0" w:color="auto"/>
                                              </w:divBdr>
                                              <w:divsChild>
                                                <w:div w:id="691958076">
                                                  <w:marLeft w:val="0"/>
                                                  <w:marRight w:val="0"/>
                                                  <w:marTop w:val="225"/>
                                                  <w:marBottom w:val="300"/>
                                                  <w:divBdr>
                                                    <w:top w:val="none" w:sz="0" w:space="0" w:color="auto"/>
                                                    <w:left w:val="none" w:sz="0" w:space="0" w:color="auto"/>
                                                    <w:bottom w:val="none" w:sz="0" w:space="0" w:color="auto"/>
                                                    <w:right w:val="none" w:sz="0" w:space="0" w:color="auto"/>
                                                  </w:divBdr>
                                                  <w:divsChild>
                                                    <w:div w:id="741830458">
                                                      <w:marLeft w:val="0"/>
                                                      <w:marRight w:val="0"/>
                                                      <w:marTop w:val="0"/>
                                                      <w:marBottom w:val="30"/>
                                                      <w:divBdr>
                                                        <w:top w:val="single" w:sz="6" w:space="0" w:color="E5E5E5"/>
                                                        <w:left w:val="single" w:sz="6" w:space="0" w:color="E5E5E5"/>
                                                        <w:bottom w:val="single" w:sz="6" w:space="0" w:color="E5E5E5"/>
                                                        <w:right w:val="single" w:sz="6" w:space="0" w:color="E5E5E5"/>
                                                      </w:divBdr>
                                                      <w:divsChild>
                                                        <w:div w:id="427048957">
                                                          <w:marLeft w:val="0"/>
                                                          <w:marRight w:val="0"/>
                                                          <w:marTop w:val="0"/>
                                                          <w:marBottom w:val="0"/>
                                                          <w:divBdr>
                                                            <w:top w:val="none" w:sz="0" w:space="0" w:color="auto"/>
                                                            <w:left w:val="none" w:sz="0" w:space="0" w:color="auto"/>
                                                            <w:bottom w:val="none" w:sz="0" w:space="0" w:color="auto"/>
                                                            <w:right w:val="none" w:sz="0" w:space="0" w:color="auto"/>
                                                          </w:divBdr>
                                                        </w:div>
                                                        <w:div w:id="1630356329">
                                                          <w:marLeft w:val="0"/>
                                                          <w:marRight w:val="0"/>
                                                          <w:marTop w:val="0"/>
                                                          <w:marBottom w:val="0"/>
                                                          <w:divBdr>
                                                            <w:top w:val="none" w:sz="0" w:space="0" w:color="auto"/>
                                                            <w:left w:val="none" w:sz="0" w:space="0" w:color="auto"/>
                                                            <w:bottom w:val="none" w:sz="0" w:space="0" w:color="auto"/>
                                                            <w:right w:val="none" w:sz="0" w:space="0" w:color="auto"/>
                                                          </w:divBdr>
                                                          <w:divsChild>
                                                            <w:div w:id="184019572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738252">
      <w:bodyDiv w:val="1"/>
      <w:marLeft w:val="0"/>
      <w:marRight w:val="0"/>
      <w:marTop w:val="0"/>
      <w:marBottom w:val="0"/>
      <w:divBdr>
        <w:top w:val="none" w:sz="0" w:space="0" w:color="auto"/>
        <w:left w:val="none" w:sz="0" w:space="0" w:color="auto"/>
        <w:bottom w:val="none" w:sz="0" w:space="0" w:color="auto"/>
        <w:right w:val="none" w:sz="0" w:space="0" w:color="auto"/>
      </w:divBdr>
      <w:divsChild>
        <w:div w:id="1929265474">
          <w:marLeft w:val="0"/>
          <w:marRight w:val="0"/>
          <w:marTop w:val="0"/>
          <w:marBottom w:val="0"/>
          <w:divBdr>
            <w:top w:val="none" w:sz="0" w:space="0" w:color="auto"/>
            <w:left w:val="none" w:sz="0" w:space="0" w:color="auto"/>
            <w:bottom w:val="none" w:sz="0" w:space="0" w:color="auto"/>
            <w:right w:val="none" w:sz="0" w:space="0" w:color="auto"/>
          </w:divBdr>
          <w:divsChild>
            <w:div w:id="1448543235">
              <w:marLeft w:val="0"/>
              <w:marRight w:val="0"/>
              <w:marTop w:val="0"/>
              <w:marBottom w:val="0"/>
              <w:divBdr>
                <w:top w:val="none" w:sz="0" w:space="0" w:color="auto"/>
                <w:left w:val="none" w:sz="0" w:space="0" w:color="auto"/>
                <w:bottom w:val="none" w:sz="0" w:space="0" w:color="auto"/>
                <w:right w:val="none" w:sz="0" w:space="0" w:color="auto"/>
              </w:divBdr>
              <w:divsChild>
                <w:div w:id="1844590608">
                  <w:marLeft w:val="0"/>
                  <w:marRight w:val="0"/>
                  <w:marTop w:val="0"/>
                  <w:marBottom w:val="0"/>
                  <w:divBdr>
                    <w:top w:val="none" w:sz="0" w:space="0" w:color="auto"/>
                    <w:left w:val="none" w:sz="0" w:space="0" w:color="auto"/>
                    <w:bottom w:val="none" w:sz="0" w:space="0" w:color="auto"/>
                    <w:right w:val="none" w:sz="0" w:space="0" w:color="auto"/>
                  </w:divBdr>
                  <w:divsChild>
                    <w:div w:id="17747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6418">
      <w:bodyDiv w:val="1"/>
      <w:marLeft w:val="0"/>
      <w:marRight w:val="0"/>
      <w:marTop w:val="0"/>
      <w:marBottom w:val="0"/>
      <w:divBdr>
        <w:top w:val="none" w:sz="0" w:space="0" w:color="auto"/>
        <w:left w:val="none" w:sz="0" w:space="0" w:color="auto"/>
        <w:bottom w:val="none" w:sz="0" w:space="0" w:color="auto"/>
        <w:right w:val="none" w:sz="0" w:space="0" w:color="auto"/>
      </w:divBdr>
      <w:divsChild>
        <w:div w:id="671102063">
          <w:marLeft w:val="0"/>
          <w:marRight w:val="0"/>
          <w:marTop w:val="0"/>
          <w:marBottom w:val="0"/>
          <w:divBdr>
            <w:top w:val="none" w:sz="0" w:space="0" w:color="auto"/>
            <w:left w:val="none" w:sz="0" w:space="0" w:color="auto"/>
            <w:bottom w:val="none" w:sz="0" w:space="0" w:color="auto"/>
            <w:right w:val="none" w:sz="0" w:space="0" w:color="auto"/>
          </w:divBdr>
          <w:divsChild>
            <w:div w:id="1833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932">
      <w:bodyDiv w:val="1"/>
      <w:marLeft w:val="0"/>
      <w:marRight w:val="0"/>
      <w:marTop w:val="0"/>
      <w:marBottom w:val="0"/>
      <w:divBdr>
        <w:top w:val="none" w:sz="0" w:space="0" w:color="auto"/>
        <w:left w:val="none" w:sz="0" w:space="0" w:color="auto"/>
        <w:bottom w:val="none" w:sz="0" w:space="0" w:color="auto"/>
        <w:right w:val="none" w:sz="0" w:space="0" w:color="auto"/>
      </w:divBdr>
      <w:divsChild>
        <w:div w:id="258101795">
          <w:marLeft w:val="0"/>
          <w:marRight w:val="0"/>
          <w:marTop w:val="0"/>
          <w:marBottom w:val="0"/>
          <w:divBdr>
            <w:top w:val="none" w:sz="0" w:space="0" w:color="auto"/>
            <w:left w:val="none" w:sz="0" w:space="0" w:color="auto"/>
            <w:bottom w:val="none" w:sz="0" w:space="0" w:color="auto"/>
            <w:right w:val="none" w:sz="0" w:space="0" w:color="auto"/>
          </w:divBdr>
          <w:divsChild>
            <w:div w:id="672297642">
              <w:marLeft w:val="0"/>
              <w:marRight w:val="0"/>
              <w:marTop w:val="0"/>
              <w:marBottom w:val="0"/>
              <w:divBdr>
                <w:top w:val="none" w:sz="0" w:space="0" w:color="auto"/>
                <w:left w:val="none" w:sz="0" w:space="0" w:color="auto"/>
                <w:bottom w:val="none" w:sz="0" w:space="0" w:color="auto"/>
                <w:right w:val="none" w:sz="0" w:space="0" w:color="auto"/>
              </w:divBdr>
              <w:divsChild>
                <w:div w:id="1300644933">
                  <w:marLeft w:val="0"/>
                  <w:marRight w:val="0"/>
                  <w:marTop w:val="0"/>
                  <w:marBottom w:val="0"/>
                  <w:divBdr>
                    <w:top w:val="none" w:sz="0" w:space="0" w:color="auto"/>
                    <w:left w:val="none" w:sz="0" w:space="0" w:color="auto"/>
                    <w:bottom w:val="none" w:sz="0" w:space="0" w:color="auto"/>
                    <w:right w:val="none" w:sz="0" w:space="0" w:color="auto"/>
                  </w:divBdr>
                  <w:divsChild>
                    <w:div w:id="1478037250">
                      <w:marLeft w:val="0"/>
                      <w:marRight w:val="0"/>
                      <w:marTop w:val="0"/>
                      <w:marBottom w:val="0"/>
                      <w:divBdr>
                        <w:top w:val="none" w:sz="0" w:space="0" w:color="auto"/>
                        <w:left w:val="none" w:sz="0" w:space="0" w:color="auto"/>
                        <w:bottom w:val="none" w:sz="0" w:space="0" w:color="auto"/>
                        <w:right w:val="none" w:sz="0" w:space="0" w:color="auto"/>
                      </w:divBdr>
                      <w:divsChild>
                        <w:div w:id="268239060">
                          <w:marLeft w:val="0"/>
                          <w:marRight w:val="0"/>
                          <w:marTop w:val="0"/>
                          <w:marBottom w:val="0"/>
                          <w:divBdr>
                            <w:top w:val="none" w:sz="0" w:space="0" w:color="auto"/>
                            <w:left w:val="none" w:sz="0" w:space="0" w:color="auto"/>
                            <w:bottom w:val="none" w:sz="0" w:space="0" w:color="auto"/>
                            <w:right w:val="none" w:sz="0" w:space="0" w:color="auto"/>
                          </w:divBdr>
                          <w:divsChild>
                            <w:div w:id="285012">
                              <w:marLeft w:val="0"/>
                              <w:marRight w:val="0"/>
                              <w:marTop w:val="0"/>
                              <w:marBottom w:val="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sChild>
                                    <w:div w:id="1505196713">
                                      <w:marLeft w:val="0"/>
                                      <w:marRight w:val="0"/>
                                      <w:marTop w:val="0"/>
                                      <w:marBottom w:val="0"/>
                                      <w:divBdr>
                                        <w:top w:val="none" w:sz="0" w:space="0" w:color="auto"/>
                                        <w:left w:val="none" w:sz="0" w:space="0" w:color="auto"/>
                                        <w:bottom w:val="none" w:sz="0" w:space="0" w:color="auto"/>
                                        <w:right w:val="none" w:sz="0" w:space="0" w:color="auto"/>
                                      </w:divBdr>
                                      <w:divsChild>
                                        <w:div w:id="2082483239">
                                          <w:marLeft w:val="0"/>
                                          <w:marRight w:val="0"/>
                                          <w:marTop w:val="0"/>
                                          <w:marBottom w:val="0"/>
                                          <w:divBdr>
                                            <w:top w:val="none" w:sz="0" w:space="0" w:color="auto"/>
                                            <w:left w:val="none" w:sz="0" w:space="0" w:color="auto"/>
                                            <w:bottom w:val="none" w:sz="0" w:space="0" w:color="auto"/>
                                            <w:right w:val="none" w:sz="0" w:space="0" w:color="auto"/>
                                          </w:divBdr>
                                          <w:divsChild>
                                            <w:div w:id="1246379059">
                                              <w:marLeft w:val="0"/>
                                              <w:marRight w:val="0"/>
                                              <w:marTop w:val="0"/>
                                              <w:marBottom w:val="0"/>
                                              <w:divBdr>
                                                <w:top w:val="none" w:sz="0" w:space="0" w:color="auto"/>
                                                <w:left w:val="none" w:sz="0" w:space="0" w:color="auto"/>
                                                <w:bottom w:val="none" w:sz="0" w:space="0" w:color="auto"/>
                                                <w:right w:val="none" w:sz="0" w:space="0" w:color="auto"/>
                                              </w:divBdr>
                                              <w:divsChild>
                                                <w:div w:id="965816802">
                                                  <w:marLeft w:val="0"/>
                                                  <w:marRight w:val="0"/>
                                                  <w:marTop w:val="225"/>
                                                  <w:marBottom w:val="300"/>
                                                  <w:divBdr>
                                                    <w:top w:val="none" w:sz="0" w:space="0" w:color="auto"/>
                                                    <w:left w:val="none" w:sz="0" w:space="0" w:color="auto"/>
                                                    <w:bottom w:val="none" w:sz="0" w:space="0" w:color="auto"/>
                                                    <w:right w:val="none" w:sz="0" w:space="0" w:color="auto"/>
                                                  </w:divBdr>
                                                  <w:divsChild>
                                                    <w:div w:id="121729660">
                                                      <w:marLeft w:val="0"/>
                                                      <w:marRight w:val="0"/>
                                                      <w:marTop w:val="0"/>
                                                      <w:marBottom w:val="30"/>
                                                      <w:divBdr>
                                                        <w:top w:val="single" w:sz="6" w:space="0" w:color="E5E5E5"/>
                                                        <w:left w:val="single" w:sz="6" w:space="0" w:color="E5E5E5"/>
                                                        <w:bottom w:val="single" w:sz="6" w:space="0" w:color="E5E5E5"/>
                                                        <w:right w:val="single" w:sz="6" w:space="0" w:color="E5E5E5"/>
                                                      </w:divBdr>
                                                      <w:divsChild>
                                                        <w:div w:id="359622613">
                                                          <w:marLeft w:val="0"/>
                                                          <w:marRight w:val="0"/>
                                                          <w:marTop w:val="0"/>
                                                          <w:marBottom w:val="0"/>
                                                          <w:divBdr>
                                                            <w:top w:val="none" w:sz="0" w:space="0" w:color="auto"/>
                                                            <w:left w:val="none" w:sz="0" w:space="0" w:color="auto"/>
                                                            <w:bottom w:val="none" w:sz="0" w:space="0" w:color="auto"/>
                                                            <w:right w:val="none" w:sz="0" w:space="0" w:color="auto"/>
                                                          </w:divBdr>
                                                        </w:div>
                                                        <w:div w:id="429358826">
                                                          <w:marLeft w:val="0"/>
                                                          <w:marRight w:val="0"/>
                                                          <w:marTop w:val="0"/>
                                                          <w:marBottom w:val="0"/>
                                                          <w:divBdr>
                                                            <w:top w:val="none" w:sz="0" w:space="0" w:color="auto"/>
                                                            <w:left w:val="none" w:sz="0" w:space="0" w:color="auto"/>
                                                            <w:bottom w:val="none" w:sz="0" w:space="0" w:color="auto"/>
                                                            <w:right w:val="none" w:sz="0" w:space="0" w:color="auto"/>
                                                          </w:divBdr>
                                                          <w:divsChild>
                                                            <w:div w:id="1331349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576386">
      <w:bodyDiv w:val="1"/>
      <w:marLeft w:val="0"/>
      <w:marRight w:val="0"/>
      <w:marTop w:val="0"/>
      <w:marBottom w:val="0"/>
      <w:divBdr>
        <w:top w:val="none" w:sz="0" w:space="0" w:color="auto"/>
        <w:left w:val="none" w:sz="0" w:space="0" w:color="auto"/>
        <w:bottom w:val="none" w:sz="0" w:space="0" w:color="auto"/>
        <w:right w:val="none" w:sz="0" w:space="0" w:color="auto"/>
      </w:divBdr>
      <w:divsChild>
        <w:div w:id="1535574778">
          <w:marLeft w:val="0"/>
          <w:marRight w:val="0"/>
          <w:marTop w:val="0"/>
          <w:marBottom w:val="0"/>
          <w:divBdr>
            <w:top w:val="none" w:sz="0" w:space="0" w:color="auto"/>
            <w:left w:val="none" w:sz="0" w:space="0" w:color="auto"/>
            <w:bottom w:val="none" w:sz="0" w:space="0" w:color="auto"/>
            <w:right w:val="none" w:sz="0" w:space="0" w:color="auto"/>
          </w:divBdr>
          <w:divsChild>
            <w:div w:id="1347824192">
              <w:marLeft w:val="0"/>
              <w:marRight w:val="0"/>
              <w:marTop w:val="0"/>
              <w:marBottom w:val="0"/>
              <w:divBdr>
                <w:top w:val="none" w:sz="0" w:space="0" w:color="auto"/>
                <w:left w:val="none" w:sz="0" w:space="0" w:color="auto"/>
                <w:bottom w:val="none" w:sz="0" w:space="0" w:color="auto"/>
                <w:right w:val="none" w:sz="0" w:space="0" w:color="auto"/>
              </w:divBdr>
              <w:divsChild>
                <w:div w:id="1193767786">
                  <w:marLeft w:val="0"/>
                  <w:marRight w:val="0"/>
                  <w:marTop w:val="0"/>
                  <w:marBottom w:val="0"/>
                  <w:divBdr>
                    <w:top w:val="none" w:sz="0" w:space="0" w:color="auto"/>
                    <w:left w:val="none" w:sz="0" w:space="0" w:color="auto"/>
                    <w:bottom w:val="none" w:sz="0" w:space="0" w:color="auto"/>
                    <w:right w:val="none" w:sz="0" w:space="0" w:color="auto"/>
                  </w:divBdr>
                  <w:divsChild>
                    <w:div w:id="6992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134">
      <w:bodyDiv w:val="1"/>
      <w:marLeft w:val="0"/>
      <w:marRight w:val="0"/>
      <w:marTop w:val="0"/>
      <w:marBottom w:val="0"/>
      <w:divBdr>
        <w:top w:val="none" w:sz="0" w:space="0" w:color="auto"/>
        <w:left w:val="none" w:sz="0" w:space="0" w:color="auto"/>
        <w:bottom w:val="none" w:sz="0" w:space="0" w:color="auto"/>
        <w:right w:val="none" w:sz="0" w:space="0" w:color="auto"/>
      </w:divBdr>
      <w:divsChild>
        <w:div w:id="341322689">
          <w:marLeft w:val="0"/>
          <w:marRight w:val="0"/>
          <w:marTop w:val="0"/>
          <w:marBottom w:val="0"/>
          <w:divBdr>
            <w:top w:val="none" w:sz="0" w:space="0" w:color="auto"/>
            <w:left w:val="none" w:sz="0" w:space="0" w:color="auto"/>
            <w:bottom w:val="none" w:sz="0" w:space="0" w:color="auto"/>
            <w:right w:val="none" w:sz="0" w:space="0" w:color="auto"/>
          </w:divBdr>
          <w:divsChild>
            <w:div w:id="1925870153">
              <w:marLeft w:val="0"/>
              <w:marRight w:val="0"/>
              <w:marTop w:val="0"/>
              <w:marBottom w:val="0"/>
              <w:divBdr>
                <w:top w:val="none" w:sz="0" w:space="0" w:color="auto"/>
                <w:left w:val="none" w:sz="0" w:space="0" w:color="auto"/>
                <w:bottom w:val="none" w:sz="0" w:space="0" w:color="auto"/>
                <w:right w:val="none" w:sz="0" w:space="0" w:color="auto"/>
              </w:divBdr>
              <w:divsChild>
                <w:div w:id="1933975620">
                  <w:marLeft w:val="0"/>
                  <w:marRight w:val="0"/>
                  <w:marTop w:val="0"/>
                  <w:marBottom w:val="0"/>
                  <w:divBdr>
                    <w:top w:val="none" w:sz="0" w:space="0" w:color="auto"/>
                    <w:left w:val="none" w:sz="0" w:space="0" w:color="auto"/>
                    <w:bottom w:val="none" w:sz="0" w:space="0" w:color="auto"/>
                    <w:right w:val="none" w:sz="0" w:space="0" w:color="auto"/>
                  </w:divBdr>
                  <w:divsChild>
                    <w:div w:id="1373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665">
      <w:bodyDiv w:val="1"/>
      <w:marLeft w:val="0"/>
      <w:marRight w:val="0"/>
      <w:marTop w:val="0"/>
      <w:marBottom w:val="0"/>
      <w:divBdr>
        <w:top w:val="none" w:sz="0" w:space="0" w:color="auto"/>
        <w:left w:val="none" w:sz="0" w:space="0" w:color="auto"/>
        <w:bottom w:val="none" w:sz="0" w:space="0" w:color="auto"/>
        <w:right w:val="none" w:sz="0" w:space="0" w:color="auto"/>
      </w:divBdr>
      <w:divsChild>
        <w:div w:id="1458375151">
          <w:marLeft w:val="0"/>
          <w:marRight w:val="0"/>
          <w:marTop w:val="0"/>
          <w:marBottom w:val="0"/>
          <w:divBdr>
            <w:top w:val="none" w:sz="0" w:space="0" w:color="auto"/>
            <w:left w:val="none" w:sz="0" w:space="0" w:color="auto"/>
            <w:bottom w:val="none" w:sz="0" w:space="0" w:color="auto"/>
            <w:right w:val="none" w:sz="0" w:space="0" w:color="auto"/>
          </w:divBdr>
          <w:divsChild>
            <w:div w:id="1444837250">
              <w:marLeft w:val="0"/>
              <w:marRight w:val="0"/>
              <w:marTop w:val="0"/>
              <w:marBottom w:val="0"/>
              <w:divBdr>
                <w:top w:val="none" w:sz="0" w:space="0" w:color="auto"/>
                <w:left w:val="none" w:sz="0" w:space="0" w:color="auto"/>
                <w:bottom w:val="none" w:sz="0" w:space="0" w:color="auto"/>
                <w:right w:val="none" w:sz="0" w:space="0" w:color="auto"/>
              </w:divBdr>
              <w:divsChild>
                <w:div w:id="22364837">
                  <w:marLeft w:val="0"/>
                  <w:marRight w:val="0"/>
                  <w:marTop w:val="0"/>
                  <w:marBottom w:val="0"/>
                  <w:divBdr>
                    <w:top w:val="none" w:sz="0" w:space="0" w:color="auto"/>
                    <w:left w:val="none" w:sz="0" w:space="0" w:color="auto"/>
                    <w:bottom w:val="none" w:sz="0" w:space="0" w:color="auto"/>
                    <w:right w:val="none" w:sz="0" w:space="0" w:color="auto"/>
                  </w:divBdr>
                  <w:divsChild>
                    <w:div w:id="1028287859">
                      <w:marLeft w:val="-300"/>
                      <w:marRight w:val="0"/>
                      <w:marTop w:val="0"/>
                      <w:marBottom w:val="0"/>
                      <w:divBdr>
                        <w:top w:val="none" w:sz="0" w:space="0" w:color="auto"/>
                        <w:left w:val="none" w:sz="0" w:space="0" w:color="auto"/>
                        <w:bottom w:val="none" w:sz="0" w:space="0" w:color="auto"/>
                        <w:right w:val="none" w:sz="0" w:space="0" w:color="auto"/>
                      </w:divBdr>
                      <w:divsChild>
                        <w:div w:id="17434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09382">
      <w:bodyDiv w:val="1"/>
      <w:marLeft w:val="0"/>
      <w:marRight w:val="0"/>
      <w:marTop w:val="0"/>
      <w:marBottom w:val="0"/>
      <w:divBdr>
        <w:top w:val="none" w:sz="0" w:space="0" w:color="auto"/>
        <w:left w:val="none" w:sz="0" w:space="0" w:color="auto"/>
        <w:bottom w:val="none" w:sz="0" w:space="0" w:color="auto"/>
        <w:right w:val="none" w:sz="0" w:space="0" w:color="auto"/>
      </w:divBdr>
      <w:divsChild>
        <w:div w:id="17895109">
          <w:marLeft w:val="0"/>
          <w:marRight w:val="0"/>
          <w:marTop w:val="0"/>
          <w:marBottom w:val="0"/>
          <w:divBdr>
            <w:top w:val="none" w:sz="0" w:space="0" w:color="auto"/>
            <w:left w:val="none" w:sz="0" w:space="0" w:color="auto"/>
            <w:bottom w:val="none" w:sz="0" w:space="0" w:color="auto"/>
            <w:right w:val="none" w:sz="0" w:space="0" w:color="auto"/>
          </w:divBdr>
          <w:divsChild>
            <w:div w:id="1951934850">
              <w:marLeft w:val="0"/>
              <w:marRight w:val="0"/>
              <w:marTop w:val="0"/>
              <w:marBottom w:val="0"/>
              <w:divBdr>
                <w:top w:val="none" w:sz="0" w:space="0" w:color="auto"/>
                <w:left w:val="none" w:sz="0" w:space="0" w:color="auto"/>
                <w:bottom w:val="none" w:sz="0" w:space="0" w:color="auto"/>
                <w:right w:val="none" w:sz="0" w:space="0" w:color="auto"/>
              </w:divBdr>
              <w:divsChild>
                <w:div w:id="1396516192">
                  <w:marLeft w:val="0"/>
                  <w:marRight w:val="0"/>
                  <w:marTop w:val="0"/>
                  <w:marBottom w:val="0"/>
                  <w:divBdr>
                    <w:top w:val="none" w:sz="0" w:space="0" w:color="auto"/>
                    <w:left w:val="none" w:sz="0" w:space="0" w:color="auto"/>
                    <w:bottom w:val="none" w:sz="0" w:space="0" w:color="auto"/>
                    <w:right w:val="none" w:sz="0" w:space="0" w:color="auto"/>
                  </w:divBdr>
                  <w:divsChild>
                    <w:div w:id="95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5513">
      <w:bodyDiv w:val="1"/>
      <w:marLeft w:val="0"/>
      <w:marRight w:val="0"/>
      <w:marTop w:val="0"/>
      <w:marBottom w:val="0"/>
      <w:divBdr>
        <w:top w:val="none" w:sz="0" w:space="0" w:color="auto"/>
        <w:left w:val="none" w:sz="0" w:space="0" w:color="auto"/>
        <w:bottom w:val="none" w:sz="0" w:space="0" w:color="auto"/>
        <w:right w:val="none" w:sz="0" w:space="0" w:color="auto"/>
      </w:divBdr>
      <w:divsChild>
        <w:div w:id="959191667">
          <w:marLeft w:val="0"/>
          <w:marRight w:val="0"/>
          <w:marTop w:val="0"/>
          <w:marBottom w:val="0"/>
          <w:divBdr>
            <w:top w:val="none" w:sz="0" w:space="0" w:color="auto"/>
            <w:left w:val="none" w:sz="0" w:space="0" w:color="auto"/>
            <w:bottom w:val="none" w:sz="0" w:space="0" w:color="auto"/>
            <w:right w:val="none" w:sz="0" w:space="0" w:color="auto"/>
          </w:divBdr>
          <w:divsChild>
            <w:div w:id="2036879377">
              <w:marLeft w:val="0"/>
              <w:marRight w:val="0"/>
              <w:marTop w:val="0"/>
              <w:marBottom w:val="0"/>
              <w:divBdr>
                <w:top w:val="none" w:sz="0" w:space="0" w:color="auto"/>
                <w:left w:val="none" w:sz="0" w:space="0" w:color="auto"/>
                <w:bottom w:val="none" w:sz="0" w:space="0" w:color="auto"/>
                <w:right w:val="none" w:sz="0" w:space="0" w:color="auto"/>
              </w:divBdr>
              <w:divsChild>
                <w:div w:id="1660494773">
                  <w:marLeft w:val="0"/>
                  <w:marRight w:val="0"/>
                  <w:marTop w:val="0"/>
                  <w:marBottom w:val="0"/>
                  <w:divBdr>
                    <w:top w:val="none" w:sz="0" w:space="0" w:color="auto"/>
                    <w:left w:val="none" w:sz="0" w:space="0" w:color="auto"/>
                    <w:bottom w:val="none" w:sz="0" w:space="0" w:color="auto"/>
                    <w:right w:val="none" w:sz="0" w:space="0" w:color="auto"/>
                  </w:divBdr>
                  <w:divsChild>
                    <w:div w:id="1775906205">
                      <w:marLeft w:val="0"/>
                      <w:marRight w:val="0"/>
                      <w:marTop w:val="0"/>
                      <w:marBottom w:val="0"/>
                      <w:divBdr>
                        <w:top w:val="none" w:sz="0" w:space="0" w:color="auto"/>
                        <w:left w:val="none" w:sz="0" w:space="0" w:color="auto"/>
                        <w:bottom w:val="none" w:sz="0" w:space="0" w:color="auto"/>
                        <w:right w:val="none" w:sz="0" w:space="0" w:color="auto"/>
                      </w:divBdr>
                      <w:divsChild>
                        <w:div w:id="531844034">
                          <w:marLeft w:val="0"/>
                          <w:marRight w:val="0"/>
                          <w:marTop w:val="0"/>
                          <w:marBottom w:val="0"/>
                          <w:divBdr>
                            <w:top w:val="none" w:sz="0" w:space="0" w:color="auto"/>
                            <w:left w:val="none" w:sz="0" w:space="0" w:color="auto"/>
                            <w:bottom w:val="none" w:sz="0" w:space="0" w:color="auto"/>
                            <w:right w:val="none" w:sz="0" w:space="0" w:color="auto"/>
                          </w:divBdr>
                          <w:divsChild>
                            <w:div w:id="1121190009">
                              <w:marLeft w:val="0"/>
                              <w:marRight w:val="0"/>
                              <w:marTop w:val="0"/>
                              <w:marBottom w:val="0"/>
                              <w:divBdr>
                                <w:top w:val="none" w:sz="0" w:space="0" w:color="auto"/>
                                <w:left w:val="none" w:sz="0" w:space="0" w:color="auto"/>
                                <w:bottom w:val="none" w:sz="0" w:space="0" w:color="auto"/>
                                <w:right w:val="none" w:sz="0" w:space="0" w:color="auto"/>
                              </w:divBdr>
                              <w:divsChild>
                                <w:div w:id="453209214">
                                  <w:marLeft w:val="0"/>
                                  <w:marRight w:val="0"/>
                                  <w:marTop w:val="0"/>
                                  <w:marBottom w:val="0"/>
                                  <w:divBdr>
                                    <w:top w:val="none" w:sz="0" w:space="0" w:color="auto"/>
                                    <w:left w:val="none" w:sz="0" w:space="0" w:color="auto"/>
                                    <w:bottom w:val="none" w:sz="0" w:space="0" w:color="auto"/>
                                    <w:right w:val="none" w:sz="0" w:space="0" w:color="auto"/>
                                  </w:divBdr>
                                  <w:divsChild>
                                    <w:div w:id="665982071">
                                      <w:marLeft w:val="0"/>
                                      <w:marRight w:val="0"/>
                                      <w:marTop w:val="0"/>
                                      <w:marBottom w:val="0"/>
                                      <w:divBdr>
                                        <w:top w:val="none" w:sz="0" w:space="0" w:color="auto"/>
                                        <w:left w:val="none" w:sz="0" w:space="0" w:color="auto"/>
                                        <w:bottom w:val="none" w:sz="0" w:space="0" w:color="auto"/>
                                        <w:right w:val="none" w:sz="0" w:space="0" w:color="auto"/>
                                      </w:divBdr>
                                      <w:divsChild>
                                        <w:div w:id="177500179">
                                          <w:marLeft w:val="0"/>
                                          <w:marRight w:val="0"/>
                                          <w:marTop w:val="0"/>
                                          <w:marBottom w:val="0"/>
                                          <w:divBdr>
                                            <w:top w:val="none" w:sz="0" w:space="0" w:color="auto"/>
                                            <w:left w:val="none" w:sz="0" w:space="0" w:color="auto"/>
                                            <w:bottom w:val="none" w:sz="0" w:space="0" w:color="auto"/>
                                            <w:right w:val="none" w:sz="0" w:space="0" w:color="auto"/>
                                          </w:divBdr>
                                          <w:divsChild>
                                            <w:div w:id="317656336">
                                              <w:marLeft w:val="0"/>
                                              <w:marRight w:val="0"/>
                                              <w:marTop w:val="0"/>
                                              <w:marBottom w:val="0"/>
                                              <w:divBdr>
                                                <w:top w:val="none" w:sz="0" w:space="0" w:color="auto"/>
                                                <w:left w:val="none" w:sz="0" w:space="0" w:color="auto"/>
                                                <w:bottom w:val="none" w:sz="0" w:space="0" w:color="auto"/>
                                                <w:right w:val="none" w:sz="0" w:space="0" w:color="auto"/>
                                              </w:divBdr>
                                              <w:divsChild>
                                                <w:div w:id="1524705417">
                                                  <w:marLeft w:val="0"/>
                                                  <w:marRight w:val="0"/>
                                                  <w:marTop w:val="0"/>
                                                  <w:marBottom w:val="0"/>
                                                  <w:divBdr>
                                                    <w:top w:val="none" w:sz="0" w:space="0" w:color="auto"/>
                                                    <w:left w:val="none" w:sz="0" w:space="0" w:color="auto"/>
                                                    <w:bottom w:val="none" w:sz="0" w:space="0" w:color="auto"/>
                                                    <w:right w:val="none" w:sz="0" w:space="0" w:color="auto"/>
                                                  </w:divBdr>
                                                </w:div>
                                                <w:div w:id="18484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41328">
      <w:bodyDiv w:val="1"/>
      <w:marLeft w:val="0"/>
      <w:marRight w:val="0"/>
      <w:marTop w:val="0"/>
      <w:marBottom w:val="0"/>
      <w:divBdr>
        <w:top w:val="none" w:sz="0" w:space="0" w:color="auto"/>
        <w:left w:val="none" w:sz="0" w:space="0" w:color="auto"/>
        <w:bottom w:val="none" w:sz="0" w:space="0" w:color="auto"/>
        <w:right w:val="none" w:sz="0" w:space="0" w:color="auto"/>
      </w:divBdr>
      <w:divsChild>
        <w:div w:id="884563926">
          <w:marLeft w:val="0"/>
          <w:marRight w:val="0"/>
          <w:marTop w:val="0"/>
          <w:marBottom w:val="0"/>
          <w:divBdr>
            <w:top w:val="none" w:sz="0" w:space="0" w:color="auto"/>
            <w:left w:val="none" w:sz="0" w:space="0" w:color="auto"/>
            <w:bottom w:val="none" w:sz="0" w:space="0" w:color="auto"/>
            <w:right w:val="none" w:sz="0" w:space="0" w:color="auto"/>
          </w:divBdr>
          <w:divsChild>
            <w:div w:id="1152676333">
              <w:marLeft w:val="0"/>
              <w:marRight w:val="0"/>
              <w:marTop w:val="0"/>
              <w:marBottom w:val="0"/>
              <w:divBdr>
                <w:top w:val="none" w:sz="0" w:space="0" w:color="auto"/>
                <w:left w:val="none" w:sz="0" w:space="0" w:color="auto"/>
                <w:bottom w:val="none" w:sz="0" w:space="0" w:color="auto"/>
                <w:right w:val="none" w:sz="0" w:space="0" w:color="auto"/>
              </w:divBdr>
              <w:divsChild>
                <w:div w:id="2095272203">
                  <w:marLeft w:val="0"/>
                  <w:marRight w:val="0"/>
                  <w:marTop w:val="0"/>
                  <w:marBottom w:val="0"/>
                  <w:divBdr>
                    <w:top w:val="none" w:sz="0" w:space="0" w:color="auto"/>
                    <w:left w:val="none" w:sz="0" w:space="0" w:color="auto"/>
                    <w:bottom w:val="none" w:sz="0" w:space="0" w:color="auto"/>
                    <w:right w:val="none" w:sz="0" w:space="0" w:color="auto"/>
                  </w:divBdr>
                  <w:divsChild>
                    <w:div w:id="2098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8111">
      <w:bodyDiv w:val="1"/>
      <w:marLeft w:val="0"/>
      <w:marRight w:val="0"/>
      <w:marTop w:val="0"/>
      <w:marBottom w:val="0"/>
      <w:divBdr>
        <w:top w:val="none" w:sz="0" w:space="0" w:color="auto"/>
        <w:left w:val="none" w:sz="0" w:space="0" w:color="auto"/>
        <w:bottom w:val="none" w:sz="0" w:space="0" w:color="auto"/>
        <w:right w:val="none" w:sz="0" w:space="0" w:color="auto"/>
      </w:divBdr>
      <w:divsChild>
        <w:div w:id="715471454">
          <w:marLeft w:val="0"/>
          <w:marRight w:val="0"/>
          <w:marTop w:val="0"/>
          <w:marBottom w:val="0"/>
          <w:divBdr>
            <w:top w:val="none" w:sz="0" w:space="0" w:color="auto"/>
            <w:left w:val="none" w:sz="0" w:space="0" w:color="auto"/>
            <w:bottom w:val="none" w:sz="0" w:space="0" w:color="auto"/>
            <w:right w:val="none" w:sz="0" w:space="0" w:color="auto"/>
          </w:divBdr>
          <w:divsChild>
            <w:div w:id="1206678630">
              <w:marLeft w:val="0"/>
              <w:marRight w:val="0"/>
              <w:marTop w:val="0"/>
              <w:marBottom w:val="0"/>
              <w:divBdr>
                <w:top w:val="none" w:sz="0" w:space="0" w:color="auto"/>
                <w:left w:val="none" w:sz="0" w:space="0" w:color="auto"/>
                <w:bottom w:val="none" w:sz="0" w:space="0" w:color="auto"/>
                <w:right w:val="none" w:sz="0" w:space="0" w:color="auto"/>
              </w:divBdr>
              <w:divsChild>
                <w:div w:id="2135169331">
                  <w:marLeft w:val="0"/>
                  <w:marRight w:val="0"/>
                  <w:marTop w:val="0"/>
                  <w:marBottom w:val="0"/>
                  <w:divBdr>
                    <w:top w:val="none" w:sz="0" w:space="0" w:color="auto"/>
                    <w:left w:val="none" w:sz="0" w:space="0" w:color="auto"/>
                    <w:bottom w:val="none" w:sz="0" w:space="0" w:color="auto"/>
                    <w:right w:val="none" w:sz="0" w:space="0" w:color="auto"/>
                  </w:divBdr>
                  <w:divsChild>
                    <w:div w:id="1622686908">
                      <w:marLeft w:val="0"/>
                      <w:marRight w:val="0"/>
                      <w:marTop w:val="0"/>
                      <w:marBottom w:val="0"/>
                      <w:divBdr>
                        <w:top w:val="none" w:sz="0" w:space="0" w:color="auto"/>
                        <w:left w:val="none" w:sz="0" w:space="0" w:color="auto"/>
                        <w:bottom w:val="none" w:sz="0" w:space="0" w:color="auto"/>
                        <w:right w:val="none" w:sz="0" w:space="0" w:color="auto"/>
                      </w:divBdr>
                      <w:divsChild>
                        <w:div w:id="1910144658">
                          <w:marLeft w:val="0"/>
                          <w:marRight w:val="0"/>
                          <w:marTop w:val="0"/>
                          <w:marBottom w:val="0"/>
                          <w:divBdr>
                            <w:top w:val="none" w:sz="0" w:space="0" w:color="auto"/>
                            <w:left w:val="none" w:sz="0" w:space="0" w:color="auto"/>
                            <w:bottom w:val="none" w:sz="0" w:space="0" w:color="auto"/>
                            <w:right w:val="none" w:sz="0" w:space="0" w:color="auto"/>
                          </w:divBdr>
                          <w:divsChild>
                            <w:div w:id="1012030904">
                              <w:marLeft w:val="0"/>
                              <w:marRight w:val="0"/>
                              <w:marTop w:val="0"/>
                              <w:marBottom w:val="0"/>
                              <w:divBdr>
                                <w:top w:val="none" w:sz="0" w:space="0" w:color="auto"/>
                                <w:left w:val="none" w:sz="0" w:space="0" w:color="auto"/>
                                <w:bottom w:val="none" w:sz="0" w:space="0" w:color="auto"/>
                                <w:right w:val="none" w:sz="0" w:space="0" w:color="auto"/>
                              </w:divBdr>
                              <w:divsChild>
                                <w:div w:id="1772237002">
                                  <w:marLeft w:val="0"/>
                                  <w:marRight w:val="0"/>
                                  <w:marTop w:val="0"/>
                                  <w:marBottom w:val="0"/>
                                  <w:divBdr>
                                    <w:top w:val="none" w:sz="0" w:space="0" w:color="auto"/>
                                    <w:left w:val="none" w:sz="0" w:space="0" w:color="auto"/>
                                    <w:bottom w:val="none" w:sz="0" w:space="0" w:color="auto"/>
                                    <w:right w:val="none" w:sz="0" w:space="0" w:color="auto"/>
                                  </w:divBdr>
                                  <w:divsChild>
                                    <w:div w:id="295375759">
                                      <w:marLeft w:val="0"/>
                                      <w:marRight w:val="0"/>
                                      <w:marTop w:val="0"/>
                                      <w:marBottom w:val="0"/>
                                      <w:divBdr>
                                        <w:top w:val="none" w:sz="0" w:space="0" w:color="auto"/>
                                        <w:left w:val="none" w:sz="0" w:space="0" w:color="auto"/>
                                        <w:bottom w:val="none" w:sz="0" w:space="0" w:color="auto"/>
                                        <w:right w:val="none" w:sz="0" w:space="0" w:color="auto"/>
                                      </w:divBdr>
                                      <w:divsChild>
                                        <w:div w:id="746151186">
                                          <w:marLeft w:val="0"/>
                                          <w:marRight w:val="0"/>
                                          <w:marTop w:val="0"/>
                                          <w:marBottom w:val="0"/>
                                          <w:divBdr>
                                            <w:top w:val="none" w:sz="0" w:space="0" w:color="auto"/>
                                            <w:left w:val="none" w:sz="0" w:space="0" w:color="auto"/>
                                            <w:bottom w:val="none" w:sz="0" w:space="0" w:color="auto"/>
                                            <w:right w:val="none" w:sz="0" w:space="0" w:color="auto"/>
                                          </w:divBdr>
                                          <w:divsChild>
                                            <w:div w:id="688486353">
                                              <w:marLeft w:val="0"/>
                                              <w:marRight w:val="0"/>
                                              <w:marTop w:val="0"/>
                                              <w:marBottom w:val="0"/>
                                              <w:divBdr>
                                                <w:top w:val="none" w:sz="0" w:space="0" w:color="auto"/>
                                                <w:left w:val="none" w:sz="0" w:space="0" w:color="auto"/>
                                                <w:bottom w:val="none" w:sz="0" w:space="0" w:color="auto"/>
                                                <w:right w:val="none" w:sz="0" w:space="0" w:color="auto"/>
                                              </w:divBdr>
                                              <w:divsChild>
                                                <w:div w:id="1536120228">
                                                  <w:marLeft w:val="0"/>
                                                  <w:marRight w:val="0"/>
                                                  <w:marTop w:val="225"/>
                                                  <w:marBottom w:val="300"/>
                                                  <w:divBdr>
                                                    <w:top w:val="none" w:sz="0" w:space="0" w:color="auto"/>
                                                    <w:left w:val="none" w:sz="0" w:space="0" w:color="auto"/>
                                                    <w:bottom w:val="none" w:sz="0" w:space="0" w:color="auto"/>
                                                    <w:right w:val="none" w:sz="0" w:space="0" w:color="auto"/>
                                                  </w:divBdr>
                                                  <w:divsChild>
                                                    <w:div w:id="3870089">
                                                      <w:marLeft w:val="0"/>
                                                      <w:marRight w:val="0"/>
                                                      <w:marTop w:val="0"/>
                                                      <w:marBottom w:val="30"/>
                                                      <w:divBdr>
                                                        <w:top w:val="single" w:sz="6" w:space="0" w:color="E5E5E5"/>
                                                        <w:left w:val="single" w:sz="6" w:space="0" w:color="E5E5E5"/>
                                                        <w:bottom w:val="single" w:sz="6" w:space="0" w:color="E5E5E5"/>
                                                        <w:right w:val="single" w:sz="6" w:space="0" w:color="E5E5E5"/>
                                                      </w:divBdr>
                                                      <w:divsChild>
                                                        <w:div w:id="1666666021">
                                                          <w:marLeft w:val="0"/>
                                                          <w:marRight w:val="0"/>
                                                          <w:marTop w:val="0"/>
                                                          <w:marBottom w:val="0"/>
                                                          <w:divBdr>
                                                            <w:top w:val="none" w:sz="0" w:space="0" w:color="auto"/>
                                                            <w:left w:val="none" w:sz="0" w:space="0" w:color="auto"/>
                                                            <w:bottom w:val="none" w:sz="0" w:space="0" w:color="auto"/>
                                                            <w:right w:val="none" w:sz="0" w:space="0" w:color="auto"/>
                                                          </w:divBdr>
                                                          <w:divsChild>
                                                            <w:div w:id="4634274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326580">
      <w:bodyDiv w:val="1"/>
      <w:marLeft w:val="0"/>
      <w:marRight w:val="0"/>
      <w:marTop w:val="0"/>
      <w:marBottom w:val="0"/>
      <w:divBdr>
        <w:top w:val="none" w:sz="0" w:space="0" w:color="auto"/>
        <w:left w:val="none" w:sz="0" w:space="0" w:color="auto"/>
        <w:bottom w:val="none" w:sz="0" w:space="0" w:color="auto"/>
        <w:right w:val="none" w:sz="0" w:space="0" w:color="auto"/>
      </w:divBdr>
      <w:divsChild>
        <w:div w:id="1611085836">
          <w:marLeft w:val="0"/>
          <w:marRight w:val="0"/>
          <w:marTop w:val="0"/>
          <w:marBottom w:val="0"/>
          <w:divBdr>
            <w:top w:val="none" w:sz="0" w:space="0" w:color="auto"/>
            <w:left w:val="none" w:sz="0" w:space="0" w:color="auto"/>
            <w:bottom w:val="none" w:sz="0" w:space="0" w:color="auto"/>
            <w:right w:val="none" w:sz="0" w:space="0" w:color="auto"/>
          </w:divBdr>
          <w:divsChild>
            <w:div w:id="1846818889">
              <w:marLeft w:val="0"/>
              <w:marRight w:val="0"/>
              <w:marTop w:val="0"/>
              <w:marBottom w:val="0"/>
              <w:divBdr>
                <w:top w:val="none" w:sz="0" w:space="0" w:color="auto"/>
                <w:left w:val="none" w:sz="0" w:space="0" w:color="auto"/>
                <w:bottom w:val="none" w:sz="0" w:space="0" w:color="auto"/>
                <w:right w:val="none" w:sz="0" w:space="0" w:color="auto"/>
              </w:divBdr>
              <w:divsChild>
                <w:div w:id="805124590">
                  <w:marLeft w:val="0"/>
                  <w:marRight w:val="0"/>
                  <w:marTop w:val="0"/>
                  <w:marBottom w:val="0"/>
                  <w:divBdr>
                    <w:top w:val="none" w:sz="0" w:space="0" w:color="auto"/>
                    <w:left w:val="none" w:sz="0" w:space="0" w:color="auto"/>
                    <w:bottom w:val="none" w:sz="0" w:space="0" w:color="auto"/>
                    <w:right w:val="none" w:sz="0" w:space="0" w:color="auto"/>
                  </w:divBdr>
                  <w:divsChild>
                    <w:div w:id="1791629919">
                      <w:marLeft w:val="0"/>
                      <w:marRight w:val="0"/>
                      <w:marTop w:val="0"/>
                      <w:marBottom w:val="0"/>
                      <w:divBdr>
                        <w:top w:val="none" w:sz="0" w:space="0" w:color="auto"/>
                        <w:left w:val="none" w:sz="0" w:space="0" w:color="auto"/>
                        <w:bottom w:val="none" w:sz="0" w:space="0" w:color="auto"/>
                        <w:right w:val="none" w:sz="0" w:space="0" w:color="auto"/>
                      </w:divBdr>
                      <w:divsChild>
                        <w:div w:id="725182264">
                          <w:marLeft w:val="0"/>
                          <w:marRight w:val="0"/>
                          <w:marTop w:val="0"/>
                          <w:marBottom w:val="0"/>
                          <w:divBdr>
                            <w:top w:val="none" w:sz="0" w:space="0" w:color="auto"/>
                            <w:left w:val="none" w:sz="0" w:space="0" w:color="auto"/>
                            <w:bottom w:val="none" w:sz="0" w:space="0" w:color="auto"/>
                            <w:right w:val="none" w:sz="0" w:space="0" w:color="auto"/>
                          </w:divBdr>
                          <w:divsChild>
                            <w:div w:id="592050">
                              <w:marLeft w:val="0"/>
                              <w:marRight w:val="0"/>
                              <w:marTop w:val="0"/>
                              <w:marBottom w:val="0"/>
                              <w:divBdr>
                                <w:top w:val="none" w:sz="0" w:space="0" w:color="auto"/>
                                <w:left w:val="none" w:sz="0" w:space="0" w:color="auto"/>
                                <w:bottom w:val="none" w:sz="0" w:space="0" w:color="auto"/>
                                <w:right w:val="none" w:sz="0" w:space="0" w:color="auto"/>
                              </w:divBdr>
                              <w:divsChild>
                                <w:div w:id="642463711">
                                  <w:marLeft w:val="0"/>
                                  <w:marRight w:val="0"/>
                                  <w:marTop w:val="0"/>
                                  <w:marBottom w:val="0"/>
                                  <w:divBdr>
                                    <w:top w:val="none" w:sz="0" w:space="0" w:color="auto"/>
                                    <w:left w:val="none" w:sz="0" w:space="0" w:color="auto"/>
                                    <w:bottom w:val="none" w:sz="0" w:space="0" w:color="auto"/>
                                    <w:right w:val="none" w:sz="0" w:space="0" w:color="auto"/>
                                  </w:divBdr>
                                  <w:divsChild>
                                    <w:div w:id="2124492400">
                                      <w:marLeft w:val="0"/>
                                      <w:marRight w:val="0"/>
                                      <w:marTop w:val="0"/>
                                      <w:marBottom w:val="0"/>
                                      <w:divBdr>
                                        <w:top w:val="none" w:sz="0" w:space="0" w:color="auto"/>
                                        <w:left w:val="none" w:sz="0" w:space="0" w:color="auto"/>
                                        <w:bottom w:val="none" w:sz="0" w:space="0" w:color="auto"/>
                                        <w:right w:val="none" w:sz="0" w:space="0" w:color="auto"/>
                                      </w:divBdr>
                                      <w:divsChild>
                                        <w:div w:id="1092973493">
                                          <w:marLeft w:val="0"/>
                                          <w:marRight w:val="0"/>
                                          <w:marTop w:val="0"/>
                                          <w:marBottom w:val="0"/>
                                          <w:divBdr>
                                            <w:top w:val="none" w:sz="0" w:space="0" w:color="auto"/>
                                            <w:left w:val="none" w:sz="0" w:space="0" w:color="auto"/>
                                            <w:bottom w:val="none" w:sz="0" w:space="0" w:color="auto"/>
                                            <w:right w:val="none" w:sz="0" w:space="0" w:color="auto"/>
                                          </w:divBdr>
                                          <w:divsChild>
                                            <w:div w:id="1595891947">
                                              <w:marLeft w:val="0"/>
                                              <w:marRight w:val="0"/>
                                              <w:marTop w:val="0"/>
                                              <w:marBottom w:val="0"/>
                                              <w:divBdr>
                                                <w:top w:val="none" w:sz="0" w:space="0" w:color="auto"/>
                                                <w:left w:val="none" w:sz="0" w:space="0" w:color="auto"/>
                                                <w:bottom w:val="none" w:sz="0" w:space="0" w:color="auto"/>
                                                <w:right w:val="none" w:sz="0" w:space="0" w:color="auto"/>
                                              </w:divBdr>
                                              <w:divsChild>
                                                <w:div w:id="494032591">
                                                  <w:marLeft w:val="0"/>
                                                  <w:marRight w:val="0"/>
                                                  <w:marTop w:val="225"/>
                                                  <w:marBottom w:val="300"/>
                                                  <w:divBdr>
                                                    <w:top w:val="none" w:sz="0" w:space="0" w:color="auto"/>
                                                    <w:left w:val="none" w:sz="0" w:space="0" w:color="auto"/>
                                                    <w:bottom w:val="none" w:sz="0" w:space="0" w:color="auto"/>
                                                    <w:right w:val="none" w:sz="0" w:space="0" w:color="auto"/>
                                                  </w:divBdr>
                                                  <w:divsChild>
                                                    <w:div w:id="1277105107">
                                                      <w:marLeft w:val="0"/>
                                                      <w:marRight w:val="0"/>
                                                      <w:marTop w:val="0"/>
                                                      <w:marBottom w:val="30"/>
                                                      <w:divBdr>
                                                        <w:top w:val="single" w:sz="6" w:space="0" w:color="E5E5E5"/>
                                                        <w:left w:val="single" w:sz="6" w:space="0" w:color="E5E5E5"/>
                                                        <w:bottom w:val="single" w:sz="6" w:space="0" w:color="E5E5E5"/>
                                                        <w:right w:val="single" w:sz="6" w:space="0" w:color="E5E5E5"/>
                                                      </w:divBdr>
                                                      <w:divsChild>
                                                        <w:div w:id="1554927346">
                                                          <w:marLeft w:val="0"/>
                                                          <w:marRight w:val="0"/>
                                                          <w:marTop w:val="0"/>
                                                          <w:marBottom w:val="0"/>
                                                          <w:divBdr>
                                                            <w:top w:val="none" w:sz="0" w:space="0" w:color="auto"/>
                                                            <w:left w:val="none" w:sz="0" w:space="0" w:color="auto"/>
                                                            <w:bottom w:val="none" w:sz="0" w:space="0" w:color="auto"/>
                                                            <w:right w:val="none" w:sz="0" w:space="0" w:color="auto"/>
                                                          </w:divBdr>
                                                          <w:divsChild>
                                                            <w:div w:id="1494100700">
                                                              <w:marLeft w:val="0"/>
                                                              <w:marRight w:val="0"/>
                                                              <w:marTop w:val="0"/>
                                                              <w:marBottom w:val="0"/>
                                                              <w:divBdr>
                                                                <w:top w:val="single" w:sz="6" w:space="7" w:color="E5E5E5"/>
                                                                <w:left w:val="none" w:sz="0" w:space="0" w:color="auto"/>
                                                                <w:bottom w:val="none" w:sz="0" w:space="0" w:color="auto"/>
                                                                <w:right w:val="none" w:sz="0" w:space="0" w:color="auto"/>
                                                              </w:divBdr>
                                                            </w:div>
                                                          </w:divsChild>
                                                        </w:div>
                                                        <w:div w:id="2046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135266">
      <w:bodyDiv w:val="1"/>
      <w:marLeft w:val="0"/>
      <w:marRight w:val="0"/>
      <w:marTop w:val="0"/>
      <w:marBottom w:val="0"/>
      <w:divBdr>
        <w:top w:val="none" w:sz="0" w:space="0" w:color="auto"/>
        <w:left w:val="none" w:sz="0" w:space="0" w:color="auto"/>
        <w:bottom w:val="none" w:sz="0" w:space="0" w:color="auto"/>
        <w:right w:val="none" w:sz="0" w:space="0" w:color="auto"/>
      </w:divBdr>
      <w:divsChild>
        <w:div w:id="1638754540">
          <w:marLeft w:val="0"/>
          <w:marRight w:val="0"/>
          <w:marTop w:val="0"/>
          <w:marBottom w:val="0"/>
          <w:divBdr>
            <w:top w:val="none" w:sz="0" w:space="0" w:color="auto"/>
            <w:left w:val="none" w:sz="0" w:space="0" w:color="auto"/>
            <w:bottom w:val="none" w:sz="0" w:space="0" w:color="auto"/>
            <w:right w:val="none" w:sz="0" w:space="0" w:color="auto"/>
          </w:divBdr>
          <w:divsChild>
            <w:div w:id="1420635218">
              <w:marLeft w:val="0"/>
              <w:marRight w:val="0"/>
              <w:marTop w:val="0"/>
              <w:marBottom w:val="0"/>
              <w:divBdr>
                <w:top w:val="none" w:sz="0" w:space="0" w:color="auto"/>
                <w:left w:val="none" w:sz="0" w:space="0" w:color="auto"/>
                <w:bottom w:val="none" w:sz="0" w:space="0" w:color="auto"/>
                <w:right w:val="none" w:sz="0" w:space="0" w:color="auto"/>
              </w:divBdr>
              <w:divsChild>
                <w:div w:id="281426740">
                  <w:marLeft w:val="0"/>
                  <w:marRight w:val="0"/>
                  <w:marTop w:val="0"/>
                  <w:marBottom w:val="0"/>
                  <w:divBdr>
                    <w:top w:val="none" w:sz="0" w:space="0" w:color="auto"/>
                    <w:left w:val="none" w:sz="0" w:space="0" w:color="auto"/>
                    <w:bottom w:val="none" w:sz="0" w:space="0" w:color="auto"/>
                    <w:right w:val="none" w:sz="0" w:space="0" w:color="auto"/>
                  </w:divBdr>
                  <w:divsChild>
                    <w:div w:id="192420689">
                      <w:marLeft w:val="0"/>
                      <w:marRight w:val="0"/>
                      <w:marTop w:val="0"/>
                      <w:marBottom w:val="0"/>
                      <w:divBdr>
                        <w:top w:val="none" w:sz="0" w:space="0" w:color="auto"/>
                        <w:left w:val="none" w:sz="0" w:space="0" w:color="auto"/>
                        <w:bottom w:val="none" w:sz="0" w:space="0" w:color="auto"/>
                        <w:right w:val="none" w:sz="0" w:space="0" w:color="auto"/>
                      </w:divBdr>
                      <w:divsChild>
                        <w:div w:id="2098208450">
                          <w:marLeft w:val="0"/>
                          <w:marRight w:val="0"/>
                          <w:marTop w:val="0"/>
                          <w:marBottom w:val="0"/>
                          <w:divBdr>
                            <w:top w:val="none" w:sz="0" w:space="0" w:color="auto"/>
                            <w:left w:val="none" w:sz="0" w:space="0" w:color="auto"/>
                            <w:bottom w:val="none" w:sz="0" w:space="0" w:color="auto"/>
                            <w:right w:val="none" w:sz="0" w:space="0" w:color="auto"/>
                          </w:divBdr>
                          <w:divsChild>
                            <w:div w:id="1754859944">
                              <w:marLeft w:val="0"/>
                              <w:marRight w:val="0"/>
                              <w:marTop w:val="0"/>
                              <w:marBottom w:val="0"/>
                              <w:divBdr>
                                <w:top w:val="none" w:sz="0" w:space="0" w:color="auto"/>
                                <w:left w:val="none" w:sz="0" w:space="0" w:color="auto"/>
                                <w:bottom w:val="none" w:sz="0" w:space="0" w:color="auto"/>
                                <w:right w:val="none" w:sz="0" w:space="0" w:color="auto"/>
                              </w:divBdr>
                              <w:divsChild>
                                <w:div w:id="393697022">
                                  <w:marLeft w:val="0"/>
                                  <w:marRight w:val="0"/>
                                  <w:marTop w:val="0"/>
                                  <w:marBottom w:val="0"/>
                                  <w:divBdr>
                                    <w:top w:val="none" w:sz="0" w:space="0" w:color="auto"/>
                                    <w:left w:val="none" w:sz="0" w:space="0" w:color="auto"/>
                                    <w:bottom w:val="none" w:sz="0" w:space="0" w:color="auto"/>
                                    <w:right w:val="none" w:sz="0" w:space="0" w:color="auto"/>
                                  </w:divBdr>
                                  <w:divsChild>
                                    <w:div w:id="1545018994">
                                      <w:marLeft w:val="0"/>
                                      <w:marRight w:val="0"/>
                                      <w:marTop w:val="0"/>
                                      <w:marBottom w:val="0"/>
                                      <w:divBdr>
                                        <w:top w:val="none" w:sz="0" w:space="0" w:color="auto"/>
                                        <w:left w:val="none" w:sz="0" w:space="0" w:color="auto"/>
                                        <w:bottom w:val="none" w:sz="0" w:space="0" w:color="auto"/>
                                        <w:right w:val="none" w:sz="0" w:space="0" w:color="auto"/>
                                      </w:divBdr>
                                      <w:divsChild>
                                        <w:div w:id="42406358">
                                          <w:marLeft w:val="0"/>
                                          <w:marRight w:val="0"/>
                                          <w:marTop w:val="0"/>
                                          <w:marBottom w:val="0"/>
                                          <w:divBdr>
                                            <w:top w:val="none" w:sz="0" w:space="0" w:color="auto"/>
                                            <w:left w:val="none" w:sz="0" w:space="0" w:color="auto"/>
                                            <w:bottom w:val="none" w:sz="0" w:space="0" w:color="auto"/>
                                            <w:right w:val="none" w:sz="0" w:space="0" w:color="auto"/>
                                          </w:divBdr>
                                          <w:divsChild>
                                            <w:div w:id="1107852627">
                                              <w:marLeft w:val="0"/>
                                              <w:marRight w:val="0"/>
                                              <w:marTop w:val="0"/>
                                              <w:marBottom w:val="0"/>
                                              <w:divBdr>
                                                <w:top w:val="none" w:sz="0" w:space="0" w:color="auto"/>
                                                <w:left w:val="none" w:sz="0" w:space="0" w:color="auto"/>
                                                <w:bottom w:val="none" w:sz="0" w:space="0" w:color="auto"/>
                                                <w:right w:val="none" w:sz="0" w:space="0" w:color="auto"/>
                                              </w:divBdr>
                                              <w:divsChild>
                                                <w:div w:id="1930312036">
                                                  <w:marLeft w:val="0"/>
                                                  <w:marRight w:val="0"/>
                                                  <w:marTop w:val="225"/>
                                                  <w:marBottom w:val="300"/>
                                                  <w:divBdr>
                                                    <w:top w:val="none" w:sz="0" w:space="0" w:color="auto"/>
                                                    <w:left w:val="none" w:sz="0" w:space="0" w:color="auto"/>
                                                    <w:bottom w:val="none" w:sz="0" w:space="0" w:color="auto"/>
                                                    <w:right w:val="none" w:sz="0" w:space="0" w:color="auto"/>
                                                  </w:divBdr>
                                                  <w:divsChild>
                                                    <w:div w:id="131677615">
                                                      <w:marLeft w:val="0"/>
                                                      <w:marRight w:val="0"/>
                                                      <w:marTop w:val="0"/>
                                                      <w:marBottom w:val="30"/>
                                                      <w:divBdr>
                                                        <w:top w:val="single" w:sz="6" w:space="0" w:color="E5E5E5"/>
                                                        <w:left w:val="single" w:sz="6" w:space="0" w:color="E5E5E5"/>
                                                        <w:bottom w:val="single" w:sz="6" w:space="0" w:color="E5E5E5"/>
                                                        <w:right w:val="single" w:sz="6" w:space="0" w:color="E5E5E5"/>
                                                      </w:divBdr>
                                                      <w:divsChild>
                                                        <w:div w:id="932854925">
                                                          <w:marLeft w:val="0"/>
                                                          <w:marRight w:val="0"/>
                                                          <w:marTop w:val="0"/>
                                                          <w:marBottom w:val="0"/>
                                                          <w:divBdr>
                                                            <w:top w:val="none" w:sz="0" w:space="0" w:color="auto"/>
                                                            <w:left w:val="none" w:sz="0" w:space="0" w:color="auto"/>
                                                            <w:bottom w:val="none" w:sz="0" w:space="0" w:color="auto"/>
                                                            <w:right w:val="none" w:sz="0" w:space="0" w:color="auto"/>
                                                          </w:divBdr>
                                                        </w:div>
                                                        <w:div w:id="1644197289">
                                                          <w:marLeft w:val="0"/>
                                                          <w:marRight w:val="0"/>
                                                          <w:marTop w:val="0"/>
                                                          <w:marBottom w:val="0"/>
                                                          <w:divBdr>
                                                            <w:top w:val="none" w:sz="0" w:space="0" w:color="auto"/>
                                                            <w:left w:val="none" w:sz="0" w:space="0" w:color="auto"/>
                                                            <w:bottom w:val="none" w:sz="0" w:space="0" w:color="auto"/>
                                                            <w:right w:val="none" w:sz="0" w:space="0" w:color="auto"/>
                                                          </w:divBdr>
                                                          <w:divsChild>
                                                            <w:div w:id="1331140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130255">
      <w:bodyDiv w:val="1"/>
      <w:marLeft w:val="0"/>
      <w:marRight w:val="0"/>
      <w:marTop w:val="0"/>
      <w:marBottom w:val="0"/>
      <w:divBdr>
        <w:top w:val="none" w:sz="0" w:space="0" w:color="auto"/>
        <w:left w:val="none" w:sz="0" w:space="0" w:color="auto"/>
        <w:bottom w:val="none" w:sz="0" w:space="0" w:color="auto"/>
        <w:right w:val="none" w:sz="0" w:space="0" w:color="auto"/>
      </w:divBdr>
      <w:divsChild>
        <w:div w:id="57366399">
          <w:marLeft w:val="0"/>
          <w:marRight w:val="0"/>
          <w:marTop w:val="0"/>
          <w:marBottom w:val="0"/>
          <w:divBdr>
            <w:top w:val="none" w:sz="0" w:space="0" w:color="auto"/>
            <w:left w:val="none" w:sz="0" w:space="0" w:color="auto"/>
            <w:bottom w:val="none" w:sz="0" w:space="0" w:color="auto"/>
            <w:right w:val="none" w:sz="0" w:space="0" w:color="auto"/>
          </w:divBdr>
          <w:divsChild>
            <w:div w:id="1599604700">
              <w:marLeft w:val="0"/>
              <w:marRight w:val="0"/>
              <w:marTop w:val="0"/>
              <w:marBottom w:val="0"/>
              <w:divBdr>
                <w:top w:val="none" w:sz="0" w:space="0" w:color="auto"/>
                <w:left w:val="none" w:sz="0" w:space="0" w:color="auto"/>
                <w:bottom w:val="none" w:sz="0" w:space="0" w:color="auto"/>
                <w:right w:val="none" w:sz="0" w:space="0" w:color="auto"/>
              </w:divBdr>
              <w:divsChild>
                <w:div w:id="63798970">
                  <w:marLeft w:val="0"/>
                  <w:marRight w:val="0"/>
                  <w:marTop w:val="0"/>
                  <w:marBottom w:val="0"/>
                  <w:divBdr>
                    <w:top w:val="none" w:sz="0" w:space="0" w:color="auto"/>
                    <w:left w:val="none" w:sz="0" w:space="0" w:color="auto"/>
                    <w:bottom w:val="none" w:sz="0" w:space="0" w:color="auto"/>
                    <w:right w:val="none" w:sz="0" w:space="0" w:color="auto"/>
                  </w:divBdr>
                  <w:divsChild>
                    <w:div w:id="361243974">
                      <w:marLeft w:val="0"/>
                      <w:marRight w:val="0"/>
                      <w:marTop w:val="0"/>
                      <w:marBottom w:val="0"/>
                      <w:divBdr>
                        <w:top w:val="none" w:sz="0" w:space="0" w:color="auto"/>
                        <w:left w:val="none" w:sz="0" w:space="0" w:color="auto"/>
                        <w:bottom w:val="none" w:sz="0" w:space="0" w:color="auto"/>
                        <w:right w:val="none" w:sz="0" w:space="0" w:color="auto"/>
                      </w:divBdr>
                      <w:divsChild>
                        <w:div w:id="1176001052">
                          <w:marLeft w:val="0"/>
                          <w:marRight w:val="0"/>
                          <w:marTop w:val="0"/>
                          <w:marBottom w:val="0"/>
                          <w:divBdr>
                            <w:top w:val="none" w:sz="0" w:space="0" w:color="auto"/>
                            <w:left w:val="none" w:sz="0" w:space="0" w:color="auto"/>
                            <w:bottom w:val="none" w:sz="0" w:space="0" w:color="auto"/>
                            <w:right w:val="none" w:sz="0" w:space="0" w:color="auto"/>
                          </w:divBdr>
                          <w:divsChild>
                            <w:div w:id="739134301">
                              <w:marLeft w:val="0"/>
                              <w:marRight w:val="0"/>
                              <w:marTop w:val="0"/>
                              <w:marBottom w:val="0"/>
                              <w:divBdr>
                                <w:top w:val="none" w:sz="0" w:space="0" w:color="auto"/>
                                <w:left w:val="none" w:sz="0" w:space="0" w:color="auto"/>
                                <w:bottom w:val="none" w:sz="0" w:space="0" w:color="auto"/>
                                <w:right w:val="none" w:sz="0" w:space="0" w:color="auto"/>
                              </w:divBdr>
                              <w:divsChild>
                                <w:div w:id="1782337296">
                                  <w:marLeft w:val="0"/>
                                  <w:marRight w:val="0"/>
                                  <w:marTop w:val="0"/>
                                  <w:marBottom w:val="0"/>
                                  <w:divBdr>
                                    <w:top w:val="none" w:sz="0" w:space="0" w:color="auto"/>
                                    <w:left w:val="none" w:sz="0" w:space="0" w:color="auto"/>
                                    <w:bottom w:val="none" w:sz="0" w:space="0" w:color="auto"/>
                                    <w:right w:val="none" w:sz="0" w:space="0" w:color="auto"/>
                                  </w:divBdr>
                                  <w:divsChild>
                                    <w:div w:id="1544710618">
                                      <w:marLeft w:val="0"/>
                                      <w:marRight w:val="0"/>
                                      <w:marTop w:val="0"/>
                                      <w:marBottom w:val="0"/>
                                      <w:divBdr>
                                        <w:top w:val="none" w:sz="0" w:space="0" w:color="auto"/>
                                        <w:left w:val="none" w:sz="0" w:space="0" w:color="auto"/>
                                        <w:bottom w:val="none" w:sz="0" w:space="0" w:color="auto"/>
                                        <w:right w:val="none" w:sz="0" w:space="0" w:color="auto"/>
                                      </w:divBdr>
                                      <w:divsChild>
                                        <w:div w:id="1741050708">
                                          <w:marLeft w:val="0"/>
                                          <w:marRight w:val="0"/>
                                          <w:marTop w:val="0"/>
                                          <w:marBottom w:val="0"/>
                                          <w:divBdr>
                                            <w:top w:val="none" w:sz="0" w:space="0" w:color="auto"/>
                                            <w:left w:val="none" w:sz="0" w:space="0" w:color="auto"/>
                                            <w:bottom w:val="none" w:sz="0" w:space="0" w:color="auto"/>
                                            <w:right w:val="none" w:sz="0" w:space="0" w:color="auto"/>
                                          </w:divBdr>
                                          <w:divsChild>
                                            <w:div w:id="1006784243">
                                              <w:marLeft w:val="0"/>
                                              <w:marRight w:val="0"/>
                                              <w:marTop w:val="0"/>
                                              <w:marBottom w:val="0"/>
                                              <w:divBdr>
                                                <w:top w:val="none" w:sz="0" w:space="0" w:color="auto"/>
                                                <w:left w:val="none" w:sz="0" w:space="0" w:color="auto"/>
                                                <w:bottom w:val="none" w:sz="0" w:space="0" w:color="auto"/>
                                                <w:right w:val="none" w:sz="0" w:space="0" w:color="auto"/>
                                              </w:divBdr>
                                              <w:divsChild>
                                                <w:div w:id="1143472697">
                                                  <w:marLeft w:val="0"/>
                                                  <w:marRight w:val="0"/>
                                                  <w:marTop w:val="225"/>
                                                  <w:marBottom w:val="300"/>
                                                  <w:divBdr>
                                                    <w:top w:val="none" w:sz="0" w:space="0" w:color="auto"/>
                                                    <w:left w:val="none" w:sz="0" w:space="0" w:color="auto"/>
                                                    <w:bottom w:val="none" w:sz="0" w:space="0" w:color="auto"/>
                                                    <w:right w:val="none" w:sz="0" w:space="0" w:color="auto"/>
                                                  </w:divBdr>
                                                  <w:divsChild>
                                                    <w:div w:id="1511682475">
                                                      <w:marLeft w:val="0"/>
                                                      <w:marRight w:val="0"/>
                                                      <w:marTop w:val="0"/>
                                                      <w:marBottom w:val="30"/>
                                                      <w:divBdr>
                                                        <w:top w:val="single" w:sz="6" w:space="0" w:color="E5E5E5"/>
                                                        <w:left w:val="single" w:sz="6" w:space="0" w:color="E5E5E5"/>
                                                        <w:bottom w:val="single" w:sz="6" w:space="0" w:color="E5E5E5"/>
                                                        <w:right w:val="single" w:sz="6" w:space="0" w:color="E5E5E5"/>
                                                      </w:divBdr>
                                                      <w:divsChild>
                                                        <w:div w:id="634332398">
                                                          <w:marLeft w:val="0"/>
                                                          <w:marRight w:val="0"/>
                                                          <w:marTop w:val="0"/>
                                                          <w:marBottom w:val="0"/>
                                                          <w:divBdr>
                                                            <w:top w:val="none" w:sz="0" w:space="0" w:color="auto"/>
                                                            <w:left w:val="none" w:sz="0" w:space="0" w:color="auto"/>
                                                            <w:bottom w:val="none" w:sz="0" w:space="0" w:color="auto"/>
                                                            <w:right w:val="none" w:sz="0" w:space="0" w:color="auto"/>
                                                          </w:divBdr>
                                                          <w:divsChild>
                                                            <w:div w:id="1465852151">
                                                              <w:marLeft w:val="0"/>
                                                              <w:marRight w:val="0"/>
                                                              <w:marTop w:val="0"/>
                                                              <w:marBottom w:val="0"/>
                                                              <w:divBdr>
                                                                <w:top w:val="single" w:sz="6" w:space="7" w:color="E5E5E5"/>
                                                                <w:left w:val="none" w:sz="0" w:space="0" w:color="auto"/>
                                                                <w:bottom w:val="none" w:sz="0" w:space="0" w:color="auto"/>
                                                                <w:right w:val="none" w:sz="0" w:space="0" w:color="auto"/>
                                                              </w:divBdr>
                                                            </w:div>
                                                          </w:divsChild>
                                                        </w:div>
                                                        <w:div w:id="2050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047380">
      <w:bodyDiv w:val="1"/>
      <w:marLeft w:val="0"/>
      <w:marRight w:val="0"/>
      <w:marTop w:val="0"/>
      <w:marBottom w:val="0"/>
      <w:divBdr>
        <w:top w:val="none" w:sz="0" w:space="0" w:color="auto"/>
        <w:left w:val="none" w:sz="0" w:space="0" w:color="auto"/>
        <w:bottom w:val="none" w:sz="0" w:space="0" w:color="auto"/>
        <w:right w:val="none" w:sz="0" w:space="0" w:color="auto"/>
      </w:divBdr>
      <w:divsChild>
        <w:div w:id="968973864">
          <w:marLeft w:val="0"/>
          <w:marRight w:val="0"/>
          <w:marTop w:val="0"/>
          <w:marBottom w:val="0"/>
          <w:divBdr>
            <w:top w:val="none" w:sz="0" w:space="0" w:color="auto"/>
            <w:left w:val="none" w:sz="0" w:space="0" w:color="auto"/>
            <w:bottom w:val="none" w:sz="0" w:space="0" w:color="auto"/>
            <w:right w:val="none" w:sz="0" w:space="0" w:color="auto"/>
          </w:divBdr>
          <w:divsChild>
            <w:div w:id="373970785">
              <w:marLeft w:val="0"/>
              <w:marRight w:val="0"/>
              <w:marTop w:val="0"/>
              <w:marBottom w:val="0"/>
              <w:divBdr>
                <w:top w:val="none" w:sz="0" w:space="0" w:color="auto"/>
                <w:left w:val="none" w:sz="0" w:space="0" w:color="auto"/>
                <w:bottom w:val="none" w:sz="0" w:space="0" w:color="auto"/>
                <w:right w:val="none" w:sz="0" w:space="0" w:color="auto"/>
              </w:divBdr>
              <w:divsChild>
                <w:div w:id="1808089587">
                  <w:marLeft w:val="0"/>
                  <w:marRight w:val="0"/>
                  <w:marTop w:val="0"/>
                  <w:marBottom w:val="0"/>
                  <w:divBdr>
                    <w:top w:val="none" w:sz="0" w:space="0" w:color="auto"/>
                    <w:left w:val="none" w:sz="0" w:space="0" w:color="auto"/>
                    <w:bottom w:val="none" w:sz="0" w:space="0" w:color="auto"/>
                    <w:right w:val="none" w:sz="0" w:space="0" w:color="auto"/>
                  </w:divBdr>
                  <w:divsChild>
                    <w:div w:id="168957613">
                      <w:marLeft w:val="0"/>
                      <w:marRight w:val="0"/>
                      <w:marTop w:val="0"/>
                      <w:marBottom w:val="0"/>
                      <w:divBdr>
                        <w:top w:val="none" w:sz="0" w:space="0" w:color="auto"/>
                        <w:left w:val="none" w:sz="0" w:space="0" w:color="auto"/>
                        <w:bottom w:val="none" w:sz="0" w:space="0" w:color="auto"/>
                        <w:right w:val="none" w:sz="0" w:space="0" w:color="auto"/>
                      </w:divBdr>
                      <w:divsChild>
                        <w:div w:id="1285767136">
                          <w:marLeft w:val="0"/>
                          <w:marRight w:val="0"/>
                          <w:marTop w:val="0"/>
                          <w:marBottom w:val="0"/>
                          <w:divBdr>
                            <w:top w:val="none" w:sz="0" w:space="0" w:color="auto"/>
                            <w:left w:val="none" w:sz="0" w:space="0" w:color="auto"/>
                            <w:bottom w:val="none" w:sz="0" w:space="0" w:color="auto"/>
                            <w:right w:val="none" w:sz="0" w:space="0" w:color="auto"/>
                          </w:divBdr>
                          <w:divsChild>
                            <w:div w:id="457719718">
                              <w:marLeft w:val="0"/>
                              <w:marRight w:val="0"/>
                              <w:marTop w:val="0"/>
                              <w:marBottom w:val="0"/>
                              <w:divBdr>
                                <w:top w:val="none" w:sz="0" w:space="0" w:color="auto"/>
                                <w:left w:val="none" w:sz="0" w:space="0" w:color="auto"/>
                                <w:bottom w:val="none" w:sz="0" w:space="0" w:color="auto"/>
                                <w:right w:val="none" w:sz="0" w:space="0" w:color="auto"/>
                              </w:divBdr>
                              <w:divsChild>
                                <w:div w:id="1289320330">
                                  <w:marLeft w:val="0"/>
                                  <w:marRight w:val="0"/>
                                  <w:marTop w:val="0"/>
                                  <w:marBottom w:val="0"/>
                                  <w:divBdr>
                                    <w:top w:val="none" w:sz="0" w:space="0" w:color="auto"/>
                                    <w:left w:val="none" w:sz="0" w:space="0" w:color="auto"/>
                                    <w:bottom w:val="none" w:sz="0" w:space="0" w:color="auto"/>
                                    <w:right w:val="none" w:sz="0" w:space="0" w:color="auto"/>
                                  </w:divBdr>
                                  <w:divsChild>
                                    <w:div w:id="1384258250">
                                      <w:marLeft w:val="0"/>
                                      <w:marRight w:val="0"/>
                                      <w:marTop w:val="0"/>
                                      <w:marBottom w:val="0"/>
                                      <w:divBdr>
                                        <w:top w:val="none" w:sz="0" w:space="0" w:color="auto"/>
                                        <w:left w:val="none" w:sz="0" w:space="0" w:color="auto"/>
                                        <w:bottom w:val="none" w:sz="0" w:space="0" w:color="auto"/>
                                        <w:right w:val="none" w:sz="0" w:space="0" w:color="auto"/>
                                      </w:divBdr>
                                      <w:divsChild>
                                        <w:div w:id="1811626797">
                                          <w:marLeft w:val="0"/>
                                          <w:marRight w:val="0"/>
                                          <w:marTop w:val="0"/>
                                          <w:marBottom w:val="0"/>
                                          <w:divBdr>
                                            <w:top w:val="none" w:sz="0" w:space="0" w:color="auto"/>
                                            <w:left w:val="none" w:sz="0" w:space="0" w:color="auto"/>
                                            <w:bottom w:val="none" w:sz="0" w:space="0" w:color="auto"/>
                                            <w:right w:val="none" w:sz="0" w:space="0" w:color="auto"/>
                                          </w:divBdr>
                                          <w:divsChild>
                                            <w:div w:id="147288278">
                                              <w:marLeft w:val="0"/>
                                              <w:marRight w:val="0"/>
                                              <w:marTop w:val="0"/>
                                              <w:marBottom w:val="0"/>
                                              <w:divBdr>
                                                <w:top w:val="none" w:sz="0" w:space="0" w:color="auto"/>
                                                <w:left w:val="none" w:sz="0" w:space="0" w:color="auto"/>
                                                <w:bottom w:val="none" w:sz="0" w:space="0" w:color="auto"/>
                                                <w:right w:val="none" w:sz="0" w:space="0" w:color="auto"/>
                                              </w:divBdr>
                                              <w:divsChild>
                                                <w:div w:id="15276588">
                                                  <w:marLeft w:val="0"/>
                                                  <w:marRight w:val="0"/>
                                                  <w:marTop w:val="225"/>
                                                  <w:marBottom w:val="300"/>
                                                  <w:divBdr>
                                                    <w:top w:val="none" w:sz="0" w:space="0" w:color="auto"/>
                                                    <w:left w:val="none" w:sz="0" w:space="0" w:color="auto"/>
                                                    <w:bottom w:val="none" w:sz="0" w:space="0" w:color="auto"/>
                                                    <w:right w:val="none" w:sz="0" w:space="0" w:color="auto"/>
                                                  </w:divBdr>
                                                  <w:divsChild>
                                                    <w:div w:id="1370062333">
                                                      <w:marLeft w:val="0"/>
                                                      <w:marRight w:val="0"/>
                                                      <w:marTop w:val="0"/>
                                                      <w:marBottom w:val="30"/>
                                                      <w:divBdr>
                                                        <w:top w:val="single" w:sz="6" w:space="0" w:color="E5E5E5"/>
                                                        <w:left w:val="single" w:sz="6" w:space="0" w:color="E5E5E5"/>
                                                        <w:bottom w:val="single" w:sz="6" w:space="0" w:color="E5E5E5"/>
                                                        <w:right w:val="single" w:sz="6" w:space="0" w:color="E5E5E5"/>
                                                      </w:divBdr>
                                                      <w:divsChild>
                                                        <w:div w:id="431703597">
                                                          <w:marLeft w:val="0"/>
                                                          <w:marRight w:val="0"/>
                                                          <w:marTop w:val="0"/>
                                                          <w:marBottom w:val="0"/>
                                                          <w:divBdr>
                                                            <w:top w:val="none" w:sz="0" w:space="0" w:color="auto"/>
                                                            <w:left w:val="none" w:sz="0" w:space="0" w:color="auto"/>
                                                            <w:bottom w:val="none" w:sz="0" w:space="0" w:color="auto"/>
                                                            <w:right w:val="none" w:sz="0" w:space="0" w:color="auto"/>
                                                          </w:divBdr>
                                                          <w:divsChild>
                                                            <w:div w:id="248467629">
                                                              <w:marLeft w:val="0"/>
                                                              <w:marRight w:val="0"/>
                                                              <w:marTop w:val="0"/>
                                                              <w:marBottom w:val="0"/>
                                                              <w:divBdr>
                                                                <w:top w:val="single" w:sz="6" w:space="7" w:color="E5E5E5"/>
                                                                <w:left w:val="none" w:sz="0" w:space="0" w:color="auto"/>
                                                                <w:bottom w:val="none" w:sz="0" w:space="0" w:color="auto"/>
                                                                <w:right w:val="none" w:sz="0" w:space="0" w:color="auto"/>
                                                              </w:divBdr>
                                                            </w:div>
                                                          </w:divsChild>
                                                        </w:div>
                                                        <w:div w:id="1898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496495">
      <w:bodyDiv w:val="1"/>
      <w:marLeft w:val="0"/>
      <w:marRight w:val="0"/>
      <w:marTop w:val="0"/>
      <w:marBottom w:val="0"/>
      <w:divBdr>
        <w:top w:val="none" w:sz="0" w:space="0" w:color="auto"/>
        <w:left w:val="none" w:sz="0" w:space="0" w:color="auto"/>
        <w:bottom w:val="none" w:sz="0" w:space="0" w:color="auto"/>
        <w:right w:val="none" w:sz="0" w:space="0" w:color="auto"/>
      </w:divBdr>
      <w:divsChild>
        <w:div w:id="549457052">
          <w:marLeft w:val="0"/>
          <w:marRight w:val="0"/>
          <w:marTop w:val="0"/>
          <w:marBottom w:val="0"/>
          <w:divBdr>
            <w:top w:val="none" w:sz="0" w:space="0" w:color="auto"/>
            <w:left w:val="none" w:sz="0" w:space="0" w:color="auto"/>
            <w:bottom w:val="none" w:sz="0" w:space="0" w:color="auto"/>
            <w:right w:val="none" w:sz="0" w:space="0" w:color="auto"/>
          </w:divBdr>
          <w:divsChild>
            <w:div w:id="2008819869">
              <w:marLeft w:val="0"/>
              <w:marRight w:val="0"/>
              <w:marTop w:val="0"/>
              <w:marBottom w:val="0"/>
              <w:divBdr>
                <w:top w:val="none" w:sz="0" w:space="0" w:color="auto"/>
                <w:left w:val="none" w:sz="0" w:space="0" w:color="auto"/>
                <w:bottom w:val="none" w:sz="0" w:space="0" w:color="auto"/>
                <w:right w:val="none" w:sz="0" w:space="0" w:color="auto"/>
              </w:divBdr>
              <w:divsChild>
                <w:div w:id="1848596966">
                  <w:marLeft w:val="0"/>
                  <w:marRight w:val="0"/>
                  <w:marTop w:val="0"/>
                  <w:marBottom w:val="0"/>
                  <w:divBdr>
                    <w:top w:val="none" w:sz="0" w:space="0" w:color="auto"/>
                    <w:left w:val="none" w:sz="0" w:space="0" w:color="auto"/>
                    <w:bottom w:val="none" w:sz="0" w:space="0" w:color="auto"/>
                    <w:right w:val="none" w:sz="0" w:space="0" w:color="auto"/>
                  </w:divBdr>
                  <w:divsChild>
                    <w:div w:id="1020857918">
                      <w:marLeft w:val="0"/>
                      <w:marRight w:val="0"/>
                      <w:marTop w:val="0"/>
                      <w:marBottom w:val="0"/>
                      <w:divBdr>
                        <w:top w:val="none" w:sz="0" w:space="0" w:color="auto"/>
                        <w:left w:val="none" w:sz="0" w:space="0" w:color="auto"/>
                        <w:bottom w:val="none" w:sz="0" w:space="0" w:color="auto"/>
                        <w:right w:val="none" w:sz="0" w:space="0" w:color="auto"/>
                      </w:divBdr>
                      <w:divsChild>
                        <w:div w:id="1025867743">
                          <w:marLeft w:val="0"/>
                          <w:marRight w:val="0"/>
                          <w:marTop w:val="0"/>
                          <w:marBottom w:val="0"/>
                          <w:divBdr>
                            <w:top w:val="none" w:sz="0" w:space="0" w:color="auto"/>
                            <w:left w:val="none" w:sz="0" w:space="0" w:color="auto"/>
                            <w:bottom w:val="none" w:sz="0" w:space="0" w:color="auto"/>
                            <w:right w:val="none" w:sz="0" w:space="0" w:color="auto"/>
                          </w:divBdr>
                          <w:divsChild>
                            <w:div w:id="555287410">
                              <w:marLeft w:val="0"/>
                              <w:marRight w:val="0"/>
                              <w:marTop w:val="0"/>
                              <w:marBottom w:val="0"/>
                              <w:divBdr>
                                <w:top w:val="none" w:sz="0" w:space="0" w:color="auto"/>
                                <w:left w:val="none" w:sz="0" w:space="0" w:color="auto"/>
                                <w:bottom w:val="none" w:sz="0" w:space="0" w:color="auto"/>
                                <w:right w:val="none" w:sz="0" w:space="0" w:color="auto"/>
                              </w:divBdr>
                              <w:divsChild>
                                <w:div w:id="1147430506">
                                  <w:marLeft w:val="0"/>
                                  <w:marRight w:val="0"/>
                                  <w:marTop w:val="0"/>
                                  <w:marBottom w:val="0"/>
                                  <w:divBdr>
                                    <w:top w:val="none" w:sz="0" w:space="0" w:color="auto"/>
                                    <w:left w:val="none" w:sz="0" w:space="0" w:color="auto"/>
                                    <w:bottom w:val="none" w:sz="0" w:space="0" w:color="auto"/>
                                    <w:right w:val="none" w:sz="0" w:space="0" w:color="auto"/>
                                  </w:divBdr>
                                  <w:divsChild>
                                    <w:div w:id="317805789">
                                      <w:marLeft w:val="0"/>
                                      <w:marRight w:val="0"/>
                                      <w:marTop w:val="0"/>
                                      <w:marBottom w:val="0"/>
                                      <w:divBdr>
                                        <w:top w:val="none" w:sz="0" w:space="0" w:color="auto"/>
                                        <w:left w:val="none" w:sz="0" w:space="0" w:color="auto"/>
                                        <w:bottom w:val="none" w:sz="0" w:space="0" w:color="auto"/>
                                        <w:right w:val="none" w:sz="0" w:space="0" w:color="auto"/>
                                      </w:divBdr>
                                      <w:divsChild>
                                        <w:div w:id="814030293">
                                          <w:marLeft w:val="0"/>
                                          <w:marRight w:val="0"/>
                                          <w:marTop w:val="0"/>
                                          <w:marBottom w:val="0"/>
                                          <w:divBdr>
                                            <w:top w:val="none" w:sz="0" w:space="0" w:color="auto"/>
                                            <w:left w:val="none" w:sz="0" w:space="0" w:color="auto"/>
                                            <w:bottom w:val="none" w:sz="0" w:space="0" w:color="auto"/>
                                            <w:right w:val="none" w:sz="0" w:space="0" w:color="auto"/>
                                          </w:divBdr>
                                          <w:divsChild>
                                            <w:div w:id="98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661731">
      <w:bodyDiv w:val="1"/>
      <w:marLeft w:val="0"/>
      <w:marRight w:val="0"/>
      <w:marTop w:val="0"/>
      <w:marBottom w:val="0"/>
      <w:divBdr>
        <w:top w:val="none" w:sz="0" w:space="0" w:color="auto"/>
        <w:left w:val="none" w:sz="0" w:space="0" w:color="auto"/>
        <w:bottom w:val="none" w:sz="0" w:space="0" w:color="auto"/>
        <w:right w:val="none" w:sz="0" w:space="0" w:color="auto"/>
      </w:divBdr>
      <w:divsChild>
        <w:div w:id="1433741653">
          <w:marLeft w:val="0"/>
          <w:marRight w:val="0"/>
          <w:marTop w:val="0"/>
          <w:marBottom w:val="0"/>
          <w:divBdr>
            <w:top w:val="none" w:sz="0" w:space="0" w:color="auto"/>
            <w:left w:val="none" w:sz="0" w:space="0" w:color="auto"/>
            <w:bottom w:val="none" w:sz="0" w:space="0" w:color="auto"/>
            <w:right w:val="none" w:sz="0" w:space="0" w:color="auto"/>
          </w:divBdr>
          <w:divsChild>
            <w:div w:id="1605766310">
              <w:marLeft w:val="0"/>
              <w:marRight w:val="0"/>
              <w:marTop w:val="0"/>
              <w:marBottom w:val="0"/>
              <w:divBdr>
                <w:top w:val="none" w:sz="0" w:space="0" w:color="auto"/>
                <w:left w:val="none" w:sz="0" w:space="0" w:color="auto"/>
                <w:bottom w:val="none" w:sz="0" w:space="0" w:color="auto"/>
                <w:right w:val="none" w:sz="0" w:space="0" w:color="auto"/>
              </w:divBdr>
              <w:divsChild>
                <w:div w:id="840316484">
                  <w:marLeft w:val="0"/>
                  <w:marRight w:val="0"/>
                  <w:marTop w:val="0"/>
                  <w:marBottom w:val="0"/>
                  <w:divBdr>
                    <w:top w:val="none" w:sz="0" w:space="0" w:color="auto"/>
                    <w:left w:val="none" w:sz="0" w:space="0" w:color="auto"/>
                    <w:bottom w:val="none" w:sz="0" w:space="0" w:color="auto"/>
                    <w:right w:val="none" w:sz="0" w:space="0" w:color="auto"/>
                  </w:divBdr>
                  <w:divsChild>
                    <w:div w:id="588658526">
                      <w:marLeft w:val="0"/>
                      <w:marRight w:val="0"/>
                      <w:marTop w:val="0"/>
                      <w:marBottom w:val="0"/>
                      <w:divBdr>
                        <w:top w:val="none" w:sz="0" w:space="0" w:color="auto"/>
                        <w:left w:val="none" w:sz="0" w:space="0" w:color="auto"/>
                        <w:bottom w:val="none" w:sz="0" w:space="0" w:color="auto"/>
                        <w:right w:val="none" w:sz="0" w:space="0" w:color="auto"/>
                      </w:divBdr>
                      <w:divsChild>
                        <w:div w:id="1615552172">
                          <w:marLeft w:val="0"/>
                          <w:marRight w:val="0"/>
                          <w:marTop w:val="0"/>
                          <w:marBottom w:val="0"/>
                          <w:divBdr>
                            <w:top w:val="none" w:sz="0" w:space="0" w:color="auto"/>
                            <w:left w:val="none" w:sz="0" w:space="0" w:color="auto"/>
                            <w:bottom w:val="none" w:sz="0" w:space="0" w:color="auto"/>
                            <w:right w:val="none" w:sz="0" w:space="0" w:color="auto"/>
                          </w:divBdr>
                          <w:divsChild>
                            <w:div w:id="811139838">
                              <w:marLeft w:val="0"/>
                              <w:marRight w:val="0"/>
                              <w:marTop w:val="0"/>
                              <w:marBottom w:val="0"/>
                              <w:divBdr>
                                <w:top w:val="none" w:sz="0" w:space="0" w:color="auto"/>
                                <w:left w:val="none" w:sz="0" w:space="0" w:color="auto"/>
                                <w:bottom w:val="none" w:sz="0" w:space="0" w:color="auto"/>
                                <w:right w:val="none" w:sz="0" w:space="0" w:color="auto"/>
                              </w:divBdr>
                              <w:divsChild>
                                <w:div w:id="199972191">
                                  <w:marLeft w:val="0"/>
                                  <w:marRight w:val="0"/>
                                  <w:marTop w:val="0"/>
                                  <w:marBottom w:val="0"/>
                                  <w:divBdr>
                                    <w:top w:val="none" w:sz="0" w:space="0" w:color="auto"/>
                                    <w:left w:val="none" w:sz="0" w:space="0" w:color="auto"/>
                                    <w:bottom w:val="none" w:sz="0" w:space="0" w:color="auto"/>
                                    <w:right w:val="none" w:sz="0" w:space="0" w:color="auto"/>
                                  </w:divBdr>
                                  <w:divsChild>
                                    <w:div w:id="792675293">
                                      <w:marLeft w:val="0"/>
                                      <w:marRight w:val="0"/>
                                      <w:marTop w:val="0"/>
                                      <w:marBottom w:val="0"/>
                                      <w:divBdr>
                                        <w:top w:val="none" w:sz="0" w:space="0" w:color="auto"/>
                                        <w:left w:val="none" w:sz="0" w:space="0" w:color="auto"/>
                                        <w:bottom w:val="none" w:sz="0" w:space="0" w:color="auto"/>
                                        <w:right w:val="none" w:sz="0" w:space="0" w:color="auto"/>
                                      </w:divBdr>
                                      <w:divsChild>
                                        <w:div w:id="1853447829">
                                          <w:marLeft w:val="0"/>
                                          <w:marRight w:val="0"/>
                                          <w:marTop w:val="0"/>
                                          <w:marBottom w:val="0"/>
                                          <w:divBdr>
                                            <w:top w:val="none" w:sz="0" w:space="0" w:color="auto"/>
                                            <w:left w:val="none" w:sz="0" w:space="0" w:color="auto"/>
                                            <w:bottom w:val="none" w:sz="0" w:space="0" w:color="auto"/>
                                            <w:right w:val="none" w:sz="0" w:space="0" w:color="auto"/>
                                          </w:divBdr>
                                          <w:divsChild>
                                            <w:div w:id="1884635719">
                                              <w:marLeft w:val="0"/>
                                              <w:marRight w:val="0"/>
                                              <w:marTop w:val="0"/>
                                              <w:marBottom w:val="0"/>
                                              <w:divBdr>
                                                <w:top w:val="none" w:sz="0" w:space="0" w:color="auto"/>
                                                <w:left w:val="none" w:sz="0" w:space="0" w:color="auto"/>
                                                <w:bottom w:val="none" w:sz="0" w:space="0" w:color="auto"/>
                                                <w:right w:val="none" w:sz="0" w:space="0" w:color="auto"/>
                                              </w:divBdr>
                                              <w:divsChild>
                                                <w:div w:id="420834111">
                                                  <w:marLeft w:val="0"/>
                                                  <w:marRight w:val="0"/>
                                                  <w:marTop w:val="0"/>
                                                  <w:marBottom w:val="0"/>
                                                  <w:divBdr>
                                                    <w:top w:val="none" w:sz="0" w:space="0" w:color="auto"/>
                                                    <w:left w:val="none" w:sz="0" w:space="0" w:color="auto"/>
                                                    <w:bottom w:val="none" w:sz="0" w:space="0" w:color="auto"/>
                                                    <w:right w:val="none" w:sz="0" w:space="0" w:color="auto"/>
                                                  </w:divBdr>
                                                </w:div>
                                                <w:div w:id="8560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280597">
      <w:bodyDiv w:val="1"/>
      <w:marLeft w:val="0"/>
      <w:marRight w:val="0"/>
      <w:marTop w:val="0"/>
      <w:marBottom w:val="0"/>
      <w:divBdr>
        <w:top w:val="none" w:sz="0" w:space="0" w:color="auto"/>
        <w:left w:val="none" w:sz="0" w:space="0" w:color="auto"/>
        <w:bottom w:val="none" w:sz="0" w:space="0" w:color="auto"/>
        <w:right w:val="none" w:sz="0" w:space="0" w:color="auto"/>
      </w:divBdr>
      <w:divsChild>
        <w:div w:id="1385718866">
          <w:marLeft w:val="0"/>
          <w:marRight w:val="0"/>
          <w:marTop w:val="0"/>
          <w:marBottom w:val="0"/>
          <w:divBdr>
            <w:top w:val="none" w:sz="0" w:space="0" w:color="auto"/>
            <w:left w:val="none" w:sz="0" w:space="0" w:color="auto"/>
            <w:bottom w:val="none" w:sz="0" w:space="0" w:color="auto"/>
            <w:right w:val="none" w:sz="0" w:space="0" w:color="auto"/>
          </w:divBdr>
          <w:divsChild>
            <w:div w:id="143550023">
              <w:marLeft w:val="0"/>
              <w:marRight w:val="0"/>
              <w:marTop w:val="0"/>
              <w:marBottom w:val="0"/>
              <w:divBdr>
                <w:top w:val="none" w:sz="0" w:space="0" w:color="auto"/>
                <w:left w:val="none" w:sz="0" w:space="0" w:color="auto"/>
                <w:bottom w:val="none" w:sz="0" w:space="0" w:color="auto"/>
                <w:right w:val="none" w:sz="0" w:space="0" w:color="auto"/>
              </w:divBdr>
              <w:divsChild>
                <w:div w:id="1193491614">
                  <w:marLeft w:val="0"/>
                  <w:marRight w:val="0"/>
                  <w:marTop w:val="0"/>
                  <w:marBottom w:val="0"/>
                  <w:divBdr>
                    <w:top w:val="none" w:sz="0" w:space="0" w:color="auto"/>
                    <w:left w:val="none" w:sz="0" w:space="0" w:color="auto"/>
                    <w:bottom w:val="none" w:sz="0" w:space="0" w:color="auto"/>
                    <w:right w:val="none" w:sz="0" w:space="0" w:color="auto"/>
                  </w:divBdr>
                  <w:divsChild>
                    <w:div w:id="423691446">
                      <w:marLeft w:val="0"/>
                      <w:marRight w:val="0"/>
                      <w:marTop w:val="0"/>
                      <w:marBottom w:val="0"/>
                      <w:divBdr>
                        <w:top w:val="none" w:sz="0" w:space="0" w:color="auto"/>
                        <w:left w:val="none" w:sz="0" w:space="0" w:color="auto"/>
                        <w:bottom w:val="none" w:sz="0" w:space="0" w:color="auto"/>
                        <w:right w:val="none" w:sz="0" w:space="0" w:color="auto"/>
                      </w:divBdr>
                      <w:divsChild>
                        <w:div w:id="871307169">
                          <w:marLeft w:val="0"/>
                          <w:marRight w:val="0"/>
                          <w:marTop w:val="0"/>
                          <w:marBottom w:val="0"/>
                          <w:divBdr>
                            <w:top w:val="none" w:sz="0" w:space="0" w:color="auto"/>
                            <w:left w:val="none" w:sz="0" w:space="0" w:color="auto"/>
                            <w:bottom w:val="none" w:sz="0" w:space="0" w:color="auto"/>
                            <w:right w:val="none" w:sz="0" w:space="0" w:color="auto"/>
                          </w:divBdr>
                          <w:divsChild>
                            <w:div w:id="1003970841">
                              <w:marLeft w:val="0"/>
                              <w:marRight w:val="0"/>
                              <w:marTop w:val="0"/>
                              <w:marBottom w:val="0"/>
                              <w:divBdr>
                                <w:top w:val="none" w:sz="0" w:space="0" w:color="auto"/>
                                <w:left w:val="none" w:sz="0" w:space="0" w:color="auto"/>
                                <w:bottom w:val="none" w:sz="0" w:space="0" w:color="auto"/>
                                <w:right w:val="none" w:sz="0" w:space="0" w:color="auto"/>
                              </w:divBdr>
                              <w:divsChild>
                                <w:div w:id="976956410">
                                  <w:marLeft w:val="0"/>
                                  <w:marRight w:val="0"/>
                                  <w:marTop w:val="0"/>
                                  <w:marBottom w:val="0"/>
                                  <w:divBdr>
                                    <w:top w:val="none" w:sz="0" w:space="0" w:color="auto"/>
                                    <w:left w:val="none" w:sz="0" w:space="0" w:color="auto"/>
                                    <w:bottom w:val="none" w:sz="0" w:space="0" w:color="auto"/>
                                    <w:right w:val="none" w:sz="0" w:space="0" w:color="auto"/>
                                  </w:divBdr>
                                  <w:divsChild>
                                    <w:div w:id="856961382">
                                      <w:marLeft w:val="0"/>
                                      <w:marRight w:val="0"/>
                                      <w:marTop w:val="0"/>
                                      <w:marBottom w:val="0"/>
                                      <w:divBdr>
                                        <w:top w:val="none" w:sz="0" w:space="0" w:color="auto"/>
                                        <w:left w:val="none" w:sz="0" w:space="0" w:color="auto"/>
                                        <w:bottom w:val="none" w:sz="0" w:space="0" w:color="auto"/>
                                        <w:right w:val="none" w:sz="0" w:space="0" w:color="auto"/>
                                      </w:divBdr>
                                      <w:divsChild>
                                        <w:div w:id="1950578968">
                                          <w:marLeft w:val="0"/>
                                          <w:marRight w:val="0"/>
                                          <w:marTop w:val="0"/>
                                          <w:marBottom w:val="0"/>
                                          <w:divBdr>
                                            <w:top w:val="none" w:sz="0" w:space="0" w:color="auto"/>
                                            <w:left w:val="none" w:sz="0" w:space="0" w:color="auto"/>
                                            <w:bottom w:val="none" w:sz="0" w:space="0" w:color="auto"/>
                                            <w:right w:val="none" w:sz="0" w:space="0" w:color="auto"/>
                                          </w:divBdr>
                                          <w:divsChild>
                                            <w:div w:id="1819104772">
                                              <w:marLeft w:val="0"/>
                                              <w:marRight w:val="0"/>
                                              <w:marTop w:val="0"/>
                                              <w:marBottom w:val="0"/>
                                              <w:divBdr>
                                                <w:top w:val="none" w:sz="0" w:space="0" w:color="auto"/>
                                                <w:left w:val="none" w:sz="0" w:space="0" w:color="auto"/>
                                                <w:bottom w:val="none" w:sz="0" w:space="0" w:color="auto"/>
                                                <w:right w:val="none" w:sz="0" w:space="0" w:color="auto"/>
                                              </w:divBdr>
                                              <w:divsChild>
                                                <w:div w:id="404957987">
                                                  <w:marLeft w:val="0"/>
                                                  <w:marRight w:val="0"/>
                                                  <w:marTop w:val="225"/>
                                                  <w:marBottom w:val="300"/>
                                                  <w:divBdr>
                                                    <w:top w:val="none" w:sz="0" w:space="0" w:color="auto"/>
                                                    <w:left w:val="none" w:sz="0" w:space="0" w:color="auto"/>
                                                    <w:bottom w:val="none" w:sz="0" w:space="0" w:color="auto"/>
                                                    <w:right w:val="none" w:sz="0" w:space="0" w:color="auto"/>
                                                  </w:divBdr>
                                                  <w:divsChild>
                                                    <w:div w:id="724254768">
                                                      <w:marLeft w:val="0"/>
                                                      <w:marRight w:val="0"/>
                                                      <w:marTop w:val="0"/>
                                                      <w:marBottom w:val="30"/>
                                                      <w:divBdr>
                                                        <w:top w:val="single" w:sz="6" w:space="0" w:color="E5E5E5"/>
                                                        <w:left w:val="single" w:sz="6" w:space="0" w:color="E5E5E5"/>
                                                        <w:bottom w:val="single" w:sz="6" w:space="0" w:color="E5E5E5"/>
                                                        <w:right w:val="single" w:sz="6" w:space="0" w:color="E5E5E5"/>
                                                      </w:divBdr>
                                                      <w:divsChild>
                                                        <w:div w:id="384528833">
                                                          <w:marLeft w:val="0"/>
                                                          <w:marRight w:val="0"/>
                                                          <w:marTop w:val="0"/>
                                                          <w:marBottom w:val="0"/>
                                                          <w:divBdr>
                                                            <w:top w:val="none" w:sz="0" w:space="0" w:color="auto"/>
                                                            <w:left w:val="none" w:sz="0" w:space="0" w:color="auto"/>
                                                            <w:bottom w:val="none" w:sz="0" w:space="0" w:color="auto"/>
                                                            <w:right w:val="none" w:sz="0" w:space="0" w:color="auto"/>
                                                          </w:divBdr>
                                                          <w:divsChild>
                                                            <w:div w:id="1560751575">
                                                              <w:marLeft w:val="0"/>
                                                              <w:marRight w:val="0"/>
                                                              <w:marTop w:val="0"/>
                                                              <w:marBottom w:val="0"/>
                                                              <w:divBdr>
                                                                <w:top w:val="single" w:sz="6" w:space="7" w:color="E5E5E5"/>
                                                                <w:left w:val="none" w:sz="0" w:space="0" w:color="auto"/>
                                                                <w:bottom w:val="none" w:sz="0" w:space="0" w:color="auto"/>
                                                                <w:right w:val="none" w:sz="0" w:space="0" w:color="auto"/>
                                                              </w:divBdr>
                                                            </w:div>
                                                          </w:divsChild>
                                                        </w:div>
                                                        <w:div w:id="882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523574">
      <w:bodyDiv w:val="1"/>
      <w:marLeft w:val="0"/>
      <w:marRight w:val="0"/>
      <w:marTop w:val="0"/>
      <w:marBottom w:val="0"/>
      <w:divBdr>
        <w:top w:val="none" w:sz="0" w:space="0" w:color="auto"/>
        <w:left w:val="none" w:sz="0" w:space="0" w:color="auto"/>
        <w:bottom w:val="none" w:sz="0" w:space="0" w:color="auto"/>
        <w:right w:val="none" w:sz="0" w:space="0" w:color="auto"/>
      </w:divBdr>
      <w:divsChild>
        <w:div w:id="936791344">
          <w:marLeft w:val="0"/>
          <w:marRight w:val="0"/>
          <w:marTop w:val="0"/>
          <w:marBottom w:val="0"/>
          <w:divBdr>
            <w:top w:val="none" w:sz="0" w:space="0" w:color="auto"/>
            <w:left w:val="none" w:sz="0" w:space="0" w:color="auto"/>
            <w:bottom w:val="none" w:sz="0" w:space="0" w:color="auto"/>
            <w:right w:val="none" w:sz="0" w:space="0" w:color="auto"/>
          </w:divBdr>
          <w:divsChild>
            <w:div w:id="1602639499">
              <w:marLeft w:val="0"/>
              <w:marRight w:val="0"/>
              <w:marTop w:val="0"/>
              <w:marBottom w:val="0"/>
              <w:divBdr>
                <w:top w:val="none" w:sz="0" w:space="0" w:color="auto"/>
                <w:left w:val="none" w:sz="0" w:space="0" w:color="auto"/>
                <w:bottom w:val="none" w:sz="0" w:space="0" w:color="auto"/>
                <w:right w:val="none" w:sz="0" w:space="0" w:color="auto"/>
              </w:divBdr>
              <w:divsChild>
                <w:div w:id="918707269">
                  <w:marLeft w:val="0"/>
                  <w:marRight w:val="0"/>
                  <w:marTop w:val="0"/>
                  <w:marBottom w:val="0"/>
                  <w:divBdr>
                    <w:top w:val="none" w:sz="0" w:space="0" w:color="auto"/>
                    <w:left w:val="none" w:sz="0" w:space="0" w:color="auto"/>
                    <w:bottom w:val="none" w:sz="0" w:space="0" w:color="auto"/>
                    <w:right w:val="none" w:sz="0" w:space="0" w:color="auto"/>
                  </w:divBdr>
                  <w:divsChild>
                    <w:div w:id="20474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292">
      <w:bodyDiv w:val="1"/>
      <w:marLeft w:val="0"/>
      <w:marRight w:val="0"/>
      <w:marTop w:val="0"/>
      <w:marBottom w:val="0"/>
      <w:divBdr>
        <w:top w:val="none" w:sz="0" w:space="0" w:color="auto"/>
        <w:left w:val="none" w:sz="0" w:space="0" w:color="auto"/>
        <w:bottom w:val="none" w:sz="0" w:space="0" w:color="auto"/>
        <w:right w:val="none" w:sz="0" w:space="0" w:color="auto"/>
      </w:divBdr>
      <w:divsChild>
        <w:div w:id="332686395">
          <w:marLeft w:val="0"/>
          <w:marRight w:val="0"/>
          <w:marTop w:val="0"/>
          <w:marBottom w:val="0"/>
          <w:divBdr>
            <w:top w:val="none" w:sz="0" w:space="0" w:color="auto"/>
            <w:left w:val="none" w:sz="0" w:space="0" w:color="auto"/>
            <w:bottom w:val="none" w:sz="0" w:space="0" w:color="auto"/>
            <w:right w:val="none" w:sz="0" w:space="0" w:color="auto"/>
          </w:divBdr>
          <w:divsChild>
            <w:div w:id="1025056961">
              <w:marLeft w:val="0"/>
              <w:marRight w:val="0"/>
              <w:marTop w:val="0"/>
              <w:marBottom w:val="0"/>
              <w:divBdr>
                <w:top w:val="none" w:sz="0" w:space="0" w:color="auto"/>
                <w:left w:val="none" w:sz="0" w:space="0" w:color="auto"/>
                <w:bottom w:val="none" w:sz="0" w:space="0" w:color="auto"/>
                <w:right w:val="none" w:sz="0" w:space="0" w:color="auto"/>
              </w:divBdr>
              <w:divsChild>
                <w:div w:id="1730641647">
                  <w:marLeft w:val="0"/>
                  <w:marRight w:val="0"/>
                  <w:marTop w:val="0"/>
                  <w:marBottom w:val="0"/>
                  <w:divBdr>
                    <w:top w:val="none" w:sz="0" w:space="0" w:color="auto"/>
                    <w:left w:val="none" w:sz="0" w:space="0" w:color="auto"/>
                    <w:bottom w:val="none" w:sz="0" w:space="0" w:color="auto"/>
                    <w:right w:val="none" w:sz="0" w:space="0" w:color="auto"/>
                  </w:divBdr>
                  <w:divsChild>
                    <w:div w:id="2027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4862">
      <w:bodyDiv w:val="1"/>
      <w:marLeft w:val="0"/>
      <w:marRight w:val="0"/>
      <w:marTop w:val="0"/>
      <w:marBottom w:val="0"/>
      <w:divBdr>
        <w:top w:val="none" w:sz="0" w:space="0" w:color="auto"/>
        <w:left w:val="none" w:sz="0" w:space="0" w:color="auto"/>
        <w:bottom w:val="none" w:sz="0" w:space="0" w:color="auto"/>
        <w:right w:val="none" w:sz="0" w:space="0" w:color="auto"/>
      </w:divBdr>
      <w:divsChild>
        <w:div w:id="742726496">
          <w:marLeft w:val="0"/>
          <w:marRight w:val="0"/>
          <w:marTop w:val="0"/>
          <w:marBottom w:val="0"/>
          <w:divBdr>
            <w:top w:val="none" w:sz="0" w:space="0" w:color="auto"/>
            <w:left w:val="none" w:sz="0" w:space="0" w:color="auto"/>
            <w:bottom w:val="none" w:sz="0" w:space="0" w:color="auto"/>
            <w:right w:val="none" w:sz="0" w:space="0" w:color="auto"/>
          </w:divBdr>
          <w:divsChild>
            <w:div w:id="994069480">
              <w:marLeft w:val="0"/>
              <w:marRight w:val="0"/>
              <w:marTop w:val="0"/>
              <w:marBottom w:val="0"/>
              <w:divBdr>
                <w:top w:val="none" w:sz="0" w:space="0" w:color="auto"/>
                <w:left w:val="none" w:sz="0" w:space="0" w:color="auto"/>
                <w:bottom w:val="none" w:sz="0" w:space="0" w:color="auto"/>
                <w:right w:val="none" w:sz="0" w:space="0" w:color="auto"/>
              </w:divBdr>
              <w:divsChild>
                <w:div w:id="100879794">
                  <w:marLeft w:val="0"/>
                  <w:marRight w:val="0"/>
                  <w:marTop w:val="0"/>
                  <w:marBottom w:val="0"/>
                  <w:divBdr>
                    <w:top w:val="none" w:sz="0" w:space="0" w:color="auto"/>
                    <w:left w:val="none" w:sz="0" w:space="0" w:color="auto"/>
                    <w:bottom w:val="none" w:sz="0" w:space="0" w:color="auto"/>
                    <w:right w:val="none" w:sz="0" w:space="0" w:color="auto"/>
                  </w:divBdr>
                  <w:divsChild>
                    <w:div w:id="16603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9283">
      <w:bodyDiv w:val="1"/>
      <w:marLeft w:val="0"/>
      <w:marRight w:val="0"/>
      <w:marTop w:val="0"/>
      <w:marBottom w:val="0"/>
      <w:divBdr>
        <w:top w:val="none" w:sz="0" w:space="0" w:color="auto"/>
        <w:left w:val="none" w:sz="0" w:space="0" w:color="auto"/>
        <w:bottom w:val="none" w:sz="0" w:space="0" w:color="auto"/>
        <w:right w:val="none" w:sz="0" w:space="0" w:color="auto"/>
      </w:divBdr>
      <w:divsChild>
        <w:div w:id="1795712683">
          <w:marLeft w:val="0"/>
          <w:marRight w:val="0"/>
          <w:marTop w:val="0"/>
          <w:marBottom w:val="0"/>
          <w:divBdr>
            <w:top w:val="none" w:sz="0" w:space="0" w:color="auto"/>
            <w:left w:val="none" w:sz="0" w:space="0" w:color="auto"/>
            <w:bottom w:val="none" w:sz="0" w:space="0" w:color="auto"/>
            <w:right w:val="none" w:sz="0" w:space="0" w:color="auto"/>
          </w:divBdr>
          <w:divsChild>
            <w:div w:id="1341004781">
              <w:marLeft w:val="0"/>
              <w:marRight w:val="0"/>
              <w:marTop w:val="0"/>
              <w:marBottom w:val="0"/>
              <w:divBdr>
                <w:top w:val="none" w:sz="0" w:space="0" w:color="auto"/>
                <w:left w:val="none" w:sz="0" w:space="0" w:color="auto"/>
                <w:bottom w:val="none" w:sz="0" w:space="0" w:color="auto"/>
                <w:right w:val="none" w:sz="0" w:space="0" w:color="auto"/>
              </w:divBdr>
              <w:divsChild>
                <w:div w:id="1586768044">
                  <w:marLeft w:val="0"/>
                  <w:marRight w:val="0"/>
                  <w:marTop w:val="0"/>
                  <w:marBottom w:val="0"/>
                  <w:divBdr>
                    <w:top w:val="none" w:sz="0" w:space="0" w:color="auto"/>
                    <w:left w:val="none" w:sz="0" w:space="0" w:color="auto"/>
                    <w:bottom w:val="none" w:sz="0" w:space="0" w:color="auto"/>
                    <w:right w:val="none" w:sz="0" w:space="0" w:color="auto"/>
                  </w:divBdr>
                  <w:divsChild>
                    <w:div w:id="2010448942">
                      <w:marLeft w:val="0"/>
                      <w:marRight w:val="0"/>
                      <w:marTop w:val="0"/>
                      <w:marBottom w:val="0"/>
                      <w:divBdr>
                        <w:top w:val="none" w:sz="0" w:space="0" w:color="auto"/>
                        <w:left w:val="none" w:sz="0" w:space="0" w:color="auto"/>
                        <w:bottom w:val="none" w:sz="0" w:space="0" w:color="auto"/>
                        <w:right w:val="none" w:sz="0" w:space="0" w:color="auto"/>
                      </w:divBdr>
                      <w:divsChild>
                        <w:div w:id="88813541">
                          <w:marLeft w:val="0"/>
                          <w:marRight w:val="0"/>
                          <w:marTop w:val="0"/>
                          <w:marBottom w:val="0"/>
                          <w:divBdr>
                            <w:top w:val="none" w:sz="0" w:space="0" w:color="auto"/>
                            <w:left w:val="none" w:sz="0" w:space="0" w:color="auto"/>
                            <w:bottom w:val="none" w:sz="0" w:space="0" w:color="auto"/>
                            <w:right w:val="none" w:sz="0" w:space="0" w:color="auto"/>
                          </w:divBdr>
                          <w:divsChild>
                            <w:div w:id="1650162787">
                              <w:marLeft w:val="0"/>
                              <w:marRight w:val="0"/>
                              <w:marTop w:val="0"/>
                              <w:marBottom w:val="0"/>
                              <w:divBdr>
                                <w:top w:val="none" w:sz="0" w:space="0" w:color="auto"/>
                                <w:left w:val="none" w:sz="0" w:space="0" w:color="auto"/>
                                <w:bottom w:val="none" w:sz="0" w:space="0" w:color="auto"/>
                                <w:right w:val="none" w:sz="0" w:space="0" w:color="auto"/>
                              </w:divBdr>
                              <w:divsChild>
                                <w:div w:id="941063176">
                                  <w:marLeft w:val="0"/>
                                  <w:marRight w:val="0"/>
                                  <w:marTop w:val="0"/>
                                  <w:marBottom w:val="0"/>
                                  <w:divBdr>
                                    <w:top w:val="none" w:sz="0" w:space="0" w:color="auto"/>
                                    <w:left w:val="none" w:sz="0" w:space="0" w:color="auto"/>
                                    <w:bottom w:val="none" w:sz="0" w:space="0" w:color="auto"/>
                                    <w:right w:val="none" w:sz="0" w:space="0" w:color="auto"/>
                                  </w:divBdr>
                                  <w:divsChild>
                                    <w:div w:id="6685244">
                                      <w:marLeft w:val="0"/>
                                      <w:marRight w:val="0"/>
                                      <w:marTop w:val="0"/>
                                      <w:marBottom w:val="0"/>
                                      <w:divBdr>
                                        <w:top w:val="none" w:sz="0" w:space="0" w:color="auto"/>
                                        <w:left w:val="none" w:sz="0" w:space="0" w:color="auto"/>
                                        <w:bottom w:val="none" w:sz="0" w:space="0" w:color="auto"/>
                                        <w:right w:val="none" w:sz="0" w:space="0" w:color="auto"/>
                                      </w:divBdr>
                                      <w:divsChild>
                                        <w:div w:id="1423454735">
                                          <w:marLeft w:val="0"/>
                                          <w:marRight w:val="0"/>
                                          <w:marTop w:val="0"/>
                                          <w:marBottom w:val="0"/>
                                          <w:divBdr>
                                            <w:top w:val="none" w:sz="0" w:space="0" w:color="auto"/>
                                            <w:left w:val="none" w:sz="0" w:space="0" w:color="auto"/>
                                            <w:bottom w:val="none" w:sz="0" w:space="0" w:color="auto"/>
                                            <w:right w:val="none" w:sz="0" w:space="0" w:color="auto"/>
                                          </w:divBdr>
                                          <w:divsChild>
                                            <w:div w:id="7789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452639">
      <w:bodyDiv w:val="1"/>
      <w:marLeft w:val="0"/>
      <w:marRight w:val="0"/>
      <w:marTop w:val="0"/>
      <w:marBottom w:val="0"/>
      <w:divBdr>
        <w:top w:val="none" w:sz="0" w:space="0" w:color="auto"/>
        <w:left w:val="none" w:sz="0" w:space="0" w:color="auto"/>
        <w:bottom w:val="none" w:sz="0" w:space="0" w:color="auto"/>
        <w:right w:val="none" w:sz="0" w:space="0" w:color="auto"/>
      </w:divBdr>
      <w:divsChild>
        <w:div w:id="2083287460">
          <w:marLeft w:val="0"/>
          <w:marRight w:val="0"/>
          <w:marTop w:val="0"/>
          <w:marBottom w:val="0"/>
          <w:divBdr>
            <w:top w:val="none" w:sz="0" w:space="0" w:color="auto"/>
            <w:left w:val="none" w:sz="0" w:space="0" w:color="auto"/>
            <w:bottom w:val="none" w:sz="0" w:space="0" w:color="auto"/>
            <w:right w:val="none" w:sz="0" w:space="0" w:color="auto"/>
          </w:divBdr>
          <w:divsChild>
            <w:div w:id="520630972">
              <w:marLeft w:val="0"/>
              <w:marRight w:val="0"/>
              <w:marTop w:val="0"/>
              <w:marBottom w:val="0"/>
              <w:divBdr>
                <w:top w:val="none" w:sz="0" w:space="0" w:color="auto"/>
                <w:left w:val="none" w:sz="0" w:space="0" w:color="auto"/>
                <w:bottom w:val="none" w:sz="0" w:space="0" w:color="auto"/>
                <w:right w:val="none" w:sz="0" w:space="0" w:color="auto"/>
              </w:divBdr>
              <w:divsChild>
                <w:div w:id="289289340">
                  <w:marLeft w:val="0"/>
                  <w:marRight w:val="0"/>
                  <w:marTop w:val="0"/>
                  <w:marBottom w:val="0"/>
                  <w:divBdr>
                    <w:top w:val="none" w:sz="0" w:space="0" w:color="auto"/>
                    <w:left w:val="none" w:sz="0" w:space="0" w:color="auto"/>
                    <w:bottom w:val="none" w:sz="0" w:space="0" w:color="auto"/>
                    <w:right w:val="none" w:sz="0" w:space="0" w:color="auto"/>
                  </w:divBdr>
                  <w:divsChild>
                    <w:div w:id="2064130881">
                      <w:marLeft w:val="0"/>
                      <w:marRight w:val="0"/>
                      <w:marTop w:val="0"/>
                      <w:marBottom w:val="0"/>
                      <w:divBdr>
                        <w:top w:val="none" w:sz="0" w:space="0" w:color="auto"/>
                        <w:left w:val="none" w:sz="0" w:space="0" w:color="auto"/>
                        <w:bottom w:val="none" w:sz="0" w:space="0" w:color="auto"/>
                        <w:right w:val="none" w:sz="0" w:space="0" w:color="auto"/>
                      </w:divBdr>
                      <w:divsChild>
                        <w:div w:id="1198591467">
                          <w:marLeft w:val="0"/>
                          <w:marRight w:val="0"/>
                          <w:marTop w:val="0"/>
                          <w:marBottom w:val="0"/>
                          <w:divBdr>
                            <w:top w:val="none" w:sz="0" w:space="0" w:color="auto"/>
                            <w:left w:val="none" w:sz="0" w:space="0" w:color="auto"/>
                            <w:bottom w:val="none" w:sz="0" w:space="0" w:color="auto"/>
                            <w:right w:val="none" w:sz="0" w:space="0" w:color="auto"/>
                          </w:divBdr>
                          <w:divsChild>
                            <w:div w:id="349380735">
                              <w:marLeft w:val="0"/>
                              <w:marRight w:val="0"/>
                              <w:marTop w:val="0"/>
                              <w:marBottom w:val="0"/>
                              <w:divBdr>
                                <w:top w:val="none" w:sz="0" w:space="0" w:color="auto"/>
                                <w:left w:val="none" w:sz="0" w:space="0" w:color="auto"/>
                                <w:bottom w:val="none" w:sz="0" w:space="0" w:color="auto"/>
                                <w:right w:val="none" w:sz="0" w:space="0" w:color="auto"/>
                              </w:divBdr>
                              <w:divsChild>
                                <w:div w:id="748504843">
                                  <w:marLeft w:val="0"/>
                                  <w:marRight w:val="0"/>
                                  <w:marTop w:val="0"/>
                                  <w:marBottom w:val="0"/>
                                  <w:divBdr>
                                    <w:top w:val="none" w:sz="0" w:space="0" w:color="auto"/>
                                    <w:left w:val="none" w:sz="0" w:space="0" w:color="auto"/>
                                    <w:bottom w:val="none" w:sz="0" w:space="0" w:color="auto"/>
                                    <w:right w:val="none" w:sz="0" w:space="0" w:color="auto"/>
                                  </w:divBdr>
                                  <w:divsChild>
                                    <w:div w:id="517892011">
                                      <w:marLeft w:val="0"/>
                                      <w:marRight w:val="0"/>
                                      <w:marTop w:val="0"/>
                                      <w:marBottom w:val="0"/>
                                      <w:divBdr>
                                        <w:top w:val="none" w:sz="0" w:space="0" w:color="auto"/>
                                        <w:left w:val="none" w:sz="0" w:space="0" w:color="auto"/>
                                        <w:bottom w:val="none" w:sz="0" w:space="0" w:color="auto"/>
                                        <w:right w:val="none" w:sz="0" w:space="0" w:color="auto"/>
                                      </w:divBdr>
                                      <w:divsChild>
                                        <w:div w:id="1691835162">
                                          <w:marLeft w:val="0"/>
                                          <w:marRight w:val="0"/>
                                          <w:marTop w:val="0"/>
                                          <w:marBottom w:val="0"/>
                                          <w:divBdr>
                                            <w:top w:val="none" w:sz="0" w:space="0" w:color="auto"/>
                                            <w:left w:val="none" w:sz="0" w:space="0" w:color="auto"/>
                                            <w:bottom w:val="none" w:sz="0" w:space="0" w:color="auto"/>
                                            <w:right w:val="none" w:sz="0" w:space="0" w:color="auto"/>
                                          </w:divBdr>
                                          <w:divsChild>
                                            <w:div w:id="572157856">
                                              <w:marLeft w:val="0"/>
                                              <w:marRight w:val="0"/>
                                              <w:marTop w:val="0"/>
                                              <w:marBottom w:val="0"/>
                                              <w:divBdr>
                                                <w:top w:val="none" w:sz="0" w:space="0" w:color="auto"/>
                                                <w:left w:val="none" w:sz="0" w:space="0" w:color="auto"/>
                                                <w:bottom w:val="none" w:sz="0" w:space="0" w:color="auto"/>
                                                <w:right w:val="none" w:sz="0" w:space="0" w:color="auto"/>
                                              </w:divBdr>
                                              <w:divsChild>
                                                <w:div w:id="127863012">
                                                  <w:marLeft w:val="0"/>
                                                  <w:marRight w:val="0"/>
                                                  <w:marTop w:val="225"/>
                                                  <w:marBottom w:val="300"/>
                                                  <w:divBdr>
                                                    <w:top w:val="none" w:sz="0" w:space="0" w:color="auto"/>
                                                    <w:left w:val="none" w:sz="0" w:space="0" w:color="auto"/>
                                                    <w:bottom w:val="none" w:sz="0" w:space="0" w:color="auto"/>
                                                    <w:right w:val="none" w:sz="0" w:space="0" w:color="auto"/>
                                                  </w:divBdr>
                                                  <w:divsChild>
                                                    <w:div w:id="1045838692">
                                                      <w:marLeft w:val="0"/>
                                                      <w:marRight w:val="0"/>
                                                      <w:marTop w:val="0"/>
                                                      <w:marBottom w:val="30"/>
                                                      <w:divBdr>
                                                        <w:top w:val="single" w:sz="6" w:space="0" w:color="E5E5E5"/>
                                                        <w:left w:val="single" w:sz="6" w:space="0" w:color="E5E5E5"/>
                                                        <w:bottom w:val="single" w:sz="6" w:space="0" w:color="E5E5E5"/>
                                                        <w:right w:val="single" w:sz="6" w:space="0" w:color="E5E5E5"/>
                                                      </w:divBdr>
                                                      <w:divsChild>
                                                        <w:div w:id="301010072">
                                                          <w:marLeft w:val="0"/>
                                                          <w:marRight w:val="0"/>
                                                          <w:marTop w:val="0"/>
                                                          <w:marBottom w:val="0"/>
                                                          <w:divBdr>
                                                            <w:top w:val="none" w:sz="0" w:space="0" w:color="auto"/>
                                                            <w:left w:val="none" w:sz="0" w:space="0" w:color="auto"/>
                                                            <w:bottom w:val="none" w:sz="0" w:space="0" w:color="auto"/>
                                                            <w:right w:val="none" w:sz="0" w:space="0" w:color="auto"/>
                                                          </w:divBdr>
                                                        </w:div>
                                                        <w:div w:id="483547050">
                                                          <w:marLeft w:val="0"/>
                                                          <w:marRight w:val="0"/>
                                                          <w:marTop w:val="0"/>
                                                          <w:marBottom w:val="0"/>
                                                          <w:divBdr>
                                                            <w:top w:val="none" w:sz="0" w:space="0" w:color="auto"/>
                                                            <w:left w:val="none" w:sz="0" w:space="0" w:color="auto"/>
                                                            <w:bottom w:val="none" w:sz="0" w:space="0" w:color="auto"/>
                                                            <w:right w:val="none" w:sz="0" w:space="0" w:color="auto"/>
                                                          </w:divBdr>
                                                          <w:divsChild>
                                                            <w:div w:id="2486946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78450">
      <w:bodyDiv w:val="1"/>
      <w:marLeft w:val="0"/>
      <w:marRight w:val="0"/>
      <w:marTop w:val="0"/>
      <w:marBottom w:val="0"/>
      <w:divBdr>
        <w:top w:val="none" w:sz="0" w:space="0" w:color="auto"/>
        <w:left w:val="none" w:sz="0" w:space="0" w:color="auto"/>
        <w:bottom w:val="none" w:sz="0" w:space="0" w:color="auto"/>
        <w:right w:val="none" w:sz="0" w:space="0" w:color="auto"/>
      </w:divBdr>
      <w:divsChild>
        <w:div w:id="2074698901">
          <w:marLeft w:val="0"/>
          <w:marRight w:val="0"/>
          <w:marTop w:val="0"/>
          <w:marBottom w:val="0"/>
          <w:divBdr>
            <w:top w:val="none" w:sz="0" w:space="0" w:color="auto"/>
            <w:left w:val="none" w:sz="0" w:space="0" w:color="auto"/>
            <w:bottom w:val="none" w:sz="0" w:space="0" w:color="auto"/>
            <w:right w:val="none" w:sz="0" w:space="0" w:color="auto"/>
          </w:divBdr>
          <w:divsChild>
            <w:div w:id="828523248">
              <w:marLeft w:val="0"/>
              <w:marRight w:val="0"/>
              <w:marTop w:val="0"/>
              <w:marBottom w:val="0"/>
              <w:divBdr>
                <w:top w:val="none" w:sz="0" w:space="0" w:color="auto"/>
                <w:left w:val="none" w:sz="0" w:space="0" w:color="auto"/>
                <w:bottom w:val="none" w:sz="0" w:space="0" w:color="auto"/>
                <w:right w:val="none" w:sz="0" w:space="0" w:color="auto"/>
              </w:divBdr>
              <w:divsChild>
                <w:div w:id="711073438">
                  <w:marLeft w:val="0"/>
                  <w:marRight w:val="0"/>
                  <w:marTop w:val="0"/>
                  <w:marBottom w:val="0"/>
                  <w:divBdr>
                    <w:top w:val="none" w:sz="0" w:space="0" w:color="auto"/>
                    <w:left w:val="none" w:sz="0" w:space="0" w:color="auto"/>
                    <w:bottom w:val="none" w:sz="0" w:space="0" w:color="auto"/>
                    <w:right w:val="none" w:sz="0" w:space="0" w:color="auto"/>
                  </w:divBdr>
                  <w:divsChild>
                    <w:div w:id="96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9934">
      <w:bodyDiv w:val="1"/>
      <w:marLeft w:val="0"/>
      <w:marRight w:val="0"/>
      <w:marTop w:val="0"/>
      <w:marBottom w:val="0"/>
      <w:divBdr>
        <w:top w:val="none" w:sz="0" w:space="0" w:color="auto"/>
        <w:left w:val="none" w:sz="0" w:space="0" w:color="auto"/>
        <w:bottom w:val="none" w:sz="0" w:space="0" w:color="auto"/>
        <w:right w:val="none" w:sz="0" w:space="0" w:color="auto"/>
      </w:divBdr>
      <w:divsChild>
        <w:div w:id="2147354667">
          <w:marLeft w:val="0"/>
          <w:marRight w:val="0"/>
          <w:marTop w:val="0"/>
          <w:marBottom w:val="0"/>
          <w:divBdr>
            <w:top w:val="none" w:sz="0" w:space="0" w:color="auto"/>
            <w:left w:val="none" w:sz="0" w:space="0" w:color="auto"/>
            <w:bottom w:val="none" w:sz="0" w:space="0" w:color="auto"/>
            <w:right w:val="none" w:sz="0" w:space="0" w:color="auto"/>
          </w:divBdr>
          <w:divsChild>
            <w:div w:id="1214543814">
              <w:marLeft w:val="0"/>
              <w:marRight w:val="0"/>
              <w:marTop w:val="0"/>
              <w:marBottom w:val="0"/>
              <w:divBdr>
                <w:top w:val="none" w:sz="0" w:space="0" w:color="auto"/>
                <w:left w:val="none" w:sz="0" w:space="0" w:color="auto"/>
                <w:bottom w:val="none" w:sz="0" w:space="0" w:color="auto"/>
                <w:right w:val="none" w:sz="0" w:space="0" w:color="auto"/>
              </w:divBdr>
              <w:divsChild>
                <w:div w:id="698164011">
                  <w:marLeft w:val="0"/>
                  <w:marRight w:val="0"/>
                  <w:marTop w:val="0"/>
                  <w:marBottom w:val="0"/>
                  <w:divBdr>
                    <w:top w:val="none" w:sz="0" w:space="0" w:color="auto"/>
                    <w:left w:val="none" w:sz="0" w:space="0" w:color="auto"/>
                    <w:bottom w:val="none" w:sz="0" w:space="0" w:color="auto"/>
                    <w:right w:val="none" w:sz="0" w:space="0" w:color="auto"/>
                  </w:divBdr>
                  <w:divsChild>
                    <w:div w:id="2000647314">
                      <w:marLeft w:val="0"/>
                      <w:marRight w:val="0"/>
                      <w:marTop w:val="0"/>
                      <w:marBottom w:val="0"/>
                      <w:divBdr>
                        <w:top w:val="none" w:sz="0" w:space="0" w:color="auto"/>
                        <w:left w:val="none" w:sz="0" w:space="0" w:color="auto"/>
                        <w:bottom w:val="none" w:sz="0" w:space="0" w:color="auto"/>
                        <w:right w:val="none" w:sz="0" w:space="0" w:color="auto"/>
                      </w:divBdr>
                      <w:divsChild>
                        <w:div w:id="2014919160">
                          <w:marLeft w:val="0"/>
                          <w:marRight w:val="0"/>
                          <w:marTop w:val="0"/>
                          <w:marBottom w:val="0"/>
                          <w:divBdr>
                            <w:top w:val="none" w:sz="0" w:space="0" w:color="auto"/>
                            <w:left w:val="none" w:sz="0" w:space="0" w:color="auto"/>
                            <w:bottom w:val="none" w:sz="0" w:space="0" w:color="auto"/>
                            <w:right w:val="none" w:sz="0" w:space="0" w:color="auto"/>
                          </w:divBdr>
                          <w:divsChild>
                            <w:div w:id="498153712">
                              <w:marLeft w:val="0"/>
                              <w:marRight w:val="0"/>
                              <w:marTop w:val="0"/>
                              <w:marBottom w:val="0"/>
                              <w:divBdr>
                                <w:top w:val="none" w:sz="0" w:space="0" w:color="auto"/>
                                <w:left w:val="none" w:sz="0" w:space="0" w:color="auto"/>
                                <w:bottom w:val="none" w:sz="0" w:space="0" w:color="auto"/>
                                <w:right w:val="none" w:sz="0" w:space="0" w:color="auto"/>
                              </w:divBdr>
                              <w:divsChild>
                                <w:div w:id="1283148335">
                                  <w:marLeft w:val="0"/>
                                  <w:marRight w:val="0"/>
                                  <w:marTop w:val="0"/>
                                  <w:marBottom w:val="0"/>
                                  <w:divBdr>
                                    <w:top w:val="none" w:sz="0" w:space="0" w:color="auto"/>
                                    <w:left w:val="none" w:sz="0" w:space="0" w:color="auto"/>
                                    <w:bottom w:val="none" w:sz="0" w:space="0" w:color="auto"/>
                                    <w:right w:val="none" w:sz="0" w:space="0" w:color="auto"/>
                                  </w:divBdr>
                                  <w:divsChild>
                                    <w:div w:id="555118999">
                                      <w:marLeft w:val="0"/>
                                      <w:marRight w:val="0"/>
                                      <w:marTop w:val="0"/>
                                      <w:marBottom w:val="0"/>
                                      <w:divBdr>
                                        <w:top w:val="none" w:sz="0" w:space="0" w:color="auto"/>
                                        <w:left w:val="none" w:sz="0" w:space="0" w:color="auto"/>
                                        <w:bottom w:val="none" w:sz="0" w:space="0" w:color="auto"/>
                                        <w:right w:val="none" w:sz="0" w:space="0" w:color="auto"/>
                                      </w:divBdr>
                                      <w:divsChild>
                                        <w:div w:id="481851371">
                                          <w:marLeft w:val="0"/>
                                          <w:marRight w:val="0"/>
                                          <w:marTop w:val="0"/>
                                          <w:marBottom w:val="0"/>
                                          <w:divBdr>
                                            <w:top w:val="none" w:sz="0" w:space="0" w:color="auto"/>
                                            <w:left w:val="none" w:sz="0" w:space="0" w:color="auto"/>
                                            <w:bottom w:val="none" w:sz="0" w:space="0" w:color="auto"/>
                                            <w:right w:val="none" w:sz="0" w:space="0" w:color="auto"/>
                                          </w:divBdr>
                                          <w:divsChild>
                                            <w:div w:id="1175608470">
                                              <w:marLeft w:val="0"/>
                                              <w:marRight w:val="0"/>
                                              <w:marTop w:val="0"/>
                                              <w:marBottom w:val="0"/>
                                              <w:divBdr>
                                                <w:top w:val="none" w:sz="0" w:space="0" w:color="auto"/>
                                                <w:left w:val="none" w:sz="0" w:space="0" w:color="auto"/>
                                                <w:bottom w:val="none" w:sz="0" w:space="0" w:color="auto"/>
                                                <w:right w:val="none" w:sz="0" w:space="0" w:color="auto"/>
                                              </w:divBdr>
                                              <w:divsChild>
                                                <w:div w:id="864828288">
                                                  <w:marLeft w:val="0"/>
                                                  <w:marRight w:val="0"/>
                                                  <w:marTop w:val="225"/>
                                                  <w:marBottom w:val="300"/>
                                                  <w:divBdr>
                                                    <w:top w:val="none" w:sz="0" w:space="0" w:color="auto"/>
                                                    <w:left w:val="none" w:sz="0" w:space="0" w:color="auto"/>
                                                    <w:bottom w:val="none" w:sz="0" w:space="0" w:color="auto"/>
                                                    <w:right w:val="none" w:sz="0" w:space="0" w:color="auto"/>
                                                  </w:divBdr>
                                                  <w:divsChild>
                                                    <w:div w:id="1477840815">
                                                      <w:marLeft w:val="0"/>
                                                      <w:marRight w:val="0"/>
                                                      <w:marTop w:val="0"/>
                                                      <w:marBottom w:val="30"/>
                                                      <w:divBdr>
                                                        <w:top w:val="single" w:sz="6" w:space="0" w:color="E5E5E5"/>
                                                        <w:left w:val="single" w:sz="6" w:space="0" w:color="E5E5E5"/>
                                                        <w:bottom w:val="single" w:sz="6" w:space="0" w:color="E5E5E5"/>
                                                        <w:right w:val="single" w:sz="6" w:space="0" w:color="E5E5E5"/>
                                                      </w:divBdr>
                                                      <w:divsChild>
                                                        <w:div w:id="254560443">
                                                          <w:marLeft w:val="0"/>
                                                          <w:marRight w:val="0"/>
                                                          <w:marTop w:val="0"/>
                                                          <w:marBottom w:val="0"/>
                                                          <w:divBdr>
                                                            <w:top w:val="none" w:sz="0" w:space="0" w:color="auto"/>
                                                            <w:left w:val="none" w:sz="0" w:space="0" w:color="auto"/>
                                                            <w:bottom w:val="none" w:sz="0" w:space="0" w:color="auto"/>
                                                            <w:right w:val="none" w:sz="0" w:space="0" w:color="auto"/>
                                                          </w:divBdr>
                                                          <w:divsChild>
                                                            <w:div w:id="744645816">
                                                              <w:marLeft w:val="0"/>
                                                              <w:marRight w:val="0"/>
                                                              <w:marTop w:val="0"/>
                                                              <w:marBottom w:val="0"/>
                                                              <w:divBdr>
                                                                <w:top w:val="single" w:sz="6" w:space="7" w:color="E5E5E5"/>
                                                                <w:left w:val="none" w:sz="0" w:space="0" w:color="auto"/>
                                                                <w:bottom w:val="none" w:sz="0" w:space="0" w:color="auto"/>
                                                                <w:right w:val="none" w:sz="0" w:space="0" w:color="auto"/>
                                                              </w:divBdr>
                                                            </w:div>
                                                          </w:divsChild>
                                                        </w:div>
                                                        <w:div w:id="793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091907">
      <w:bodyDiv w:val="1"/>
      <w:marLeft w:val="0"/>
      <w:marRight w:val="0"/>
      <w:marTop w:val="0"/>
      <w:marBottom w:val="0"/>
      <w:divBdr>
        <w:top w:val="none" w:sz="0" w:space="0" w:color="auto"/>
        <w:left w:val="none" w:sz="0" w:space="0" w:color="auto"/>
        <w:bottom w:val="none" w:sz="0" w:space="0" w:color="auto"/>
        <w:right w:val="none" w:sz="0" w:space="0" w:color="auto"/>
      </w:divBdr>
      <w:divsChild>
        <w:div w:id="2084834707">
          <w:marLeft w:val="0"/>
          <w:marRight w:val="0"/>
          <w:marTop w:val="0"/>
          <w:marBottom w:val="0"/>
          <w:divBdr>
            <w:top w:val="none" w:sz="0" w:space="0" w:color="auto"/>
            <w:left w:val="none" w:sz="0" w:space="0" w:color="auto"/>
            <w:bottom w:val="none" w:sz="0" w:space="0" w:color="auto"/>
            <w:right w:val="none" w:sz="0" w:space="0" w:color="auto"/>
          </w:divBdr>
          <w:divsChild>
            <w:div w:id="1727143237">
              <w:marLeft w:val="0"/>
              <w:marRight w:val="0"/>
              <w:marTop w:val="0"/>
              <w:marBottom w:val="0"/>
              <w:divBdr>
                <w:top w:val="none" w:sz="0" w:space="0" w:color="auto"/>
                <w:left w:val="none" w:sz="0" w:space="0" w:color="auto"/>
                <w:bottom w:val="none" w:sz="0" w:space="0" w:color="auto"/>
                <w:right w:val="none" w:sz="0" w:space="0" w:color="auto"/>
              </w:divBdr>
              <w:divsChild>
                <w:div w:id="1434277243">
                  <w:marLeft w:val="0"/>
                  <w:marRight w:val="0"/>
                  <w:marTop w:val="0"/>
                  <w:marBottom w:val="0"/>
                  <w:divBdr>
                    <w:top w:val="none" w:sz="0" w:space="0" w:color="auto"/>
                    <w:left w:val="none" w:sz="0" w:space="0" w:color="auto"/>
                    <w:bottom w:val="none" w:sz="0" w:space="0" w:color="auto"/>
                    <w:right w:val="none" w:sz="0" w:space="0" w:color="auto"/>
                  </w:divBdr>
                  <w:divsChild>
                    <w:div w:id="705066511">
                      <w:marLeft w:val="0"/>
                      <w:marRight w:val="0"/>
                      <w:marTop w:val="0"/>
                      <w:marBottom w:val="0"/>
                      <w:divBdr>
                        <w:top w:val="none" w:sz="0" w:space="0" w:color="auto"/>
                        <w:left w:val="none" w:sz="0" w:space="0" w:color="auto"/>
                        <w:bottom w:val="none" w:sz="0" w:space="0" w:color="auto"/>
                        <w:right w:val="none" w:sz="0" w:space="0" w:color="auto"/>
                      </w:divBdr>
                      <w:divsChild>
                        <w:div w:id="1113328035">
                          <w:marLeft w:val="0"/>
                          <w:marRight w:val="0"/>
                          <w:marTop w:val="0"/>
                          <w:marBottom w:val="0"/>
                          <w:divBdr>
                            <w:top w:val="none" w:sz="0" w:space="0" w:color="auto"/>
                            <w:left w:val="none" w:sz="0" w:space="0" w:color="auto"/>
                            <w:bottom w:val="none" w:sz="0" w:space="0" w:color="auto"/>
                            <w:right w:val="none" w:sz="0" w:space="0" w:color="auto"/>
                          </w:divBdr>
                          <w:divsChild>
                            <w:div w:id="1716194370">
                              <w:marLeft w:val="0"/>
                              <w:marRight w:val="0"/>
                              <w:marTop w:val="0"/>
                              <w:marBottom w:val="0"/>
                              <w:divBdr>
                                <w:top w:val="none" w:sz="0" w:space="0" w:color="auto"/>
                                <w:left w:val="none" w:sz="0" w:space="0" w:color="auto"/>
                                <w:bottom w:val="none" w:sz="0" w:space="0" w:color="auto"/>
                                <w:right w:val="none" w:sz="0" w:space="0" w:color="auto"/>
                              </w:divBdr>
                              <w:divsChild>
                                <w:div w:id="1648702350">
                                  <w:marLeft w:val="0"/>
                                  <w:marRight w:val="0"/>
                                  <w:marTop w:val="0"/>
                                  <w:marBottom w:val="0"/>
                                  <w:divBdr>
                                    <w:top w:val="none" w:sz="0" w:space="0" w:color="auto"/>
                                    <w:left w:val="none" w:sz="0" w:space="0" w:color="auto"/>
                                    <w:bottom w:val="none" w:sz="0" w:space="0" w:color="auto"/>
                                    <w:right w:val="none" w:sz="0" w:space="0" w:color="auto"/>
                                  </w:divBdr>
                                  <w:divsChild>
                                    <w:div w:id="1999920804">
                                      <w:marLeft w:val="0"/>
                                      <w:marRight w:val="0"/>
                                      <w:marTop w:val="0"/>
                                      <w:marBottom w:val="0"/>
                                      <w:divBdr>
                                        <w:top w:val="none" w:sz="0" w:space="0" w:color="auto"/>
                                        <w:left w:val="none" w:sz="0" w:space="0" w:color="auto"/>
                                        <w:bottom w:val="none" w:sz="0" w:space="0" w:color="auto"/>
                                        <w:right w:val="none" w:sz="0" w:space="0" w:color="auto"/>
                                      </w:divBdr>
                                      <w:divsChild>
                                        <w:div w:id="1858035318">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sChild>
                                                <w:div w:id="1192375967">
                                                  <w:marLeft w:val="0"/>
                                                  <w:marRight w:val="0"/>
                                                  <w:marTop w:val="225"/>
                                                  <w:marBottom w:val="300"/>
                                                  <w:divBdr>
                                                    <w:top w:val="none" w:sz="0" w:space="0" w:color="auto"/>
                                                    <w:left w:val="none" w:sz="0" w:space="0" w:color="auto"/>
                                                    <w:bottom w:val="none" w:sz="0" w:space="0" w:color="auto"/>
                                                    <w:right w:val="none" w:sz="0" w:space="0" w:color="auto"/>
                                                  </w:divBdr>
                                                  <w:divsChild>
                                                    <w:div w:id="231278788">
                                                      <w:marLeft w:val="0"/>
                                                      <w:marRight w:val="0"/>
                                                      <w:marTop w:val="0"/>
                                                      <w:marBottom w:val="30"/>
                                                      <w:divBdr>
                                                        <w:top w:val="single" w:sz="6" w:space="0" w:color="E5E5E5"/>
                                                        <w:left w:val="single" w:sz="6" w:space="0" w:color="E5E5E5"/>
                                                        <w:bottom w:val="single" w:sz="6" w:space="0" w:color="E5E5E5"/>
                                                        <w:right w:val="single" w:sz="6" w:space="0" w:color="E5E5E5"/>
                                                      </w:divBdr>
                                                      <w:divsChild>
                                                        <w:div w:id="1319070075">
                                                          <w:marLeft w:val="0"/>
                                                          <w:marRight w:val="0"/>
                                                          <w:marTop w:val="0"/>
                                                          <w:marBottom w:val="0"/>
                                                          <w:divBdr>
                                                            <w:top w:val="none" w:sz="0" w:space="0" w:color="auto"/>
                                                            <w:left w:val="none" w:sz="0" w:space="0" w:color="auto"/>
                                                            <w:bottom w:val="none" w:sz="0" w:space="0" w:color="auto"/>
                                                            <w:right w:val="none" w:sz="0" w:space="0" w:color="auto"/>
                                                          </w:divBdr>
                                                        </w:div>
                                                        <w:div w:id="1541628725">
                                                          <w:marLeft w:val="0"/>
                                                          <w:marRight w:val="0"/>
                                                          <w:marTop w:val="0"/>
                                                          <w:marBottom w:val="0"/>
                                                          <w:divBdr>
                                                            <w:top w:val="none" w:sz="0" w:space="0" w:color="auto"/>
                                                            <w:left w:val="none" w:sz="0" w:space="0" w:color="auto"/>
                                                            <w:bottom w:val="none" w:sz="0" w:space="0" w:color="auto"/>
                                                            <w:right w:val="none" w:sz="0" w:space="0" w:color="auto"/>
                                                          </w:divBdr>
                                                          <w:divsChild>
                                                            <w:div w:id="106136578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sChild>
        <w:div w:id="317080713">
          <w:marLeft w:val="0"/>
          <w:marRight w:val="0"/>
          <w:marTop w:val="0"/>
          <w:marBottom w:val="0"/>
          <w:divBdr>
            <w:top w:val="none" w:sz="0" w:space="0" w:color="auto"/>
            <w:left w:val="none" w:sz="0" w:space="0" w:color="auto"/>
            <w:bottom w:val="none" w:sz="0" w:space="0" w:color="auto"/>
            <w:right w:val="none" w:sz="0" w:space="0" w:color="auto"/>
          </w:divBdr>
          <w:divsChild>
            <w:div w:id="1759056531">
              <w:marLeft w:val="0"/>
              <w:marRight w:val="0"/>
              <w:marTop w:val="0"/>
              <w:marBottom w:val="0"/>
              <w:divBdr>
                <w:top w:val="none" w:sz="0" w:space="0" w:color="auto"/>
                <w:left w:val="none" w:sz="0" w:space="0" w:color="auto"/>
                <w:bottom w:val="none" w:sz="0" w:space="0" w:color="auto"/>
                <w:right w:val="none" w:sz="0" w:space="0" w:color="auto"/>
              </w:divBdr>
              <w:divsChild>
                <w:div w:id="1973092455">
                  <w:marLeft w:val="0"/>
                  <w:marRight w:val="0"/>
                  <w:marTop w:val="0"/>
                  <w:marBottom w:val="0"/>
                  <w:divBdr>
                    <w:top w:val="none" w:sz="0" w:space="0" w:color="auto"/>
                    <w:left w:val="none" w:sz="0" w:space="0" w:color="auto"/>
                    <w:bottom w:val="none" w:sz="0" w:space="0" w:color="auto"/>
                    <w:right w:val="none" w:sz="0" w:space="0" w:color="auto"/>
                  </w:divBdr>
                  <w:divsChild>
                    <w:div w:id="67190218">
                      <w:marLeft w:val="0"/>
                      <w:marRight w:val="0"/>
                      <w:marTop w:val="0"/>
                      <w:marBottom w:val="0"/>
                      <w:divBdr>
                        <w:top w:val="none" w:sz="0" w:space="0" w:color="auto"/>
                        <w:left w:val="none" w:sz="0" w:space="0" w:color="auto"/>
                        <w:bottom w:val="none" w:sz="0" w:space="0" w:color="auto"/>
                        <w:right w:val="none" w:sz="0" w:space="0" w:color="auto"/>
                      </w:divBdr>
                      <w:divsChild>
                        <w:div w:id="2057460949">
                          <w:marLeft w:val="0"/>
                          <w:marRight w:val="0"/>
                          <w:marTop w:val="0"/>
                          <w:marBottom w:val="0"/>
                          <w:divBdr>
                            <w:top w:val="none" w:sz="0" w:space="0" w:color="auto"/>
                            <w:left w:val="none" w:sz="0" w:space="0" w:color="auto"/>
                            <w:bottom w:val="none" w:sz="0" w:space="0" w:color="auto"/>
                            <w:right w:val="none" w:sz="0" w:space="0" w:color="auto"/>
                          </w:divBdr>
                          <w:divsChild>
                            <w:div w:id="1062559363">
                              <w:marLeft w:val="0"/>
                              <w:marRight w:val="0"/>
                              <w:marTop w:val="0"/>
                              <w:marBottom w:val="0"/>
                              <w:divBdr>
                                <w:top w:val="none" w:sz="0" w:space="0" w:color="auto"/>
                                <w:left w:val="none" w:sz="0" w:space="0" w:color="auto"/>
                                <w:bottom w:val="none" w:sz="0" w:space="0" w:color="auto"/>
                                <w:right w:val="none" w:sz="0" w:space="0" w:color="auto"/>
                              </w:divBdr>
                              <w:divsChild>
                                <w:div w:id="1351102986">
                                  <w:marLeft w:val="0"/>
                                  <w:marRight w:val="0"/>
                                  <w:marTop w:val="0"/>
                                  <w:marBottom w:val="0"/>
                                  <w:divBdr>
                                    <w:top w:val="none" w:sz="0" w:space="0" w:color="auto"/>
                                    <w:left w:val="none" w:sz="0" w:space="0" w:color="auto"/>
                                    <w:bottom w:val="none" w:sz="0" w:space="0" w:color="auto"/>
                                    <w:right w:val="none" w:sz="0" w:space="0" w:color="auto"/>
                                  </w:divBdr>
                                  <w:divsChild>
                                    <w:div w:id="1759132918">
                                      <w:marLeft w:val="0"/>
                                      <w:marRight w:val="0"/>
                                      <w:marTop w:val="0"/>
                                      <w:marBottom w:val="0"/>
                                      <w:divBdr>
                                        <w:top w:val="none" w:sz="0" w:space="0" w:color="auto"/>
                                        <w:left w:val="none" w:sz="0" w:space="0" w:color="auto"/>
                                        <w:bottom w:val="none" w:sz="0" w:space="0" w:color="auto"/>
                                        <w:right w:val="none" w:sz="0" w:space="0" w:color="auto"/>
                                      </w:divBdr>
                                      <w:divsChild>
                                        <w:div w:id="604701185">
                                          <w:marLeft w:val="0"/>
                                          <w:marRight w:val="0"/>
                                          <w:marTop w:val="0"/>
                                          <w:marBottom w:val="0"/>
                                          <w:divBdr>
                                            <w:top w:val="none" w:sz="0" w:space="0" w:color="auto"/>
                                            <w:left w:val="none" w:sz="0" w:space="0" w:color="auto"/>
                                            <w:bottom w:val="none" w:sz="0" w:space="0" w:color="auto"/>
                                            <w:right w:val="none" w:sz="0" w:space="0" w:color="auto"/>
                                          </w:divBdr>
                                          <w:divsChild>
                                            <w:div w:id="882984856">
                                              <w:marLeft w:val="0"/>
                                              <w:marRight w:val="0"/>
                                              <w:marTop w:val="0"/>
                                              <w:marBottom w:val="0"/>
                                              <w:divBdr>
                                                <w:top w:val="none" w:sz="0" w:space="0" w:color="auto"/>
                                                <w:left w:val="none" w:sz="0" w:space="0" w:color="auto"/>
                                                <w:bottom w:val="none" w:sz="0" w:space="0" w:color="auto"/>
                                                <w:right w:val="none" w:sz="0" w:space="0" w:color="auto"/>
                                              </w:divBdr>
                                              <w:divsChild>
                                                <w:div w:id="902957171">
                                                  <w:marLeft w:val="0"/>
                                                  <w:marRight w:val="0"/>
                                                  <w:marTop w:val="225"/>
                                                  <w:marBottom w:val="300"/>
                                                  <w:divBdr>
                                                    <w:top w:val="none" w:sz="0" w:space="0" w:color="auto"/>
                                                    <w:left w:val="none" w:sz="0" w:space="0" w:color="auto"/>
                                                    <w:bottom w:val="none" w:sz="0" w:space="0" w:color="auto"/>
                                                    <w:right w:val="none" w:sz="0" w:space="0" w:color="auto"/>
                                                  </w:divBdr>
                                                  <w:divsChild>
                                                    <w:div w:id="838691655">
                                                      <w:marLeft w:val="0"/>
                                                      <w:marRight w:val="0"/>
                                                      <w:marTop w:val="0"/>
                                                      <w:marBottom w:val="30"/>
                                                      <w:divBdr>
                                                        <w:top w:val="single" w:sz="6" w:space="0" w:color="E5E5E5"/>
                                                        <w:left w:val="single" w:sz="6" w:space="0" w:color="E5E5E5"/>
                                                        <w:bottom w:val="single" w:sz="6" w:space="0" w:color="E5E5E5"/>
                                                        <w:right w:val="single" w:sz="6" w:space="0" w:color="E5E5E5"/>
                                                      </w:divBdr>
                                                      <w:divsChild>
                                                        <w:div w:id="202326839">
                                                          <w:marLeft w:val="0"/>
                                                          <w:marRight w:val="0"/>
                                                          <w:marTop w:val="0"/>
                                                          <w:marBottom w:val="0"/>
                                                          <w:divBdr>
                                                            <w:top w:val="none" w:sz="0" w:space="0" w:color="auto"/>
                                                            <w:left w:val="none" w:sz="0" w:space="0" w:color="auto"/>
                                                            <w:bottom w:val="none" w:sz="0" w:space="0" w:color="auto"/>
                                                            <w:right w:val="none" w:sz="0" w:space="0" w:color="auto"/>
                                                          </w:divBdr>
                                                          <w:divsChild>
                                                            <w:div w:id="1623999977">
                                                              <w:marLeft w:val="0"/>
                                                              <w:marRight w:val="0"/>
                                                              <w:marTop w:val="0"/>
                                                              <w:marBottom w:val="0"/>
                                                              <w:divBdr>
                                                                <w:top w:val="single" w:sz="6" w:space="7" w:color="E5E5E5"/>
                                                                <w:left w:val="none" w:sz="0" w:space="0" w:color="auto"/>
                                                                <w:bottom w:val="none" w:sz="0" w:space="0" w:color="auto"/>
                                                                <w:right w:val="none" w:sz="0" w:space="0" w:color="auto"/>
                                                              </w:divBdr>
                                                            </w:div>
                                                          </w:divsChild>
                                                        </w:div>
                                                        <w:div w:id="1361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874466">
      <w:bodyDiv w:val="1"/>
      <w:marLeft w:val="0"/>
      <w:marRight w:val="0"/>
      <w:marTop w:val="0"/>
      <w:marBottom w:val="0"/>
      <w:divBdr>
        <w:top w:val="none" w:sz="0" w:space="0" w:color="auto"/>
        <w:left w:val="none" w:sz="0" w:space="0" w:color="auto"/>
        <w:bottom w:val="none" w:sz="0" w:space="0" w:color="auto"/>
        <w:right w:val="none" w:sz="0" w:space="0" w:color="auto"/>
      </w:divBdr>
      <w:divsChild>
        <w:div w:id="144276067">
          <w:marLeft w:val="0"/>
          <w:marRight w:val="0"/>
          <w:marTop w:val="0"/>
          <w:marBottom w:val="0"/>
          <w:divBdr>
            <w:top w:val="none" w:sz="0" w:space="0" w:color="auto"/>
            <w:left w:val="none" w:sz="0" w:space="0" w:color="auto"/>
            <w:bottom w:val="none" w:sz="0" w:space="0" w:color="auto"/>
            <w:right w:val="none" w:sz="0" w:space="0" w:color="auto"/>
          </w:divBdr>
          <w:divsChild>
            <w:div w:id="780105109">
              <w:marLeft w:val="0"/>
              <w:marRight w:val="0"/>
              <w:marTop w:val="0"/>
              <w:marBottom w:val="0"/>
              <w:divBdr>
                <w:top w:val="none" w:sz="0" w:space="0" w:color="auto"/>
                <w:left w:val="none" w:sz="0" w:space="0" w:color="auto"/>
                <w:bottom w:val="none" w:sz="0" w:space="0" w:color="auto"/>
                <w:right w:val="none" w:sz="0" w:space="0" w:color="auto"/>
              </w:divBdr>
              <w:divsChild>
                <w:div w:id="60442477">
                  <w:marLeft w:val="0"/>
                  <w:marRight w:val="0"/>
                  <w:marTop w:val="0"/>
                  <w:marBottom w:val="0"/>
                  <w:divBdr>
                    <w:top w:val="none" w:sz="0" w:space="0" w:color="auto"/>
                    <w:left w:val="none" w:sz="0" w:space="0" w:color="auto"/>
                    <w:bottom w:val="none" w:sz="0" w:space="0" w:color="auto"/>
                    <w:right w:val="none" w:sz="0" w:space="0" w:color="auto"/>
                  </w:divBdr>
                  <w:divsChild>
                    <w:div w:id="21116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20642">
      <w:bodyDiv w:val="1"/>
      <w:marLeft w:val="0"/>
      <w:marRight w:val="0"/>
      <w:marTop w:val="0"/>
      <w:marBottom w:val="0"/>
      <w:divBdr>
        <w:top w:val="none" w:sz="0" w:space="0" w:color="auto"/>
        <w:left w:val="none" w:sz="0" w:space="0" w:color="auto"/>
        <w:bottom w:val="none" w:sz="0" w:space="0" w:color="auto"/>
        <w:right w:val="none" w:sz="0" w:space="0" w:color="auto"/>
      </w:divBdr>
      <w:divsChild>
        <w:div w:id="707950896">
          <w:marLeft w:val="0"/>
          <w:marRight w:val="0"/>
          <w:marTop w:val="0"/>
          <w:marBottom w:val="0"/>
          <w:divBdr>
            <w:top w:val="none" w:sz="0" w:space="0" w:color="auto"/>
            <w:left w:val="none" w:sz="0" w:space="0" w:color="auto"/>
            <w:bottom w:val="none" w:sz="0" w:space="0" w:color="auto"/>
            <w:right w:val="none" w:sz="0" w:space="0" w:color="auto"/>
          </w:divBdr>
          <w:divsChild>
            <w:div w:id="363940420">
              <w:marLeft w:val="0"/>
              <w:marRight w:val="0"/>
              <w:marTop w:val="0"/>
              <w:marBottom w:val="0"/>
              <w:divBdr>
                <w:top w:val="none" w:sz="0" w:space="0" w:color="auto"/>
                <w:left w:val="none" w:sz="0" w:space="0" w:color="auto"/>
                <w:bottom w:val="none" w:sz="0" w:space="0" w:color="auto"/>
                <w:right w:val="none" w:sz="0" w:space="0" w:color="auto"/>
              </w:divBdr>
              <w:divsChild>
                <w:div w:id="250436371">
                  <w:marLeft w:val="0"/>
                  <w:marRight w:val="0"/>
                  <w:marTop w:val="0"/>
                  <w:marBottom w:val="0"/>
                  <w:divBdr>
                    <w:top w:val="none" w:sz="0" w:space="0" w:color="auto"/>
                    <w:left w:val="none" w:sz="0" w:space="0" w:color="auto"/>
                    <w:bottom w:val="none" w:sz="0" w:space="0" w:color="auto"/>
                    <w:right w:val="none" w:sz="0" w:space="0" w:color="auto"/>
                  </w:divBdr>
                  <w:divsChild>
                    <w:div w:id="943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50069">
      <w:bodyDiv w:val="1"/>
      <w:marLeft w:val="0"/>
      <w:marRight w:val="0"/>
      <w:marTop w:val="0"/>
      <w:marBottom w:val="0"/>
      <w:divBdr>
        <w:top w:val="none" w:sz="0" w:space="0" w:color="auto"/>
        <w:left w:val="none" w:sz="0" w:space="0" w:color="auto"/>
        <w:bottom w:val="none" w:sz="0" w:space="0" w:color="auto"/>
        <w:right w:val="none" w:sz="0" w:space="0" w:color="auto"/>
      </w:divBdr>
      <w:divsChild>
        <w:div w:id="1259829095">
          <w:marLeft w:val="0"/>
          <w:marRight w:val="0"/>
          <w:marTop w:val="0"/>
          <w:marBottom w:val="0"/>
          <w:divBdr>
            <w:top w:val="none" w:sz="0" w:space="0" w:color="auto"/>
            <w:left w:val="none" w:sz="0" w:space="0" w:color="auto"/>
            <w:bottom w:val="none" w:sz="0" w:space="0" w:color="auto"/>
            <w:right w:val="none" w:sz="0" w:space="0" w:color="auto"/>
          </w:divBdr>
          <w:divsChild>
            <w:div w:id="1740052614">
              <w:marLeft w:val="0"/>
              <w:marRight w:val="0"/>
              <w:marTop w:val="0"/>
              <w:marBottom w:val="0"/>
              <w:divBdr>
                <w:top w:val="none" w:sz="0" w:space="0" w:color="auto"/>
                <w:left w:val="none" w:sz="0" w:space="0" w:color="auto"/>
                <w:bottom w:val="none" w:sz="0" w:space="0" w:color="auto"/>
                <w:right w:val="none" w:sz="0" w:space="0" w:color="auto"/>
              </w:divBdr>
              <w:divsChild>
                <w:div w:id="1232303562">
                  <w:marLeft w:val="0"/>
                  <w:marRight w:val="0"/>
                  <w:marTop w:val="0"/>
                  <w:marBottom w:val="0"/>
                  <w:divBdr>
                    <w:top w:val="none" w:sz="0" w:space="0" w:color="auto"/>
                    <w:left w:val="none" w:sz="0" w:space="0" w:color="auto"/>
                    <w:bottom w:val="none" w:sz="0" w:space="0" w:color="auto"/>
                    <w:right w:val="none" w:sz="0" w:space="0" w:color="auto"/>
                  </w:divBdr>
                  <w:divsChild>
                    <w:div w:id="658576070">
                      <w:marLeft w:val="0"/>
                      <w:marRight w:val="0"/>
                      <w:marTop w:val="0"/>
                      <w:marBottom w:val="0"/>
                      <w:divBdr>
                        <w:top w:val="none" w:sz="0" w:space="0" w:color="auto"/>
                        <w:left w:val="none" w:sz="0" w:space="0" w:color="auto"/>
                        <w:bottom w:val="none" w:sz="0" w:space="0" w:color="auto"/>
                        <w:right w:val="none" w:sz="0" w:space="0" w:color="auto"/>
                      </w:divBdr>
                      <w:divsChild>
                        <w:div w:id="169292901">
                          <w:marLeft w:val="0"/>
                          <w:marRight w:val="0"/>
                          <w:marTop w:val="0"/>
                          <w:marBottom w:val="0"/>
                          <w:divBdr>
                            <w:top w:val="none" w:sz="0" w:space="0" w:color="auto"/>
                            <w:left w:val="none" w:sz="0" w:space="0" w:color="auto"/>
                            <w:bottom w:val="none" w:sz="0" w:space="0" w:color="auto"/>
                            <w:right w:val="none" w:sz="0" w:space="0" w:color="auto"/>
                          </w:divBdr>
                          <w:divsChild>
                            <w:div w:id="1462118366">
                              <w:marLeft w:val="0"/>
                              <w:marRight w:val="0"/>
                              <w:marTop w:val="0"/>
                              <w:marBottom w:val="0"/>
                              <w:divBdr>
                                <w:top w:val="none" w:sz="0" w:space="0" w:color="auto"/>
                                <w:left w:val="none" w:sz="0" w:space="0" w:color="auto"/>
                                <w:bottom w:val="none" w:sz="0" w:space="0" w:color="auto"/>
                                <w:right w:val="none" w:sz="0" w:space="0" w:color="auto"/>
                              </w:divBdr>
                              <w:divsChild>
                                <w:div w:id="1602371944">
                                  <w:marLeft w:val="0"/>
                                  <w:marRight w:val="0"/>
                                  <w:marTop w:val="0"/>
                                  <w:marBottom w:val="0"/>
                                  <w:divBdr>
                                    <w:top w:val="none" w:sz="0" w:space="0" w:color="auto"/>
                                    <w:left w:val="none" w:sz="0" w:space="0" w:color="auto"/>
                                    <w:bottom w:val="none" w:sz="0" w:space="0" w:color="auto"/>
                                    <w:right w:val="none" w:sz="0" w:space="0" w:color="auto"/>
                                  </w:divBdr>
                                  <w:divsChild>
                                    <w:div w:id="747658656">
                                      <w:marLeft w:val="0"/>
                                      <w:marRight w:val="0"/>
                                      <w:marTop w:val="0"/>
                                      <w:marBottom w:val="0"/>
                                      <w:divBdr>
                                        <w:top w:val="none" w:sz="0" w:space="0" w:color="auto"/>
                                        <w:left w:val="none" w:sz="0" w:space="0" w:color="auto"/>
                                        <w:bottom w:val="none" w:sz="0" w:space="0" w:color="auto"/>
                                        <w:right w:val="none" w:sz="0" w:space="0" w:color="auto"/>
                                      </w:divBdr>
                                      <w:divsChild>
                                        <w:div w:id="323047517">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2123302675">
                                                  <w:marLeft w:val="0"/>
                                                  <w:marRight w:val="0"/>
                                                  <w:marTop w:val="225"/>
                                                  <w:marBottom w:val="300"/>
                                                  <w:divBdr>
                                                    <w:top w:val="none" w:sz="0" w:space="0" w:color="auto"/>
                                                    <w:left w:val="none" w:sz="0" w:space="0" w:color="auto"/>
                                                    <w:bottom w:val="none" w:sz="0" w:space="0" w:color="auto"/>
                                                    <w:right w:val="none" w:sz="0" w:space="0" w:color="auto"/>
                                                  </w:divBdr>
                                                  <w:divsChild>
                                                    <w:div w:id="1532179910">
                                                      <w:marLeft w:val="0"/>
                                                      <w:marRight w:val="0"/>
                                                      <w:marTop w:val="0"/>
                                                      <w:marBottom w:val="30"/>
                                                      <w:divBdr>
                                                        <w:top w:val="single" w:sz="6" w:space="0" w:color="E5E5E5"/>
                                                        <w:left w:val="single" w:sz="6" w:space="0" w:color="E5E5E5"/>
                                                        <w:bottom w:val="single" w:sz="6" w:space="0" w:color="E5E5E5"/>
                                                        <w:right w:val="single" w:sz="6" w:space="0" w:color="E5E5E5"/>
                                                      </w:divBdr>
                                                      <w:divsChild>
                                                        <w:div w:id="1498350918">
                                                          <w:marLeft w:val="0"/>
                                                          <w:marRight w:val="0"/>
                                                          <w:marTop w:val="0"/>
                                                          <w:marBottom w:val="0"/>
                                                          <w:divBdr>
                                                            <w:top w:val="none" w:sz="0" w:space="0" w:color="auto"/>
                                                            <w:left w:val="none" w:sz="0" w:space="0" w:color="auto"/>
                                                            <w:bottom w:val="none" w:sz="0" w:space="0" w:color="auto"/>
                                                            <w:right w:val="none" w:sz="0" w:space="0" w:color="auto"/>
                                                          </w:divBdr>
                                                          <w:divsChild>
                                                            <w:div w:id="815679505">
                                                              <w:marLeft w:val="0"/>
                                                              <w:marRight w:val="0"/>
                                                              <w:marTop w:val="0"/>
                                                              <w:marBottom w:val="0"/>
                                                              <w:divBdr>
                                                                <w:top w:val="single" w:sz="6" w:space="7" w:color="E5E5E5"/>
                                                                <w:left w:val="none" w:sz="0" w:space="0" w:color="auto"/>
                                                                <w:bottom w:val="none" w:sz="0" w:space="0" w:color="auto"/>
                                                                <w:right w:val="none" w:sz="0" w:space="0" w:color="auto"/>
                                                              </w:divBdr>
                                                            </w:div>
                                                          </w:divsChild>
                                                        </w:div>
                                                        <w:div w:id="1734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804556">
      <w:bodyDiv w:val="1"/>
      <w:marLeft w:val="0"/>
      <w:marRight w:val="0"/>
      <w:marTop w:val="0"/>
      <w:marBottom w:val="0"/>
      <w:divBdr>
        <w:top w:val="none" w:sz="0" w:space="0" w:color="auto"/>
        <w:left w:val="none" w:sz="0" w:space="0" w:color="auto"/>
        <w:bottom w:val="none" w:sz="0" w:space="0" w:color="auto"/>
        <w:right w:val="none" w:sz="0" w:space="0" w:color="auto"/>
      </w:divBdr>
      <w:divsChild>
        <w:div w:id="874997910">
          <w:marLeft w:val="0"/>
          <w:marRight w:val="0"/>
          <w:marTop w:val="0"/>
          <w:marBottom w:val="0"/>
          <w:divBdr>
            <w:top w:val="none" w:sz="0" w:space="0" w:color="auto"/>
            <w:left w:val="none" w:sz="0" w:space="0" w:color="auto"/>
            <w:bottom w:val="none" w:sz="0" w:space="0" w:color="auto"/>
            <w:right w:val="none" w:sz="0" w:space="0" w:color="auto"/>
          </w:divBdr>
          <w:divsChild>
            <w:div w:id="137841974">
              <w:marLeft w:val="0"/>
              <w:marRight w:val="0"/>
              <w:marTop w:val="0"/>
              <w:marBottom w:val="0"/>
              <w:divBdr>
                <w:top w:val="none" w:sz="0" w:space="0" w:color="auto"/>
                <w:left w:val="none" w:sz="0" w:space="0" w:color="auto"/>
                <w:bottom w:val="none" w:sz="0" w:space="0" w:color="auto"/>
                <w:right w:val="none" w:sz="0" w:space="0" w:color="auto"/>
              </w:divBdr>
              <w:divsChild>
                <w:div w:id="1380737688">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0"/>
                      <w:marRight w:val="0"/>
                      <w:marTop w:val="0"/>
                      <w:marBottom w:val="0"/>
                      <w:divBdr>
                        <w:top w:val="none" w:sz="0" w:space="0" w:color="auto"/>
                        <w:left w:val="none" w:sz="0" w:space="0" w:color="auto"/>
                        <w:bottom w:val="none" w:sz="0" w:space="0" w:color="auto"/>
                        <w:right w:val="none" w:sz="0" w:space="0" w:color="auto"/>
                      </w:divBdr>
                      <w:divsChild>
                        <w:div w:id="206452883">
                          <w:marLeft w:val="0"/>
                          <w:marRight w:val="0"/>
                          <w:marTop w:val="0"/>
                          <w:marBottom w:val="0"/>
                          <w:divBdr>
                            <w:top w:val="none" w:sz="0" w:space="0" w:color="auto"/>
                            <w:left w:val="none" w:sz="0" w:space="0" w:color="auto"/>
                            <w:bottom w:val="none" w:sz="0" w:space="0" w:color="auto"/>
                            <w:right w:val="none" w:sz="0" w:space="0" w:color="auto"/>
                          </w:divBdr>
                          <w:divsChild>
                            <w:div w:id="1975670340">
                              <w:marLeft w:val="0"/>
                              <w:marRight w:val="0"/>
                              <w:marTop w:val="0"/>
                              <w:marBottom w:val="0"/>
                              <w:divBdr>
                                <w:top w:val="none" w:sz="0" w:space="0" w:color="auto"/>
                                <w:left w:val="none" w:sz="0" w:space="0" w:color="auto"/>
                                <w:bottom w:val="none" w:sz="0" w:space="0" w:color="auto"/>
                                <w:right w:val="none" w:sz="0" w:space="0" w:color="auto"/>
                              </w:divBdr>
                              <w:divsChild>
                                <w:div w:id="102725343">
                                  <w:marLeft w:val="0"/>
                                  <w:marRight w:val="0"/>
                                  <w:marTop w:val="0"/>
                                  <w:marBottom w:val="0"/>
                                  <w:divBdr>
                                    <w:top w:val="none" w:sz="0" w:space="0" w:color="auto"/>
                                    <w:left w:val="none" w:sz="0" w:space="0" w:color="auto"/>
                                    <w:bottom w:val="none" w:sz="0" w:space="0" w:color="auto"/>
                                    <w:right w:val="none" w:sz="0" w:space="0" w:color="auto"/>
                                  </w:divBdr>
                                  <w:divsChild>
                                    <w:div w:id="1415276368">
                                      <w:marLeft w:val="0"/>
                                      <w:marRight w:val="0"/>
                                      <w:marTop w:val="0"/>
                                      <w:marBottom w:val="0"/>
                                      <w:divBdr>
                                        <w:top w:val="none" w:sz="0" w:space="0" w:color="auto"/>
                                        <w:left w:val="none" w:sz="0" w:space="0" w:color="auto"/>
                                        <w:bottom w:val="none" w:sz="0" w:space="0" w:color="auto"/>
                                        <w:right w:val="none" w:sz="0" w:space="0" w:color="auto"/>
                                      </w:divBdr>
                                      <w:divsChild>
                                        <w:div w:id="711078150">
                                          <w:marLeft w:val="0"/>
                                          <w:marRight w:val="0"/>
                                          <w:marTop w:val="0"/>
                                          <w:marBottom w:val="0"/>
                                          <w:divBdr>
                                            <w:top w:val="none" w:sz="0" w:space="0" w:color="auto"/>
                                            <w:left w:val="none" w:sz="0" w:space="0" w:color="auto"/>
                                            <w:bottom w:val="none" w:sz="0" w:space="0" w:color="auto"/>
                                            <w:right w:val="none" w:sz="0" w:space="0" w:color="auto"/>
                                          </w:divBdr>
                                          <w:divsChild>
                                            <w:div w:id="1096485838">
                                              <w:marLeft w:val="0"/>
                                              <w:marRight w:val="0"/>
                                              <w:marTop w:val="0"/>
                                              <w:marBottom w:val="0"/>
                                              <w:divBdr>
                                                <w:top w:val="none" w:sz="0" w:space="0" w:color="auto"/>
                                                <w:left w:val="none" w:sz="0" w:space="0" w:color="auto"/>
                                                <w:bottom w:val="none" w:sz="0" w:space="0" w:color="auto"/>
                                                <w:right w:val="none" w:sz="0" w:space="0" w:color="auto"/>
                                              </w:divBdr>
                                              <w:divsChild>
                                                <w:div w:id="1094595537">
                                                  <w:marLeft w:val="0"/>
                                                  <w:marRight w:val="0"/>
                                                  <w:marTop w:val="0"/>
                                                  <w:marBottom w:val="0"/>
                                                  <w:divBdr>
                                                    <w:top w:val="none" w:sz="0" w:space="0" w:color="auto"/>
                                                    <w:left w:val="none" w:sz="0" w:space="0" w:color="auto"/>
                                                    <w:bottom w:val="none" w:sz="0" w:space="0" w:color="auto"/>
                                                    <w:right w:val="none" w:sz="0" w:space="0" w:color="auto"/>
                                                  </w:divBdr>
                                                </w:div>
                                                <w:div w:id="1552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4789">
      <w:bodyDiv w:val="1"/>
      <w:marLeft w:val="0"/>
      <w:marRight w:val="0"/>
      <w:marTop w:val="0"/>
      <w:marBottom w:val="0"/>
      <w:divBdr>
        <w:top w:val="none" w:sz="0" w:space="0" w:color="auto"/>
        <w:left w:val="none" w:sz="0" w:space="0" w:color="auto"/>
        <w:bottom w:val="none" w:sz="0" w:space="0" w:color="auto"/>
        <w:right w:val="none" w:sz="0" w:space="0" w:color="auto"/>
      </w:divBdr>
      <w:divsChild>
        <w:div w:id="543442921">
          <w:marLeft w:val="0"/>
          <w:marRight w:val="0"/>
          <w:marTop w:val="0"/>
          <w:marBottom w:val="0"/>
          <w:divBdr>
            <w:top w:val="none" w:sz="0" w:space="0" w:color="auto"/>
            <w:left w:val="none" w:sz="0" w:space="0" w:color="auto"/>
            <w:bottom w:val="none" w:sz="0" w:space="0" w:color="auto"/>
            <w:right w:val="none" w:sz="0" w:space="0" w:color="auto"/>
          </w:divBdr>
          <w:divsChild>
            <w:div w:id="514730588">
              <w:marLeft w:val="0"/>
              <w:marRight w:val="0"/>
              <w:marTop w:val="0"/>
              <w:marBottom w:val="0"/>
              <w:divBdr>
                <w:top w:val="none" w:sz="0" w:space="0" w:color="auto"/>
                <w:left w:val="none" w:sz="0" w:space="0" w:color="auto"/>
                <w:bottom w:val="none" w:sz="0" w:space="0" w:color="auto"/>
                <w:right w:val="none" w:sz="0" w:space="0" w:color="auto"/>
              </w:divBdr>
              <w:divsChild>
                <w:div w:id="413286539">
                  <w:marLeft w:val="0"/>
                  <w:marRight w:val="0"/>
                  <w:marTop w:val="0"/>
                  <w:marBottom w:val="0"/>
                  <w:divBdr>
                    <w:top w:val="none" w:sz="0" w:space="0" w:color="auto"/>
                    <w:left w:val="none" w:sz="0" w:space="0" w:color="auto"/>
                    <w:bottom w:val="none" w:sz="0" w:space="0" w:color="auto"/>
                    <w:right w:val="none" w:sz="0" w:space="0" w:color="auto"/>
                  </w:divBdr>
                  <w:divsChild>
                    <w:div w:id="1311206408">
                      <w:marLeft w:val="0"/>
                      <w:marRight w:val="0"/>
                      <w:marTop w:val="0"/>
                      <w:marBottom w:val="0"/>
                      <w:divBdr>
                        <w:top w:val="none" w:sz="0" w:space="0" w:color="auto"/>
                        <w:left w:val="none" w:sz="0" w:space="0" w:color="auto"/>
                        <w:bottom w:val="none" w:sz="0" w:space="0" w:color="auto"/>
                        <w:right w:val="none" w:sz="0" w:space="0" w:color="auto"/>
                      </w:divBdr>
                      <w:divsChild>
                        <w:div w:id="1983389753">
                          <w:marLeft w:val="0"/>
                          <w:marRight w:val="0"/>
                          <w:marTop w:val="0"/>
                          <w:marBottom w:val="0"/>
                          <w:divBdr>
                            <w:top w:val="none" w:sz="0" w:space="0" w:color="auto"/>
                            <w:left w:val="none" w:sz="0" w:space="0" w:color="auto"/>
                            <w:bottom w:val="none" w:sz="0" w:space="0" w:color="auto"/>
                            <w:right w:val="none" w:sz="0" w:space="0" w:color="auto"/>
                          </w:divBdr>
                          <w:divsChild>
                            <w:div w:id="1663461423">
                              <w:marLeft w:val="0"/>
                              <w:marRight w:val="0"/>
                              <w:marTop w:val="0"/>
                              <w:marBottom w:val="0"/>
                              <w:divBdr>
                                <w:top w:val="none" w:sz="0" w:space="0" w:color="auto"/>
                                <w:left w:val="none" w:sz="0" w:space="0" w:color="auto"/>
                                <w:bottom w:val="none" w:sz="0" w:space="0" w:color="auto"/>
                                <w:right w:val="none" w:sz="0" w:space="0" w:color="auto"/>
                              </w:divBdr>
                              <w:divsChild>
                                <w:div w:id="1437939578">
                                  <w:marLeft w:val="0"/>
                                  <w:marRight w:val="0"/>
                                  <w:marTop w:val="0"/>
                                  <w:marBottom w:val="0"/>
                                  <w:divBdr>
                                    <w:top w:val="none" w:sz="0" w:space="0" w:color="auto"/>
                                    <w:left w:val="none" w:sz="0" w:space="0" w:color="auto"/>
                                    <w:bottom w:val="none" w:sz="0" w:space="0" w:color="auto"/>
                                    <w:right w:val="none" w:sz="0" w:space="0" w:color="auto"/>
                                  </w:divBdr>
                                  <w:divsChild>
                                    <w:div w:id="1709914041">
                                      <w:marLeft w:val="0"/>
                                      <w:marRight w:val="0"/>
                                      <w:marTop w:val="0"/>
                                      <w:marBottom w:val="0"/>
                                      <w:divBdr>
                                        <w:top w:val="none" w:sz="0" w:space="0" w:color="auto"/>
                                        <w:left w:val="none" w:sz="0" w:space="0" w:color="auto"/>
                                        <w:bottom w:val="none" w:sz="0" w:space="0" w:color="auto"/>
                                        <w:right w:val="none" w:sz="0" w:space="0" w:color="auto"/>
                                      </w:divBdr>
                                      <w:divsChild>
                                        <w:div w:id="161504992">
                                          <w:marLeft w:val="0"/>
                                          <w:marRight w:val="0"/>
                                          <w:marTop w:val="0"/>
                                          <w:marBottom w:val="0"/>
                                          <w:divBdr>
                                            <w:top w:val="none" w:sz="0" w:space="0" w:color="auto"/>
                                            <w:left w:val="none" w:sz="0" w:space="0" w:color="auto"/>
                                            <w:bottom w:val="none" w:sz="0" w:space="0" w:color="auto"/>
                                            <w:right w:val="none" w:sz="0" w:space="0" w:color="auto"/>
                                          </w:divBdr>
                                          <w:divsChild>
                                            <w:div w:id="1476222075">
                                              <w:marLeft w:val="0"/>
                                              <w:marRight w:val="0"/>
                                              <w:marTop w:val="0"/>
                                              <w:marBottom w:val="0"/>
                                              <w:divBdr>
                                                <w:top w:val="none" w:sz="0" w:space="0" w:color="auto"/>
                                                <w:left w:val="none" w:sz="0" w:space="0" w:color="auto"/>
                                                <w:bottom w:val="none" w:sz="0" w:space="0" w:color="auto"/>
                                                <w:right w:val="none" w:sz="0" w:space="0" w:color="auto"/>
                                              </w:divBdr>
                                              <w:divsChild>
                                                <w:div w:id="1014914894">
                                                  <w:marLeft w:val="0"/>
                                                  <w:marRight w:val="0"/>
                                                  <w:marTop w:val="225"/>
                                                  <w:marBottom w:val="300"/>
                                                  <w:divBdr>
                                                    <w:top w:val="none" w:sz="0" w:space="0" w:color="auto"/>
                                                    <w:left w:val="none" w:sz="0" w:space="0" w:color="auto"/>
                                                    <w:bottom w:val="none" w:sz="0" w:space="0" w:color="auto"/>
                                                    <w:right w:val="none" w:sz="0" w:space="0" w:color="auto"/>
                                                  </w:divBdr>
                                                  <w:divsChild>
                                                    <w:div w:id="768812303">
                                                      <w:marLeft w:val="0"/>
                                                      <w:marRight w:val="0"/>
                                                      <w:marTop w:val="0"/>
                                                      <w:marBottom w:val="30"/>
                                                      <w:divBdr>
                                                        <w:top w:val="single" w:sz="6" w:space="0" w:color="E5E5E5"/>
                                                        <w:left w:val="single" w:sz="6" w:space="0" w:color="E5E5E5"/>
                                                        <w:bottom w:val="single" w:sz="6" w:space="0" w:color="E5E5E5"/>
                                                        <w:right w:val="single" w:sz="6" w:space="0" w:color="E5E5E5"/>
                                                      </w:divBdr>
                                                      <w:divsChild>
                                                        <w:div w:id="881671864">
                                                          <w:marLeft w:val="0"/>
                                                          <w:marRight w:val="0"/>
                                                          <w:marTop w:val="0"/>
                                                          <w:marBottom w:val="0"/>
                                                          <w:divBdr>
                                                            <w:top w:val="none" w:sz="0" w:space="0" w:color="auto"/>
                                                            <w:left w:val="none" w:sz="0" w:space="0" w:color="auto"/>
                                                            <w:bottom w:val="none" w:sz="0" w:space="0" w:color="auto"/>
                                                            <w:right w:val="none" w:sz="0" w:space="0" w:color="auto"/>
                                                          </w:divBdr>
                                                          <w:divsChild>
                                                            <w:div w:id="2524768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08721">
      <w:bodyDiv w:val="1"/>
      <w:marLeft w:val="0"/>
      <w:marRight w:val="0"/>
      <w:marTop w:val="0"/>
      <w:marBottom w:val="0"/>
      <w:divBdr>
        <w:top w:val="none" w:sz="0" w:space="0" w:color="auto"/>
        <w:left w:val="none" w:sz="0" w:space="0" w:color="auto"/>
        <w:bottom w:val="none" w:sz="0" w:space="0" w:color="auto"/>
        <w:right w:val="none" w:sz="0" w:space="0" w:color="auto"/>
      </w:divBdr>
      <w:divsChild>
        <w:div w:id="2103140454">
          <w:marLeft w:val="0"/>
          <w:marRight w:val="0"/>
          <w:marTop w:val="0"/>
          <w:marBottom w:val="0"/>
          <w:divBdr>
            <w:top w:val="none" w:sz="0" w:space="0" w:color="auto"/>
            <w:left w:val="none" w:sz="0" w:space="0" w:color="auto"/>
            <w:bottom w:val="none" w:sz="0" w:space="0" w:color="auto"/>
            <w:right w:val="none" w:sz="0" w:space="0" w:color="auto"/>
          </w:divBdr>
          <w:divsChild>
            <w:div w:id="1178616990">
              <w:marLeft w:val="0"/>
              <w:marRight w:val="0"/>
              <w:marTop w:val="0"/>
              <w:marBottom w:val="0"/>
              <w:divBdr>
                <w:top w:val="none" w:sz="0" w:space="0" w:color="auto"/>
                <w:left w:val="none" w:sz="0" w:space="0" w:color="auto"/>
                <w:bottom w:val="none" w:sz="0" w:space="0" w:color="auto"/>
                <w:right w:val="none" w:sz="0" w:space="0" w:color="auto"/>
              </w:divBdr>
              <w:divsChild>
                <w:div w:id="706685753">
                  <w:marLeft w:val="0"/>
                  <w:marRight w:val="0"/>
                  <w:marTop w:val="0"/>
                  <w:marBottom w:val="0"/>
                  <w:divBdr>
                    <w:top w:val="none" w:sz="0" w:space="0" w:color="auto"/>
                    <w:left w:val="none" w:sz="0" w:space="0" w:color="auto"/>
                    <w:bottom w:val="none" w:sz="0" w:space="0" w:color="auto"/>
                    <w:right w:val="none" w:sz="0" w:space="0" w:color="auto"/>
                  </w:divBdr>
                  <w:divsChild>
                    <w:div w:id="89786313">
                      <w:marLeft w:val="0"/>
                      <w:marRight w:val="0"/>
                      <w:marTop w:val="0"/>
                      <w:marBottom w:val="0"/>
                      <w:divBdr>
                        <w:top w:val="none" w:sz="0" w:space="0" w:color="auto"/>
                        <w:left w:val="none" w:sz="0" w:space="0" w:color="auto"/>
                        <w:bottom w:val="none" w:sz="0" w:space="0" w:color="auto"/>
                        <w:right w:val="none" w:sz="0" w:space="0" w:color="auto"/>
                      </w:divBdr>
                      <w:divsChild>
                        <w:div w:id="575938479">
                          <w:marLeft w:val="0"/>
                          <w:marRight w:val="0"/>
                          <w:marTop w:val="0"/>
                          <w:marBottom w:val="0"/>
                          <w:divBdr>
                            <w:top w:val="none" w:sz="0" w:space="0" w:color="auto"/>
                            <w:left w:val="none" w:sz="0" w:space="0" w:color="auto"/>
                            <w:bottom w:val="none" w:sz="0" w:space="0" w:color="auto"/>
                            <w:right w:val="none" w:sz="0" w:space="0" w:color="auto"/>
                          </w:divBdr>
                          <w:divsChild>
                            <w:div w:id="1347512071">
                              <w:marLeft w:val="0"/>
                              <w:marRight w:val="0"/>
                              <w:marTop w:val="0"/>
                              <w:marBottom w:val="0"/>
                              <w:divBdr>
                                <w:top w:val="none" w:sz="0" w:space="0" w:color="auto"/>
                                <w:left w:val="none" w:sz="0" w:space="0" w:color="auto"/>
                                <w:bottom w:val="none" w:sz="0" w:space="0" w:color="auto"/>
                                <w:right w:val="none" w:sz="0" w:space="0" w:color="auto"/>
                              </w:divBdr>
                              <w:divsChild>
                                <w:div w:id="387459634">
                                  <w:marLeft w:val="0"/>
                                  <w:marRight w:val="0"/>
                                  <w:marTop w:val="0"/>
                                  <w:marBottom w:val="0"/>
                                  <w:divBdr>
                                    <w:top w:val="none" w:sz="0" w:space="0" w:color="auto"/>
                                    <w:left w:val="none" w:sz="0" w:space="0" w:color="auto"/>
                                    <w:bottom w:val="none" w:sz="0" w:space="0" w:color="auto"/>
                                    <w:right w:val="none" w:sz="0" w:space="0" w:color="auto"/>
                                  </w:divBdr>
                                  <w:divsChild>
                                    <w:div w:id="1250891635">
                                      <w:marLeft w:val="0"/>
                                      <w:marRight w:val="0"/>
                                      <w:marTop w:val="0"/>
                                      <w:marBottom w:val="0"/>
                                      <w:divBdr>
                                        <w:top w:val="none" w:sz="0" w:space="0" w:color="auto"/>
                                        <w:left w:val="none" w:sz="0" w:space="0" w:color="auto"/>
                                        <w:bottom w:val="none" w:sz="0" w:space="0" w:color="auto"/>
                                        <w:right w:val="none" w:sz="0" w:space="0" w:color="auto"/>
                                      </w:divBdr>
                                      <w:divsChild>
                                        <w:div w:id="2137553900">
                                          <w:marLeft w:val="0"/>
                                          <w:marRight w:val="0"/>
                                          <w:marTop w:val="0"/>
                                          <w:marBottom w:val="0"/>
                                          <w:divBdr>
                                            <w:top w:val="none" w:sz="0" w:space="0" w:color="auto"/>
                                            <w:left w:val="none" w:sz="0" w:space="0" w:color="auto"/>
                                            <w:bottom w:val="none" w:sz="0" w:space="0" w:color="auto"/>
                                            <w:right w:val="none" w:sz="0" w:space="0" w:color="auto"/>
                                          </w:divBdr>
                                          <w:divsChild>
                                            <w:div w:id="1266309029">
                                              <w:marLeft w:val="0"/>
                                              <w:marRight w:val="0"/>
                                              <w:marTop w:val="0"/>
                                              <w:marBottom w:val="0"/>
                                              <w:divBdr>
                                                <w:top w:val="none" w:sz="0" w:space="0" w:color="auto"/>
                                                <w:left w:val="none" w:sz="0" w:space="0" w:color="auto"/>
                                                <w:bottom w:val="none" w:sz="0" w:space="0" w:color="auto"/>
                                                <w:right w:val="none" w:sz="0" w:space="0" w:color="auto"/>
                                              </w:divBdr>
                                              <w:divsChild>
                                                <w:div w:id="61561968">
                                                  <w:marLeft w:val="0"/>
                                                  <w:marRight w:val="0"/>
                                                  <w:marTop w:val="225"/>
                                                  <w:marBottom w:val="300"/>
                                                  <w:divBdr>
                                                    <w:top w:val="none" w:sz="0" w:space="0" w:color="auto"/>
                                                    <w:left w:val="none" w:sz="0" w:space="0" w:color="auto"/>
                                                    <w:bottom w:val="none" w:sz="0" w:space="0" w:color="auto"/>
                                                    <w:right w:val="none" w:sz="0" w:space="0" w:color="auto"/>
                                                  </w:divBdr>
                                                  <w:divsChild>
                                                    <w:div w:id="1376738797">
                                                      <w:marLeft w:val="0"/>
                                                      <w:marRight w:val="0"/>
                                                      <w:marTop w:val="0"/>
                                                      <w:marBottom w:val="30"/>
                                                      <w:divBdr>
                                                        <w:top w:val="single" w:sz="6" w:space="0" w:color="E5E5E5"/>
                                                        <w:left w:val="single" w:sz="6" w:space="0" w:color="E5E5E5"/>
                                                        <w:bottom w:val="single" w:sz="6" w:space="0" w:color="E5E5E5"/>
                                                        <w:right w:val="single" w:sz="6" w:space="0" w:color="E5E5E5"/>
                                                      </w:divBdr>
                                                      <w:divsChild>
                                                        <w:div w:id="423694201">
                                                          <w:marLeft w:val="0"/>
                                                          <w:marRight w:val="0"/>
                                                          <w:marTop w:val="0"/>
                                                          <w:marBottom w:val="0"/>
                                                          <w:divBdr>
                                                            <w:top w:val="none" w:sz="0" w:space="0" w:color="auto"/>
                                                            <w:left w:val="none" w:sz="0" w:space="0" w:color="auto"/>
                                                            <w:bottom w:val="none" w:sz="0" w:space="0" w:color="auto"/>
                                                            <w:right w:val="none" w:sz="0" w:space="0" w:color="auto"/>
                                                          </w:divBdr>
                                                        </w:div>
                                                        <w:div w:id="2049602116">
                                                          <w:marLeft w:val="0"/>
                                                          <w:marRight w:val="0"/>
                                                          <w:marTop w:val="0"/>
                                                          <w:marBottom w:val="0"/>
                                                          <w:divBdr>
                                                            <w:top w:val="none" w:sz="0" w:space="0" w:color="auto"/>
                                                            <w:left w:val="none" w:sz="0" w:space="0" w:color="auto"/>
                                                            <w:bottom w:val="none" w:sz="0" w:space="0" w:color="auto"/>
                                                            <w:right w:val="none" w:sz="0" w:space="0" w:color="auto"/>
                                                          </w:divBdr>
                                                          <w:divsChild>
                                                            <w:div w:id="10845695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797886">
      <w:bodyDiv w:val="1"/>
      <w:marLeft w:val="0"/>
      <w:marRight w:val="0"/>
      <w:marTop w:val="0"/>
      <w:marBottom w:val="0"/>
      <w:divBdr>
        <w:top w:val="none" w:sz="0" w:space="0" w:color="auto"/>
        <w:left w:val="none" w:sz="0" w:space="0" w:color="auto"/>
        <w:bottom w:val="none" w:sz="0" w:space="0" w:color="auto"/>
        <w:right w:val="none" w:sz="0" w:space="0" w:color="auto"/>
      </w:divBdr>
      <w:divsChild>
        <w:div w:id="1031228390">
          <w:marLeft w:val="0"/>
          <w:marRight w:val="0"/>
          <w:marTop w:val="0"/>
          <w:marBottom w:val="0"/>
          <w:divBdr>
            <w:top w:val="none" w:sz="0" w:space="0" w:color="auto"/>
            <w:left w:val="none" w:sz="0" w:space="0" w:color="auto"/>
            <w:bottom w:val="none" w:sz="0" w:space="0" w:color="auto"/>
            <w:right w:val="none" w:sz="0" w:space="0" w:color="auto"/>
          </w:divBdr>
          <w:divsChild>
            <w:div w:id="669870382">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sChild>
                    <w:div w:id="76099746">
                      <w:marLeft w:val="0"/>
                      <w:marRight w:val="0"/>
                      <w:marTop w:val="0"/>
                      <w:marBottom w:val="0"/>
                      <w:divBdr>
                        <w:top w:val="none" w:sz="0" w:space="0" w:color="auto"/>
                        <w:left w:val="none" w:sz="0" w:space="0" w:color="auto"/>
                        <w:bottom w:val="none" w:sz="0" w:space="0" w:color="auto"/>
                        <w:right w:val="none" w:sz="0" w:space="0" w:color="auto"/>
                      </w:divBdr>
                      <w:divsChild>
                        <w:div w:id="1840122500">
                          <w:marLeft w:val="0"/>
                          <w:marRight w:val="0"/>
                          <w:marTop w:val="0"/>
                          <w:marBottom w:val="0"/>
                          <w:divBdr>
                            <w:top w:val="none" w:sz="0" w:space="0" w:color="auto"/>
                            <w:left w:val="none" w:sz="0" w:space="0" w:color="auto"/>
                            <w:bottom w:val="none" w:sz="0" w:space="0" w:color="auto"/>
                            <w:right w:val="none" w:sz="0" w:space="0" w:color="auto"/>
                          </w:divBdr>
                          <w:divsChild>
                            <w:div w:id="75520406">
                              <w:marLeft w:val="0"/>
                              <w:marRight w:val="0"/>
                              <w:marTop w:val="0"/>
                              <w:marBottom w:val="0"/>
                              <w:divBdr>
                                <w:top w:val="none" w:sz="0" w:space="0" w:color="auto"/>
                                <w:left w:val="none" w:sz="0" w:space="0" w:color="auto"/>
                                <w:bottom w:val="none" w:sz="0" w:space="0" w:color="auto"/>
                                <w:right w:val="none" w:sz="0" w:space="0" w:color="auto"/>
                              </w:divBdr>
                              <w:divsChild>
                                <w:div w:id="1787042281">
                                  <w:marLeft w:val="0"/>
                                  <w:marRight w:val="0"/>
                                  <w:marTop w:val="0"/>
                                  <w:marBottom w:val="0"/>
                                  <w:divBdr>
                                    <w:top w:val="none" w:sz="0" w:space="0" w:color="auto"/>
                                    <w:left w:val="none" w:sz="0" w:space="0" w:color="auto"/>
                                    <w:bottom w:val="none" w:sz="0" w:space="0" w:color="auto"/>
                                    <w:right w:val="none" w:sz="0" w:space="0" w:color="auto"/>
                                  </w:divBdr>
                                  <w:divsChild>
                                    <w:div w:id="617835440">
                                      <w:marLeft w:val="0"/>
                                      <w:marRight w:val="0"/>
                                      <w:marTop w:val="0"/>
                                      <w:marBottom w:val="0"/>
                                      <w:divBdr>
                                        <w:top w:val="none" w:sz="0" w:space="0" w:color="auto"/>
                                        <w:left w:val="none" w:sz="0" w:space="0" w:color="auto"/>
                                        <w:bottom w:val="none" w:sz="0" w:space="0" w:color="auto"/>
                                        <w:right w:val="none" w:sz="0" w:space="0" w:color="auto"/>
                                      </w:divBdr>
                                      <w:divsChild>
                                        <w:div w:id="1536194573">
                                          <w:marLeft w:val="0"/>
                                          <w:marRight w:val="0"/>
                                          <w:marTop w:val="0"/>
                                          <w:marBottom w:val="0"/>
                                          <w:divBdr>
                                            <w:top w:val="none" w:sz="0" w:space="0" w:color="auto"/>
                                            <w:left w:val="none" w:sz="0" w:space="0" w:color="auto"/>
                                            <w:bottom w:val="none" w:sz="0" w:space="0" w:color="auto"/>
                                            <w:right w:val="none" w:sz="0" w:space="0" w:color="auto"/>
                                          </w:divBdr>
                                          <w:divsChild>
                                            <w:div w:id="1485858258">
                                              <w:marLeft w:val="0"/>
                                              <w:marRight w:val="0"/>
                                              <w:marTop w:val="0"/>
                                              <w:marBottom w:val="0"/>
                                              <w:divBdr>
                                                <w:top w:val="none" w:sz="0" w:space="0" w:color="auto"/>
                                                <w:left w:val="none" w:sz="0" w:space="0" w:color="auto"/>
                                                <w:bottom w:val="none" w:sz="0" w:space="0" w:color="auto"/>
                                                <w:right w:val="none" w:sz="0" w:space="0" w:color="auto"/>
                                              </w:divBdr>
                                              <w:divsChild>
                                                <w:div w:id="2116247794">
                                                  <w:marLeft w:val="0"/>
                                                  <w:marRight w:val="0"/>
                                                  <w:marTop w:val="225"/>
                                                  <w:marBottom w:val="300"/>
                                                  <w:divBdr>
                                                    <w:top w:val="none" w:sz="0" w:space="0" w:color="auto"/>
                                                    <w:left w:val="none" w:sz="0" w:space="0" w:color="auto"/>
                                                    <w:bottom w:val="none" w:sz="0" w:space="0" w:color="auto"/>
                                                    <w:right w:val="none" w:sz="0" w:space="0" w:color="auto"/>
                                                  </w:divBdr>
                                                  <w:divsChild>
                                                    <w:div w:id="1405373545">
                                                      <w:marLeft w:val="0"/>
                                                      <w:marRight w:val="0"/>
                                                      <w:marTop w:val="0"/>
                                                      <w:marBottom w:val="30"/>
                                                      <w:divBdr>
                                                        <w:top w:val="single" w:sz="6" w:space="0" w:color="E5E5E5"/>
                                                        <w:left w:val="single" w:sz="6" w:space="0" w:color="E5E5E5"/>
                                                        <w:bottom w:val="single" w:sz="6" w:space="0" w:color="E5E5E5"/>
                                                        <w:right w:val="single" w:sz="6" w:space="0" w:color="E5E5E5"/>
                                                      </w:divBdr>
                                                      <w:divsChild>
                                                        <w:div w:id="1588879145">
                                                          <w:marLeft w:val="0"/>
                                                          <w:marRight w:val="0"/>
                                                          <w:marTop w:val="0"/>
                                                          <w:marBottom w:val="0"/>
                                                          <w:divBdr>
                                                            <w:top w:val="none" w:sz="0" w:space="0" w:color="auto"/>
                                                            <w:left w:val="none" w:sz="0" w:space="0" w:color="auto"/>
                                                            <w:bottom w:val="none" w:sz="0" w:space="0" w:color="auto"/>
                                                            <w:right w:val="none" w:sz="0" w:space="0" w:color="auto"/>
                                                          </w:divBdr>
                                                          <w:divsChild>
                                                            <w:div w:id="1238057401">
                                                              <w:marLeft w:val="0"/>
                                                              <w:marRight w:val="0"/>
                                                              <w:marTop w:val="0"/>
                                                              <w:marBottom w:val="0"/>
                                                              <w:divBdr>
                                                                <w:top w:val="single" w:sz="6" w:space="7" w:color="E5E5E5"/>
                                                                <w:left w:val="none" w:sz="0" w:space="0" w:color="auto"/>
                                                                <w:bottom w:val="none" w:sz="0" w:space="0" w:color="auto"/>
                                                                <w:right w:val="none" w:sz="0" w:space="0" w:color="auto"/>
                                                              </w:divBdr>
                                                            </w:div>
                                                          </w:divsChild>
                                                        </w:div>
                                                        <w:div w:id="1793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607741">
      <w:bodyDiv w:val="1"/>
      <w:marLeft w:val="0"/>
      <w:marRight w:val="0"/>
      <w:marTop w:val="0"/>
      <w:marBottom w:val="0"/>
      <w:divBdr>
        <w:top w:val="none" w:sz="0" w:space="0" w:color="auto"/>
        <w:left w:val="none" w:sz="0" w:space="0" w:color="auto"/>
        <w:bottom w:val="none" w:sz="0" w:space="0" w:color="auto"/>
        <w:right w:val="none" w:sz="0" w:space="0" w:color="auto"/>
      </w:divBdr>
      <w:divsChild>
        <w:div w:id="1781752247">
          <w:marLeft w:val="0"/>
          <w:marRight w:val="0"/>
          <w:marTop w:val="0"/>
          <w:marBottom w:val="0"/>
          <w:divBdr>
            <w:top w:val="none" w:sz="0" w:space="0" w:color="auto"/>
            <w:left w:val="none" w:sz="0" w:space="0" w:color="auto"/>
            <w:bottom w:val="none" w:sz="0" w:space="0" w:color="auto"/>
            <w:right w:val="none" w:sz="0" w:space="0" w:color="auto"/>
          </w:divBdr>
          <w:divsChild>
            <w:div w:id="750784632">
              <w:marLeft w:val="0"/>
              <w:marRight w:val="0"/>
              <w:marTop w:val="0"/>
              <w:marBottom w:val="0"/>
              <w:divBdr>
                <w:top w:val="none" w:sz="0" w:space="0" w:color="auto"/>
                <w:left w:val="none" w:sz="0" w:space="0" w:color="auto"/>
                <w:bottom w:val="none" w:sz="0" w:space="0" w:color="auto"/>
                <w:right w:val="none" w:sz="0" w:space="0" w:color="auto"/>
              </w:divBdr>
              <w:divsChild>
                <w:div w:id="1823084266">
                  <w:marLeft w:val="0"/>
                  <w:marRight w:val="0"/>
                  <w:marTop w:val="0"/>
                  <w:marBottom w:val="0"/>
                  <w:divBdr>
                    <w:top w:val="none" w:sz="0" w:space="0" w:color="auto"/>
                    <w:left w:val="none" w:sz="0" w:space="0" w:color="auto"/>
                    <w:bottom w:val="none" w:sz="0" w:space="0" w:color="auto"/>
                    <w:right w:val="none" w:sz="0" w:space="0" w:color="auto"/>
                  </w:divBdr>
                  <w:divsChild>
                    <w:div w:id="1991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8982">
      <w:bodyDiv w:val="1"/>
      <w:marLeft w:val="0"/>
      <w:marRight w:val="0"/>
      <w:marTop w:val="0"/>
      <w:marBottom w:val="0"/>
      <w:divBdr>
        <w:top w:val="none" w:sz="0" w:space="0" w:color="auto"/>
        <w:left w:val="none" w:sz="0" w:space="0" w:color="auto"/>
        <w:bottom w:val="none" w:sz="0" w:space="0" w:color="auto"/>
        <w:right w:val="none" w:sz="0" w:space="0" w:color="auto"/>
      </w:divBdr>
      <w:divsChild>
        <w:div w:id="1766537362">
          <w:marLeft w:val="0"/>
          <w:marRight w:val="0"/>
          <w:marTop w:val="0"/>
          <w:marBottom w:val="0"/>
          <w:divBdr>
            <w:top w:val="none" w:sz="0" w:space="0" w:color="auto"/>
            <w:left w:val="none" w:sz="0" w:space="0" w:color="auto"/>
            <w:bottom w:val="none" w:sz="0" w:space="0" w:color="auto"/>
            <w:right w:val="none" w:sz="0" w:space="0" w:color="auto"/>
          </w:divBdr>
          <w:divsChild>
            <w:div w:id="1625622698">
              <w:marLeft w:val="0"/>
              <w:marRight w:val="0"/>
              <w:marTop w:val="0"/>
              <w:marBottom w:val="0"/>
              <w:divBdr>
                <w:top w:val="none" w:sz="0" w:space="0" w:color="auto"/>
                <w:left w:val="none" w:sz="0" w:space="0" w:color="auto"/>
                <w:bottom w:val="none" w:sz="0" w:space="0" w:color="auto"/>
                <w:right w:val="none" w:sz="0" w:space="0" w:color="auto"/>
              </w:divBdr>
              <w:divsChild>
                <w:div w:id="497037488">
                  <w:marLeft w:val="0"/>
                  <w:marRight w:val="0"/>
                  <w:marTop w:val="0"/>
                  <w:marBottom w:val="0"/>
                  <w:divBdr>
                    <w:top w:val="none" w:sz="0" w:space="0" w:color="auto"/>
                    <w:left w:val="none" w:sz="0" w:space="0" w:color="auto"/>
                    <w:bottom w:val="none" w:sz="0" w:space="0" w:color="auto"/>
                    <w:right w:val="none" w:sz="0" w:space="0" w:color="auto"/>
                  </w:divBdr>
                  <w:divsChild>
                    <w:div w:id="474832560">
                      <w:marLeft w:val="0"/>
                      <w:marRight w:val="0"/>
                      <w:marTop w:val="0"/>
                      <w:marBottom w:val="0"/>
                      <w:divBdr>
                        <w:top w:val="none" w:sz="0" w:space="0" w:color="auto"/>
                        <w:left w:val="none" w:sz="0" w:space="0" w:color="auto"/>
                        <w:bottom w:val="none" w:sz="0" w:space="0" w:color="auto"/>
                        <w:right w:val="none" w:sz="0" w:space="0" w:color="auto"/>
                      </w:divBdr>
                      <w:divsChild>
                        <w:div w:id="686562557">
                          <w:marLeft w:val="0"/>
                          <w:marRight w:val="0"/>
                          <w:marTop w:val="0"/>
                          <w:marBottom w:val="0"/>
                          <w:divBdr>
                            <w:top w:val="none" w:sz="0" w:space="0" w:color="auto"/>
                            <w:left w:val="none" w:sz="0" w:space="0" w:color="auto"/>
                            <w:bottom w:val="none" w:sz="0" w:space="0" w:color="auto"/>
                            <w:right w:val="none" w:sz="0" w:space="0" w:color="auto"/>
                          </w:divBdr>
                          <w:divsChild>
                            <w:div w:id="346712382">
                              <w:marLeft w:val="0"/>
                              <w:marRight w:val="0"/>
                              <w:marTop w:val="0"/>
                              <w:marBottom w:val="0"/>
                              <w:divBdr>
                                <w:top w:val="none" w:sz="0" w:space="0" w:color="auto"/>
                                <w:left w:val="none" w:sz="0" w:space="0" w:color="auto"/>
                                <w:bottom w:val="none" w:sz="0" w:space="0" w:color="auto"/>
                                <w:right w:val="none" w:sz="0" w:space="0" w:color="auto"/>
                              </w:divBdr>
                              <w:divsChild>
                                <w:div w:id="1902670550">
                                  <w:marLeft w:val="0"/>
                                  <w:marRight w:val="0"/>
                                  <w:marTop w:val="0"/>
                                  <w:marBottom w:val="0"/>
                                  <w:divBdr>
                                    <w:top w:val="none" w:sz="0" w:space="0" w:color="auto"/>
                                    <w:left w:val="none" w:sz="0" w:space="0" w:color="auto"/>
                                    <w:bottom w:val="none" w:sz="0" w:space="0" w:color="auto"/>
                                    <w:right w:val="none" w:sz="0" w:space="0" w:color="auto"/>
                                  </w:divBdr>
                                  <w:divsChild>
                                    <w:div w:id="1031228524">
                                      <w:marLeft w:val="0"/>
                                      <w:marRight w:val="0"/>
                                      <w:marTop w:val="0"/>
                                      <w:marBottom w:val="0"/>
                                      <w:divBdr>
                                        <w:top w:val="none" w:sz="0" w:space="0" w:color="auto"/>
                                        <w:left w:val="none" w:sz="0" w:space="0" w:color="auto"/>
                                        <w:bottom w:val="none" w:sz="0" w:space="0" w:color="auto"/>
                                        <w:right w:val="none" w:sz="0" w:space="0" w:color="auto"/>
                                      </w:divBdr>
                                      <w:divsChild>
                                        <w:div w:id="1058939945">
                                          <w:marLeft w:val="0"/>
                                          <w:marRight w:val="0"/>
                                          <w:marTop w:val="0"/>
                                          <w:marBottom w:val="0"/>
                                          <w:divBdr>
                                            <w:top w:val="none" w:sz="0" w:space="0" w:color="auto"/>
                                            <w:left w:val="none" w:sz="0" w:space="0" w:color="auto"/>
                                            <w:bottom w:val="none" w:sz="0" w:space="0" w:color="auto"/>
                                            <w:right w:val="none" w:sz="0" w:space="0" w:color="auto"/>
                                          </w:divBdr>
                                          <w:divsChild>
                                            <w:div w:id="1317339816">
                                              <w:marLeft w:val="0"/>
                                              <w:marRight w:val="0"/>
                                              <w:marTop w:val="0"/>
                                              <w:marBottom w:val="0"/>
                                              <w:divBdr>
                                                <w:top w:val="none" w:sz="0" w:space="0" w:color="auto"/>
                                                <w:left w:val="none" w:sz="0" w:space="0" w:color="auto"/>
                                                <w:bottom w:val="none" w:sz="0" w:space="0" w:color="auto"/>
                                                <w:right w:val="none" w:sz="0" w:space="0" w:color="auto"/>
                                              </w:divBdr>
                                              <w:divsChild>
                                                <w:div w:id="464812834">
                                                  <w:marLeft w:val="0"/>
                                                  <w:marRight w:val="0"/>
                                                  <w:marTop w:val="0"/>
                                                  <w:marBottom w:val="0"/>
                                                  <w:divBdr>
                                                    <w:top w:val="none" w:sz="0" w:space="0" w:color="auto"/>
                                                    <w:left w:val="none" w:sz="0" w:space="0" w:color="auto"/>
                                                    <w:bottom w:val="none" w:sz="0" w:space="0" w:color="auto"/>
                                                    <w:right w:val="none" w:sz="0" w:space="0" w:color="auto"/>
                                                  </w:divBdr>
                                                </w:div>
                                                <w:div w:id="19949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49320">
      <w:bodyDiv w:val="1"/>
      <w:marLeft w:val="0"/>
      <w:marRight w:val="0"/>
      <w:marTop w:val="0"/>
      <w:marBottom w:val="0"/>
      <w:divBdr>
        <w:top w:val="none" w:sz="0" w:space="0" w:color="auto"/>
        <w:left w:val="none" w:sz="0" w:space="0" w:color="auto"/>
        <w:bottom w:val="none" w:sz="0" w:space="0" w:color="auto"/>
        <w:right w:val="none" w:sz="0" w:space="0" w:color="auto"/>
      </w:divBdr>
      <w:divsChild>
        <w:div w:id="1709211616">
          <w:marLeft w:val="0"/>
          <w:marRight w:val="0"/>
          <w:marTop w:val="0"/>
          <w:marBottom w:val="0"/>
          <w:divBdr>
            <w:top w:val="none" w:sz="0" w:space="0" w:color="auto"/>
            <w:left w:val="none" w:sz="0" w:space="0" w:color="auto"/>
            <w:bottom w:val="none" w:sz="0" w:space="0" w:color="auto"/>
            <w:right w:val="none" w:sz="0" w:space="0" w:color="auto"/>
          </w:divBdr>
          <w:divsChild>
            <w:div w:id="1036540930">
              <w:marLeft w:val="0"/>
              <w:marRight w:val="0"/>
              <w:marTop w:val="0"/>
              <w:marBottom w:val="0"/>
              <w:divBdr>
                <w:top w:val="none" w:sz="0" w:space="0" w:color="auto"/>
                <w:left w:val="none" w:sz="0" w:space="0" w:color="auto"/>
                <w:bottom w:val="none" w:sz="0" w:space="0" w:color="auto"/>
                <w:right w:val="none" w:sz="0" w:space="0" w:color="auto"/>
              </w:divBdr>
              <w:divsChild>
                <w:div w:id="690764672">
                  <w:marLeft w:val="0"/>
                  <w:marRight w:val="0"/>
                  <w:marTop w:val="0"/>
                  <w:marBottom w:val="0"/>
                  <w:divBdr>
                    <w:top w:val="none" w:sz="0" w:space="0" w:color="auto"/>
                    <w:left w:val="none" w:sz="0" w:space="0" w:color="auto"/>
                    <w:bottom w:val="none" w:sz="0" w:space="0" w:color="auto"/>
                    <w:right w:val="none" w:sz="0" w:space="0" w:color="auto"/>
                  </w:divBdr>
                  <w:divsChild>
                    <w:div w:id="1573810011">
                      <w:marLeft w:val="0"/>
                      <w:marRight w:val="0"/>
                      <w:marTop w:val="0"/>
                      <w:marBottom w:val="0"/>
                      <w:divBdr>
                        <w:top w:val="none" w:sz="0" w:space="0" w:color="auto"/>
                        <w:left w:val="none" w:sz="0" w:space="0" w:color="auto"/>
                        <w:bottom w:val="none" w:sz="0" w:space="0" w:color="auto"/>
                        <w:right w:val="none" w:sz="0" w:space="0" w:color="auto"/>
                      </w:divBdr>
                      <w:divsChild>
                        <w:div w:id="1647662672">
                          <w:marLeft w:val="0"/>
                          <w:marRight w:val="0"/>
                          <w:marTop w:val="0"/>
                          <w:marBottom w:val="0"/>
                          <w:divBdr>
                            <w:top w:val="none" w:sz="0" w:space="0" w:color="auto"/>
                            <w:left w:val="none" w:sz="0" w:space="0" w:color="auto"/>
                            <w:bottom w:val="none" w:sz="0" w:space="0" w:color="auto"/>
                            <w:right w:val="none" w:sz="0" w:space="0" w:color="auto"/>
                          </w:divBdr>
                          <w:divsChild>
                            <w:div w:id="641229059">
                              <w:marLeft w:val="0"/>
                              <w:marRight w:val="0"/>
                              <w:marTop w:val="0"/>
                              <w:marBottom w:val="0"/>
                              <w:divBdr>
                                <w:top w:val="none" w:sz="0" w:space="0" w:color="auto"/>
                                <w:left w:val="none" w:sz="0" w:space="0" w:color="auto"/>
                                <w:bottom w:val="none" w:sz="0" w:space="0" w:color="auto"/>
                                <w:right w:val="none" w:sz="0" w:space="0" w:color="auto"/>
                              </w:divBdr>
                              <w:divsChild>
                                <w:div w:id="1912688223">
                                  <w:marLeft w:val="0"/>
                                  <w:marRight w:val="0"/>
                                  <w:marTop w:val="0"/>
                                  <w:marBottom w:val="0"/>
                                  <w:divBdr>
                                    <w:top w:val="none" w:sz="0" w:space="0" w:color="auto"/>
                                    <w:left w:val="none" w:sz="0" w:space="0" w:color="auto"/>
                                    <w:bottom w:val="none" w:sz="0" w:space="0" w:color="auto"/>
                                    <w:right w:val="none" w:sz="0" w:space="0" w:color="auto"/>
                                  </w:divBdr>
                                  <w:divsChild>
                                    <w:div w:id="140465745">
                                      <w:marLeft w:val="0"/>
                                      <w:marRight w:val="0"/>
                                      <w:marTop w:val="0"/>
                                      <w:marBottom w:val="0"/>
                                      <w:divBdr>
                                        <w:top w:val="none" w:sz="0" w:space="0" w:color="auto"/>
                                        <w:left w:val="none" w:sz="0" w:space="0" w:color="auto"/>
                                        <w:bottom w:val="none" w:sz="0" w:space="0" w:color="auto"/>
                                        <w:right w:val="none" w:sz="0" w:space="0" w:color="auto"/>
                                      </w:divBdr>
                                      <w:divsChild>
                                        <w:div w:id="1552376829">
                                          <w:marLeft w:val="0"/>
                                          <w:marRight w:val="0"/>
                                          <w:marTop w:val="0"/>
                                          <w:marBottom w:val="0"/>
                                          <w:divBdr>
                                            <w:top w:val="none" w:sz="0" w:space="0" w:color="auto"/>
                                            <w:left w:val="none" w:sz="0" w:space="0" w:color="auto"/>
                                            <w:bottom w:val="none" w:sz="0" w:space="0" w:color="auto"/>
                                            <w:right w:val="none" w:sz="0" w:space="0" w:color="auto"/>
                                          </w:divBdr>
                                          <w:divsChild>
                                            <w:div w:id="1152872412">
                                              <w:marLeft w:val="0"/>
                                              <w:marRight w:val="0"/>
                                              <w:marTop w:val="0"/>
                                              <w:marBottom w:val="0"/>
                                              <w:divBdr>
                                                <w:top w:val="none" w:sz="0" w:space="0" w:color="auto"/>
                                                <w:left w:val="none" w:sz="0" w:space="0" w:color="auto"/>
                                                <w:bottom w:val="none" w:sz="0" w:space="0" w:color="auto"/>
                                                <w:right w:val="none" w:sz="0" w:space="0" w:color="auto"/>
                                              </w:divBdr>
                                              <w:divsChild>
                                                <w:div w:id="1030105647">
                                                  <w:marLeft w:val="0"/>
                                                  <w:marRight w:val="0"/>
                                                  <w:marTop w:val="0"/>
                                                  <w:marBottom w:val="0"/>
                                                  <w:divBdr>
                                                    <w:top w:val="none" w:sz="0" w:space="0" w:color="auto"/>
                                                    <w:left w:val="none" w:sz="0" w:space="0" w:color="auto"/>
                                                    <w:bottom w:val="none" w:sz="0" w:space="0" w:color="auto"/>
                                                    <w:right w:val="none" w:sz="0" w:space="0" w:color="auto"/>
                                                  </w:divBdr>
                                                </w:div>
                                                <w:div w:id="15395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238677">
      <w:bodyDiv w:val="1"/>
      <w:marLeft w:val="0"/>
      <w:marRight w:val="0"/>
      <w:marTop w:val="0"/>
      <w:marBottom w:val="0"/>
      <w:divBdr>
        <w:top w:val="none" w:sz="0" w:space="0" w:color="auto"/>
        <w:left w:val="none" w:sz="0" w:space="0" w:color="auto"/>
        <w:bottom w:val="none" w:sz="0" w:space="0" w:color="auto"/>
        <w:right w:val="none" w:sz="0" w:space="0" w:color="auto"/>
      </w:divBdr>
      <w:divsChild>
        <w:div w:id="698509659">
          <w:marLeft w:val="0"/>
          <w:marRight w:val="0"/>
          <w:marTop w:val="0"/>
          <w:marBottom w:val="0"/>
          <w:divBdr>
            <w:top w:val="none" w:sz="0" w:space="0" w:color="auto"/>
            <w:left w:val="none" w:sz="0" w:space="0" w:color="auto"/>
            <w:bottom w:val="none" w:sz="0" w:space="0" w:color="auto"/>
            <w:right w:val="none" w:sz="0" w:space="0" w:color="auto"/>
          </w:divBdr>
          <w:divsChild>
            <w:div w:id="907113655">
              <w:marLeft w:val="0"/>
              <w:marRight w:val="0"/>
              <w:marTop w:val="0"/>
              <w:marBottom w:val="0"/>
              <w:divBdr>
                <w:top w:val="none" w:sz="0" w:space="0" w:color="auto"/>
                <w:left w:val="none" w:sz="0" w:space="0" w:color="auto"/>
                <w:bottom w:val="none" w:sz="0" w:space="0" w:color="auto"/>
                <w:right w:val="none" w:sz="0" w:space="0" w:color="auto"/>
              </w:divBdr>
              <w:divsChild>
                <w:div w:id="942037453">
                  <w:marLeft w:val="0"/>
                  <w:marRight w:val="0"/>
                  <w:marTop w:val="0"/>
                  <w:marBottom w:val="0"/>
                  <w:divBdr>
                    <w:top w:val="none" w:sz="0" w:space="0" w:color="auto"/>
                    <w:left w:val="none" w:sz="0" w:space="0" w:color="auto"/>
                    <w:bottom w:val="none" w:sz="0" w:space="0" w:color="auto"/>
                    <w:right w:val="none" w:sz="0" w:space="0" w:color="auto"/>
                  </w:divBdr>
                  <w:divsChild>
                    <w:div w:id="1653753782">
                      <w:marLeft w:val="0"/>
                      <w:marRight w:val="0"/>
                      <w:marTop w:val="0"/>
                      <w:marBottom w:val="0"/>
                      <w:divBdr>
                        <w:top w:val="none" w:sz="0" w:space="0" w:color="auto"/>
                        <w:left w:val="none" w:sz="0" w:space="0" w:color="auto"/>
                        <w:bottom w:val="none" w:sz="0" w:space="0" w:color="auto"/>
                        <w:right w:val="none" w:sz="0" w:space="0" w:color="auto"/>
                      </w:divBdr>
                      <w:divsChild>
                        <w:div w:id="1784304788">
                          <w:marLeft w:val="0"/>
                          <w:marRight w:val="0"/>
                          <w:marTop w:val="0"/>
                          <w:marBottom w:val="0"/>
                          <w:divBdr>
                            <w:top w:val="none" w:sz="0" w:space="0" w:color="auto"/>
                            <w:left w:val="none" w:sz="0" w:space="0" w:color="auto"/>
                            <w:bottom w:val="none" w:sz="0" w:space="0" w:color="auto"/>
                            <w:right w:val="none" w:sz="0" w:space="0" w:color="auto"/>
                          </w:divBdr>
                          <w:divsChild>
                            <w:div w:id="459803478">
                              <w:marLeft w:val="0"/>
                              <w:marRight w:val="0"/>
                              <w:marTop w:val="0"/>
                              <w:marBottom w:val="0"/>
                              <w:divBdr>
                                <w:top w:val="none" w:sz="0" w:space="0" w:color="auto"/>
                                <w:left w:val="none" w:sz="0" w:space="0" w:color="auto"/>
                                <w:bottom w:val="none" w:sz="0" w:space="0" w:color="auto"/>
                                <w:right w:val="none" w:sz="0" w:space="0" w:color="auto"/>
                              </w:divBdr>
                              <w:divsChild>
                                <w:div w:id="207108748">
                                  <w:marLeft w:val="0"/>
                                  <w:marRight w:val="0"/>
                                  <w:marTop w:val="0"/>
                                  <w:marBottom w:val="0"/>
                                  <w:divBdr>
                                    <w:top w:val="none" w:sz="0" w:space="0" w:color="auto"/>
                                    <w:left w:val="none" w:sz="0" w:space="0" w:color="auto"/>
                                    <w:bottom w:val="none" w:sz="0" w:space="0" w:color="auto"/>
                                    <w:right w:val="none" w:sz="0" w:space="0" w:color="auto"/>
                                  </w:divBdr>
                                  <w:divsChild>
                                    <w:div w:id="462624686">
                                      <w:marLeft w:val="0"/>
                                      <w:marRight w:val="0"/>
                                      <w:marTop w:val="0"/>
                                      <w:marBottom w:val="0"/>
                                      <w:divBdr>
                                        <w:top w:val="none" w:sz="0" w:space="0" w:color="auto"/>
                                        <w:left w:val="none" w:sz="0" w:space="0" w:color="auto"/>
                                        <w:bottom w:val="none" w:sz="0" w:space="0" w:color="auto"/>
                                        <w:right w:val="none" w:sz="0" w:space="0" w:color="auto"/>
                                      </w:divBdr>
                                      <w:divsChild>
                                        <w:div w:id="498085211">
                                          <w:marLeft w:val="0"/>
                                          <w:marRight w:val="0"/>
                                          <w:marTop w:val="0"/>
                                          <w:marBottom w:val="0"/>
                                          <w:divBdr>
                                            <w:top w:val="none" w:sz="0" w:space="0" w:color="auto"/>
                                            <w:left w:val="none" w:sz="0" w:space="0" w:color="auto"/>
                                            <w:bottom w:val="none" w:sz="0" w:space="0" w:color="auto"/>
                                            <w:right w:val="none" w:sz="0" w:space="0" w:color="auto"/>
                                          </w:divBdr>
                                          <w:divsChild>
                                            <w:div w:id="445006269">
                                              <w:marLeft w:val="0"/>
                                              <w:marRight w:val="0"/>
                                              <w:marTop w:val="0"/>
                                              <w:marBottom w:val="0"/>
                                              <w:divBdr>
                                                <w:top w:val="none" w:sz="0" w:space="0" w:color="auto"/>
                                                <w:left w:val="none" w:sz="0" w:space="0" w:color="auto"/>
                                                <w:bottom w:val="none" w:sz="0" w:space="0" w:color="auto"/>
                                                <w:right w:val="none" w:sz="0" w:space="0" w:color="auto"/>
                                              </w:divBdr>
                                              <w:divsChild>
                                                <w:div w:id="1895238661">
                                                  <w:marLeft w:val="0"/>
                                                  <w:marRight w:val="0"/>
                                                  <w:marTop w:val="225"/>
                                                  <w:marBottom w:val="300"/>
                                                  <w:divBdr>
                                                    <w:top w:val="none" w:sz="0" w:space="0" w:color="auto"/>
                                                    <w:left w:val="none" w:sz="0" w:space="0" w:color="auto"/>
                                                    <w:bottom w:val="none" w:sz="0" w:space="0" w:color="auto"/>
                                                    <w:right w:val="none" w:sz="0" w:space="0" w:color="auto"/>
                                                  </w:divBdr>
                                                  <w:divsChild>
                                                    <w:div w:id="1988509677">
                                                      <w:marLeft w:val="0"/>
                                                      <w:marRight w:val="0"/>
                                                      <w:marTop w:val="0"/>
                                                      <w:marBottom w:val="30"/>
                                                      <w:divBdr>
                                                        <w:top w:val="single" w:sz="6" w:space="0" w:color="E5E5E5"/>
                                                        <w:left w:val="single" w:sz="6" w:space="0" w:color="E5E5E5"/>
                                                        <w:bottom w:val="single" w:sz="6" w:space="0" w:color="E5E5E5"/>
                                                        <w:right w:val="single" w:sz="6" w:space="0" w:color="E5E5E5"/>
                                                      </w:divBdr>
                                                      <w:divsChild>
                                                        <w:div w:id="136805029">
                                                          <w:marLeft w:val="0"/>
                                                          <w:marRight w:val="0"/>
                                                          <w:marTop w:val="0"/>
                                                          <w:marBottom w:val="0"/>
                                                          <w:divBdr>
                                                            <w:top w:val="none" w:sz="0" w:space="0" w:color="auto"/>
                                                            <w:left w:val="none" w:sz="0" w:space="0" w:color="auto"/>
                                                            <w:bottom w:val="none" w:sz="0" w:space="0" w:color="auto"/>
                                                            <w:right w:val="none" w:sz="0" w:space="0" w:color="auto"/>
                                                          </w:divBdr>
                                                        </w:div>
                                                        <w:div w:id="1283417065">
                                                          <w:marLeft w:val="0"/>
                                                          <w:marRight w:val="0"/>
                                                          <w:marTop w:val="0"/>
                                                          <w:marBottom w:val="0"/>
                                                          <w:divBdr>
                                                            <w:top w:val="none" w:sz="0" w:space="0" w:color="auto"/>
                                                            <w:left w:val="none" w:sz="0" w:space="0" w:color="auto"/>
                                                            <w:bottom w:val="none" w:sz="0" w:space="0" w:color="auto"/>
                                                            <w:right w:val="none" w:sz="0" w:space="0" w:color="auto"/>
                                                          </w:divBdr>
                                                          <w:divsChild>
                                                            <w:div w:id="105893869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1992">
      <w:bodyDiv w:val="1"/>
      <w:marLeft w:val="0"/>
      <w:marRight w:val="0"/>
      <w:marTop w:val="0"/>
      <w:marBottom w:val="0"/>
      <w:divBdr>
        <w:top w:val="none" w:sz="0" w:space="0" w:color="auto"/>
        <w:left w:val="none" w:sz="0" w:space="0" w:color="auto"/>
        <w:bottom w:val="none" w:sz="0" w:space="0" w:color="auto"/>
        <w:right w:val="none" w:sz="0" w:space="0" w:color="auto"/>
      </w:divBdr>
      <w:divsChild>
        <w:div w:id="1116800834">
          <w:marLeft w:val="0"/>
          <w:marRight w:val="0"/>
          <w:marTop w:val="0"/>
          <w:marBottom w:val="0"/>
          <w:divBdr>
            <w:top w:val="none" w:sz="0" w:space="0" w:color="auto"/>
            <w:left w:val="none" w:sz="0" w:space="0" w:color="auto"/>
            <w:bottom w:val="none" w:sz="0" w:space="0" w:color="auto"/>
            <w:right w:val="none" w:sz="0" w:space="0" w:color="auto"/>
          </w:divBdr>
          <w:divsChild>
            <w:div w:id="1989170988">
              <w:marLeft w:val="0"/>
              <w:marRight w:val="0"/>
              <w:marTop w:val="0"/>
              <w:marBottom w:val="0"/>
              <w:divBdr>
                <w:top w:val="none" w:sz="0" w:space="0" w:color="auto"/>
                <w:left w:val="none" w:sz="0" w:space="0" w:color="auto"/>
                <w:bottom w:val="none" w:sz="0" w:space="0" w:color="auto"/>
                <w:right w:val="none" w:sz="0" w:space="0" w:color="auto"/>
              </w:divBdr>
              <w:divsChild>
                <w:div w:id="1763144101">
                  <w:marLeft w:val="0"/>
                  <w:marRight w:val="0"/>
                  <w:marTop w:val="0"/>
                  <w:marBottom w:val="0"/>
                  <w:divBdr>
                    <w:top w:val="none" w:sz="0" w:space="0" w:color="auto"/>
                    <w:left w:val="none" w:sz="0" w:space="0" w:color="auto"/>
                    <w:bottom w:val="none" w:sz="0" w:space="0" w:color="auto"/>
                    <w:right w:val="none" w:sz="0" w:space="0" w:color="auto"/>
                  </w:divBdr>
                  <w:divsChild>
                    <w:div w:id="97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19863">
      <w:bodyDiv w:val="1"/>
      <w:marLeft w:val="0"/>
      <w:marRight w:val="0"/>
      <w:marTop w:val="0"/>
      <w:marBottom w:val="0"/>
      <w:divBdr>
        <w:top w:val="none" w:sz="0" w:space="0" w:color="auto"/>
        <w:left w:val="none" w:sz="0" w:space="0" w:color="auto"/>
        <w:bottom w:val="none" w:sz="0" w:space="0" w:color="auto"/>
        <w:right w:val="none" w:sz="0" w:space="0" w:color="auto"/>
      </w:divBdr>
      <w:divsChild>
        <w:div w:id="36778417">
          <w:marLeft w:val="0"/>
          <w:marRight w:val="0"/>
          <w:marTop w:val="0"/>
          <w:marBottom w:val="0"/>
          <w:divBdr>
            <w:top w:val="none" w:sz="0" w:space="0" w:color="auto"/>
            <w:left w:val="none" w:sz="0" w:space="0" w:color="auto"/>
            <w:bottom w:val="none" w:sz="0" w:space="0" w:color="auto"/>
            <w:right w:val="none" w:sz="0" w:space="0" w:color="auto"/>
          </w:divBdr>
          <w:divsChild>
            <w:div w:id="1651861474">
              <w:marLeft w:val="0"/>
              <w:marRight w:val="0"/>
              <w:marTop w:val="0"/>
              <w:marBottom w:val="0"/>
              <w:divBdr>
                <w:top w:val="none" w:sz="0" w:space="0" w:color="auto"/>
                <w:left w:val="none" w:sz="0" w:space="0" w:color="auto"/>
                <w:bottom w:val="none" w:sz="0" w:space="0" w:color="auto"/>
                <w:right w:val="none" w:sz="0" w:space="0" w:color="auto"/>
              </w:divBdr>
              <w:divsChild>
                <w:div w:id="1111438849">
                  <w:marLeft w:val="0"/>
                  <w:marRight w:val="0"/>
                  <w:marTop w:val="0"/>
                  <w:marBottom w:val="0"/>
                  <w:divBdr>
                    <w:top w:val="none" w:sz="0" w:space="0" w:color="auto"/>
                    <w:left w:val="none" w:sz="0" w:space="0" w:color="auto"/>
                    <w:bottom w:val="none" w:sz="0" w:space="0" w:color="auto"/>
                    <w:right w:val="none" w:sz="0" w:space="0" w:color="auto"/>
                  </w:divBdr>
                  <w:divsChild>
                    <w:div w:id="723675866">
                      <w:marLeft w:val="0"/>
                      <w:marRight w:val="0"/>
                      <w:marTop w:val="0"/>
                      <w:marBottom w:val="0"/>
                      <w:divBdr>
                        <w:top w:val="none" w:sz="0" w:space="0" w:color="auto"/>
                        <w:left w:val="none" w:sz="0" w:space="0" w:color="auto"/>
                        <w:bottom w:val="none" w:sz="0" w:space="0" w:color="auto"/>
                        <w:right w:val="none" w:sz="0" w:space="0" w:color="auto"/>
                      </w:divBdr>
                      <w:divsChild>
                        <w:div w:id="1722244510">
                          <w:marLeft w:val="0"/>
                          <w:marRight w:val="0"/>
                          <w:marTop w:val="0"/>
                          <w:marBottom w:val="0"/>
                          <w:divBdr>
                            <w:top w:val="none" w:sz="0" w:space="0" w:color="auto"/>
                            <w:left w:val="none" w:sz="0" w:space="0" w:color="auto"/>
                            <w:bottom w:val="none" w:sz="0" w:space="0" w:color="auto"/>
                            <w:right w:val="none" w:sz="0" w:space="0" w:color="auto"/>
                          </w:divBdr>
                          <w:divsChild>
                            <w:div w:id="2122068818">
                              <w:marLeft w:val="0"/>
                              <w:marRight w:val="0"/>
                              <w:marTop w:val="0"/>
                              <w:marBottom w:val="0"/>
                              <w:divBdr>
                                <w:top w:val="none" w:sz="0" w:space="0" w:color="auto"/>
                                <w:left w:val="none" w:sz="0" w:space="0" w:color="auto"/>
                                <w:bottom w:val="none" w:sz="0" w:space="0" w:color="auto"/>
                                <w:right w:val="none" w:sz="0" w:space="0" w:color="auto"/>
                              </w:divBdr>
                              <w:divsChild>
                                <w:div w:id="1977292825">
                                  <w:marLeft w:val="0"/>
                                  <w:marRight w:val="0"/>
                                  <w:marTop w:val="0"/>
                                  <w:marBottom w:val="0"/>
                                  <w:divBdr>
                                    <w:top w:val="none" w:sz="0" w:space="0" w:color="auto"/>
                                    <w:left w:val="none" w:sz="0" w:space="0" w:color="auto"/>
                                    <w:bottom w:val="none" w:sz="0" w:space="0" w:color="auto"/>
                                    <w:right w:val="none" w:sz="0" w:space="0" w:color="auto"/>
                                  </w:divBdr>
                                  <w:divsChild>
                                    <w:div w:id="1191140735">
                                      <w:marLeft w:val="0"/>
                                      <w:marRight w:val="0"/>
                                      <w:marTop w:val="0"/>
                                      <w:marBottom w:val="0"/>
                                      <w:divBdr>
                                        <w:top w:val="none" w:sz="0" w:space="0" w:color="auto"/>
                                        <w:left w:val="none" w:sz="0" w:space="0" w:color="auto"/>
                                        <w:bottom w:val="none" w:sz="0" w:space="0" w:color="auto"/>
                                        <w:right w:val="none" w:sz="0" w:space="0" w:color="auto"/>
                                      </w:divBdr>
                                      <w:divsChild>
                                        <w:div w:id="544104563">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456026872">
                                                  <w:marLeft w:val="0"/>
                                                  <w:marRight w:val="0"/>
                                                  <w:marTop w:val="225"/>
                                                  <w:marBottom w:val="300"/>
                                                  <w:divBdr>
                                                    <w:top w:val="none" w:sz="0" w:space="0" w:color="auto"/>
                                                    <w:left w:val="none" w:sz="0" w:space="0" w:color="auto"/>
                                                    <w:bottom w:val="none" w:sz="0" w:space="0" w:color="auto"/>
                                                    <w:right w:val="none" w:sz="0" w:space="0" w:color="auto"/>
                                                  </w:divBdr>
                                                  <w:divsChild>
                                                    <w:div w:id="1621182470">
                                                      <w:marLeft w:val="0"/>
                                                      <w:marRight w:val="0"/>
                                                      <w:marTop w:val="0"/>
                                                      <w:marBottom w:val="30"/>
                                                      <w:divBdr>
                                                        <w:top w:val="single" w:sz="6" w:space="0" w:color="E5E5E5"/>
                                                        <w:left w:val="single" w:sz="6" w:space="0" w:color="E5E5E5"/>
                                                        <w:bottom w:val="single" w:sz="6" w:space="0" w:color="E5E5E5"/>
                                                        <w:right w:val="single" w:sz="6" w:space="0" w:color="E5E5E5"/>
                                                      </w:divBdr>
                                                      <w:divsChild>
                                                        <w:div w:id="551117987">
                                                          <w:marLeft w:val="0"/>
                                                          <w:marRight w:val="0"/>
                                                          <w:marTop w:val="0"/>
                                                          <w:marBottom w:val="0"/>
                                                          <w:divBdr>
                                                            <w:top w:val="none" w:sz="0" w:space="0" w:color="auto"/>
                                                            <w:left w:val="none" w:sz="0" w:space="0" w:color="auto"/>
                                                            <w:bottom w:val="none" w:sz="0" w:space="0" w:color="auto"/>
                                                            <w:right w:val="none" w:sz="0" w:space="0" w:color="auto"/>
                                                          </w:divBdr>
                                                        </w:div>
                                                        <w:div w:id="1450976291">
                                                          <w:marLeft w:val="0"/>
                                                          <w:marRight w:val="0"/>
                                                          <w:marTop w:val="0"/>
                                                          <w:marBottom w:val="0"/>
                                                          <w:divBdr>
                                                            <w:top w:val="none" w:sz="0" w:space="0" w:color="auto"/>
                                                            <w:left w:val="none" w:sz="0" w:space="0" w:color="auto"/>
                                                            <w:bottom w:val="none" w:sz="0" w:space="0" w:color="auto"/>
                                                            <w:right w:val="none" w:sz="0" w:space="0" w:color="auto"/>
                                                          </w:divBdr>
                                                          <w:divsChild>
                                                            <w:div w:id="195894550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933550">
      <w:bodyDiv w:val="1"/>
      <w:marLeft w:val="0"/>
      <w:marRight w:val="0"/>
      <w:marTop w:val="0"/>
      <w:marBottom w:val="0"/>
      <w:divBdr>
        <w:top w:val="none" w:sz="0" w:space="0" w:color="auto"/>
        <w:left w:val="none" w:sz="0" w:space="0" w:color="auto"/>
        <w:bottom w:val="none" w:sz="0" w:space="0" w:color="auto"/>
        <w:right w:val="none" w:sz="0" w:space="0" w:color="auto"/>
      </w:divBdr>
      <w:divsChild>
        <w:div w:id="1109006043">
          <w:marLeft w:val="0"/>
          <w:marRight w:val="0"/>
          <w:marTop w:val="0"/>
          <w:marBottom w:val="0"/>
          <w:divBdr>
            <w:top w:val="none" w:sz="0" w:space="0" w:color="auto"/>
            <w:left w:val="none" w:sz="0" w:space="0" w:color="auto"/>
            <w:bottom w:val="none" w:sz="0" w:space="0" w:color="auto"/>
            <w:right w:val="none" w:sz="0" w:space="0" w:color="auto"/>
          </w:divBdr>
          <w:divsChild>
            <w:div w:id="1602180584">
              <w:marLeft w:val="0"/>
              <w:marRight w:val="0"/>
              <w:marTop w:val="0"/>
              <w:marBottom w:val="0"/>
              <w:divBdr>
                <w:top w:val="none" w:sz="0" w:space="0" w:color="auto"/>
                <w:left w:val="none" w:sz="0" w:space="0" w:color="auto"/>
                <w:bottom w:val="none" w:sz="0" w:space="0" w:color="auto"/>
                <w:right w:val="none" w:sz="0" w:space="0" w:color="auto"/>
              </w:divBdr>
              <w:divsChild>
                <w:div w:id="1990329053">
                  <w:marLeft w:val="0"/>
                  <w:marRight w:val="0"/>
                  <w:marTop w:val="0"/>
                  <w:marBottom w:val="0"/>
                  <w:divBdr>
                    <w:top w:val="none" w:sz="0" w:space="0" w:color="auto"/>
                    <w:left w:val="none" w:sz="0" w:space="0" w:color="auto"/>
                    <w:bottom w:val="none" w:sz="0" w:space="0" w:color="auto"/>
                    <w:right w:val="none" w:sz="0" w:space="0" w:color="auto"/>
                  </w:divBdr>
                  <w:divsChild>
                    <w:div w:id="556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2829">
      <w:bodyDiv w:val="1"/>
      <w:marLeft w:val="0"/>
      <w:marRight w:val="0"/>
      <w:marTop w:val="0"/>
      <w:marBottom w:val="0"/>
      <w:divBdr>
        <w:top w:val="none" w:sz="0" w:space="0" w:color="auto"/>
        <w:left w:val="none" w:sz="0" w:space="0" w:color="auto"/>
        <w:bottom w:val="none" w:sz="0" w:space="0" w:color="auto"/>
        <w:right w:val="none" w:sz="0" w:space="0" w:color="auto"/>
      </w:divBdr>
      <w:divsChild>
        <w:div w:id="200940048">
          <w:marLeft w:val="0"/>
          <w:marRight w:val="0"/>
          <w:marTop w:val="0"/>
          <w:marBottom w:val="0"/>
          <w:divBdr>
            <w:top w:val="none" w:sz="0" w:space="0" w:color="auto"/>
            <w:left w:val="none" w:sz="0" w:space="0" w:color="auto"/>
            <w:bottom w:val="none" w:sz="0" w:space="0" w:color="auto"/>
            <w:right w:val="none" w:sz="0" w:space="0" w:color="auto"/>
          </w:divBdr>
          <w:divsChild>
            <w:div w:id="787050214">
              <w:marLeft w:val="0"/>
              <w:marRight w:val="0"/>
              <w:marTop w:val="0"/>
              <w:marBottom w:val="0"/>
              <w:divBdr>
                <w:top w:val="none" w:sz="0" w:space="0" w:color="auto"/>
                <w:left w:val="none" w:sz="0" w:space="0" w:color="auto"/>
                <w:bottom w:val="none" w:sz="0" w:space="0" w:color="auto"/>
                <w:right w:val="none" w:sz="0" w:space="0" w:color="auto"/>
              </w:divBdr>
              <w:divsChild>
                <w:div w:id="463933472">
                  <w:marLeft w:val="0"/>
                  <w:marRight w:val="0"/>
                  <w:marTop w:val="0"/>
                  <w:marBottom w:val="0"/>
                  <w:divBdr>
                    <w:top w:val="none" w:sz="0" w:space="0" w:color="auto"/>
                    <w:left w:val="none" w:sz="0" w:space="0" w:color="auto"/>
                    <w:bottom w:val="none" w:sz="0" w:space="0" w:color="auto"/>
                    <w:right w:val="none" w:sz="0" w:space="0" w:color="auto"/>
                  </w:divBdr>
                  <w:divsChild>
                    <w:div w:id="27610054">
                      <w:marLeft w:val="0"/>
                      <w:marRight w:val="0"/>
                      <w:marTop w:val="0"/>
                      <w:marBottom w:val="0"/>
                      <w:divBdr>
                        <w:top w:val="none" w:sz="0" w:space="0" w:color="auto"/>
                        <w:left w:val="none" w:sz="0" w:space="0" w:color="auto"/>
                        <w:bottom w:val="none" w:sz="0" w:space="0" w:color="auto"/>
                        <w:right w:val="none" w:sz="0" w:space="0" w:color="auto"/>
                      </w:divBdr>
                      <w:divsChild>
                        <w:div w:id="243760550">
                          <w:marLeft w:val="0"/>
                          <w:marRight w:val="0"/>
                          <w:marTop w:val="0"/>
                          <w:marBottom w:val="0"/>
                          <w:divBdr>
                            <w:top w:val="none" w:sz="0" w:space="0" w:color="auto"/>
                            <w:left w:val="none" w:sz="0" w:space="0" w:color="auto"/>
                            <w:bottom w:val="none" w:sz="0" w:space="0" w:color="auto"/>
                            <w:right w:val="none" w:sz="0" w:space="0" w:color="auto"/>
                          </w:divBdr>
                          <w:divsChild>
                            <w:div w:id="1552643914">
                              <w:marLeft w:val="0"/>
                              <w:marRight w:val="0"/>
                              <w:marTop w:val="0"/>
                              <w:marBottom w:val="0"/>
                              <w:divBdr>
                                <w:top w:val="none" w:sz="0" w:space="0" w:color="auto"/>
                                <w:left w:val="none" w:sz="0" w:space="0" w:color="auto"/>
                                <w:bottom w:val="none" w:sz="0" w:space="0" w:color="auto"/>
                                <w:right w:val="none" w:sz="0" w:space="0" w:color="auto"/>
                              </w:divBdr>
                              <w:divsChild>
                                <w:div w:id="1384014710">
                                  <w:marLeft w:val="0"/>
                                  <w:marRight w:val="0"/>
                                  <w:marTop w:val="0"/>
                                  <w:marBottom w:val="0"/>
                                  <w:divBdr>
                                    <w:top w:val="none" w:sz="0" w:space="0" w:color="auto"/>
                                    <w:left w:val="none" w:sz="0" w:space="0" w:color="auto"/>
                                    <w:bottom w:val="none" w:sz="0" w:space="0" w:color="auto"/>
                                    <w:right w:val="none" w:sz="0" w:space="0" w:color="auto"/>
                                  </w:divBdr>
                                  <w:divsChild>
                                    <w:div w:id="1990866386">
                                      <w:marLeft w:val="0"/>
                                      <w:marRight w:val="0"/>
                                      <w:marTop w:val="0"/>
                                      <w:marBottom w:val="0"/>
                                      <w:divBdr>
                                        <w:top w:val="none" w:sz="0" w:space="0" w:color="auto"/>
                                        <w:left w:val="none" w:sz="0" w:space="0" w:color="auto"/>
                                        <w:bottom w:val="none" w:sz="0" w:space="0" w:color="auto"/>
                                        <w:right w:val="none" w:sz="0" w:space="0" w:color="auto"/>
                                      </w:divBdr>
                                      <w:divsChild>
                                        <w:div w:id="474614301">
                                          <w:marLeft w:val="0"/>
                                          <w:marRight w:val="0"/>
                                          <w:marTop w:val="0"/>
                                          <w:marBottom w:val="0"/>
                                          <w:divBdr>
                                            <w:top w:val="none" w:sz="0" w:space="0" w:color="auto"/>
                                            <w:left w:val="none" w:sz="0" w:space="0" w:color="auto"/>
                                            <w:bottom w:val="none" w:sz="0" w:space="0" w:color="auto"/>
                                            <w:right w:val="none" w:sz="0" w:space="0" w:color="auto"/>
                                          </w:divBdr>
                                          <w:divsChild>
                                            <w:div w:id="20318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99846">
      <w:bodyDiv w:val="1"/>
      <w:marLeft w:val="0"/>
      <w:marRight w:val="0"/>
      <w:marTop w:val="0"/>
      <w:marBottom w:val="0"/>
      <w:divBdr>
        <w:top w:val="none" w:sz="0" w:space="0" w:color="auto"/>
        <w:left w:val="none" w:sz="0" w:space="0" w:color="auto"/>
        <w:bottom w:val="none" w:sz="0" w:space="0" w:color="auto"/>
        <w:right w:val="none" w:sz="0" w:space="0" w:color="auto"/>
      </w:divBdr>
      <w:divsChild>
        <w:div w:id="1623917644">
          <w:marLeft w:val="0"/>
          <w:marRight w:val="0"/>
          <w:marTop w:val="0"/>
          <w:marBottom w:val="0"/>
          <w:divBdr>
            <w:top w:val="none" w:sz="0" w:space="0" w:color="auto"/>
            <w:left w:val="none" w:sz="0" w:space="0" w:color="auto"/>
            <w:bottom w:val="none" w:sz="0" w:space="0" w:color="auto"/>
            <w:right w:val="none" w:sz="0" w:space="0" w:color="auto"/>
          </w:divBdr>
          <w:divsChild>
            <w:div w:id="183595098">
              <w:marLeft w:val="0"/>
              <w:marRight w:val="0"/>
              <w:marTop w:val="0"/>
              <w:marBottom w:val="0"/>
              <w:divBdr>
                <w:top w:val="none" w:sz="0" w:space="0" w:color="auto"/>
                <w:left w:val="none" w:sz="0" w:space="0" w:color="auto"/>
                <w:bottom w:val="none" w:sz="0" w:space="0" w:color="auto"/>
                <w:right w:val="none" w:sz="0" w:space="0" w:color="auto"/>
              </w:divBdr>
              <w:divsChild>
                <w:div w:id="1971279124">
                  <w:marLeft w:val="0"/>
                  <w:marRight w:val="0"/>
                  <w:marTop w:val="0"/>
                  <w:marBottom w:val="0"/>
                  <w:divBdr>
                    <w:top w:val="none" w:sz="0" w:space="0" w:color="auto"/>
                    <w:left w:val="none" w:sz="0" w:space="0" w:color="auto"/>
                    <w:bottom w:val="none" w:sz="0" w:space="0" w:color="auto"/>
                    <w:right w:val="none" w:sz="0" w:space="0" w:color="auto"/>
                  </w:divBdr>
                  <w:divsChild>
                    <w:div w:id="1864172077">
                      <w:marLeft w:val="0"/>
                      <w:marRight w:val="0"/>
                      <w:marTop w:val="0"/>
                      <w:marBottom w:val="0"/>
                      <w:divBdr>
                        <w:top w:val="none" w:sz="0" w:space="0" w:color="auto"/>
                        <w:left w:val="none" w:sz="0" w:space="0" w:color="auto"/>
                        <w:bottom w:val="none" w:sz="0" w:space="0" w:color="auto"/>
                        <w:right w:val="none" w:sz="0" w:space="0" w:color="auto"/>
                      </w:divBdr>
                      <w:divsChild>
                        <w:div w:id="2067215066">
                          <w:marLeft w:val="0"/>
                          <w:marRight w:val="0"/>
                          <w:marTop w:val="0"/>
                          <w:marBottom w:val="0"/>
                          <w:divBdr>
                            <w:top w:val="none" w:sz="0" w:space="0" w:color="auto"/>
                            <w:left w:val="none" w:sz="0" w:space="0" w:color="auto"/>
                            <w:bottom w:val="none" w:sz="0" w:space="0" w:color="auto"/>
                            <w:right w:val="none" w:sz="0" w:space="0" w:color="auto"/>
                          </w:divBdr>
                          <w:divsChild>
                            <w:div w:id="1727752062">
                              <w:marLeft w:val="0"/>
                              <w:marRight w:val="0"/>
                              <w:marTop w:val="0"/>
                              <w:marBottom w:val="0"/>
                              <w:divBdr>
                                <w:top w:val="none" w:sz="0" w:space="0" w:color="auto"/>
                                <w:left w:val="none" w:sz="0" w:space="0" w:color="auto"/>
                                <w:bottom w:val="none" w:sz="0" w:space="0" w:color="auto"/>
                                <w:right w:val="none" w:sz="0" w:space="0" w:color="auto"/>
                              </w:divBdr>
                              <w:divsChild>
                                <w:div w:id="1121730100">
                                  <w:marLeft w:val="0"/>
                                  <w:marRight w:val="0"/>
                                  <w:marTop w:val="0"/>
                                  <w:marBottom w:val="0"/>
                                  <w:divBdr>
                                    <w:top w:val="none" w:sz="0" w:space="0" w:color="auto"/>
                                    <w:left w:val="none" w:sz="0" w:space="0" w:color="auto"/>
                                    <w:bottom w:val="none" w:sz="0" w:space="0" w:color="auto"/>
                                    <w:right w:val="none" w:sz="0" w:space="0" w:color="auto"/>
                                  </w:divBdr>
                                  <w:divsChild>
                                    <w:div w:id="1119034402">
                                      <w:marLeft w:val="0"/>
                                      <w:marRight w:val="0"/>
                                      <w:marTop w:val="0"/>
                                      <w:marBottom w:val="0"/>
                                      <w:divBdr>
                                        <w:top w:val="none" w:sz="0" w:space="0" w:color="auto"/>
                                        <w:left w:val="none" w:sz="0" w:space="0" w:color="auto"/>
                                        <w:bottom w:val="none" w:sz="0" w:space="0" w:color="auto"/>
                                        <w:right w:val="none" w:sz="0" w:space="0" w:color="auto"/>
                                      </w:divBdr>
                                      <w:divsChild>
                                        <w:div w:id="539125112">
                                          <w:marLeft w:val="0"/>
                                          <w:marRight w:val="0"/>
                                          <w:marTop w:val="0"/>
                                          <w:marBottom w:val="0"/>
                                          <w:divBdr>
                                            <w:top w:val="none" w:sz="0" w:space="0" w:color="auto"/>
                                            <w:left w:val="none" w:sz="0" w:space="0" w:color="auto"/>
                                            <w:bottom w:val="none" w:sz="0" w:space="0" w:color="auto"/>
                                            <w:right w:val="none" w:sz="0" w:space="0" w:color="auto"/>
                                          </w:divBdr>
                                          <w:divsChild>
                                            <w:div w:id="1027754150">
                                              <w:marLeft w:val="0"/>
                                              <w:marRight w:val="0"/>
                                              <w:marTop w:val="0"/>
                                              <w:marBottom w:val="0"/>
                                              <w:divBdr>
                                                <w:top w:val="none" w:sz="0" w:space="0" w:color="auto"/>
                                                <w:left w:val="none" w:sz="0" w:space="0" w:color="auto"/>
                                                <w:bottom w:val="none" w:sz="0" w:space="0" w:color="auto"/>
                                                <w:right w:val="none" w:sz="0" w:space="0" w:color="auto"/>
                                              </w:divBdr>
                                              <w:divsChild>
                                                <w:div w:id="924848598">
                                                  <w:marLeft w:val="0"/>
                                                  <w:marRight w:val="0"/>
                                                  <w:marTop w:val="225"/>
                                                  <w:marBottom w:val="300"/>
                                                  <w:divBdr>
                                                    <w:top w:val="none" w:sz="0" w:space="0" w:color="auto"/>
                                                    <w:left w:val="none" w:sz="0" w:space="0" w:color="auto"/>
                                                    <w:bottom w:val="none" w:sz="0" w:space="0" w:color="auto"/>
                                                    <w:right w:val="none" w:sz="0" w:space="0" w:color="auto"/>
                                                  </w:divBdr>
                                                  <w:divsChild>
                                                    <w:div w:id="1736509849">
                                                      <w:marLeft w:val="0"/>
                                                      <w:marRight w:val="0"/>
                                                      <w:marTop w:val="0"/>
                                                      <w:marBottom w:val="30"/>
                                                      <w:divBdr>
                                                        <w:top w:val="single" w:sz="6" w:space="0" w:color="E5E5E5"/>
                                                        <w:left w:val="single" w:sz="6" w:space="0" w:color="E5E5E5"/>
                                                        <w:bottom w:val="single" w:sz="6" w:space="0" w:color="E5E5E5"/>
                                                        <w:right w:val="single" w:sz="6" w:space="0" w:color="E5E5E5"/>
                                                      </w:divBdr>
                                                      <w:divsChild>
                                                        <w:div w:id="1088650161">
                                                          <w:marLeft w:val="0"/>
                                                          <w:marRight w:val="0"/>
                                                          <w:marTop w:val="0"/>
                                                          <w:marBottom w:val="0"/>
                                                          <w:divBdr>
                                                            <w:top w:val="none" w:sz="0" w:space="0" w:color="auto"/>
                                                            <w:left w:val="none" w:sz="0" w:space="0" w:color="auto"/>
                                                            <w:bottom w:val="none" w:sz="0" w:space="0" w:color="auto"/>
                                                            <w:right w:val="none" w:sz="0" w:space="0" w:color="auto"/>
                                                          </w:divBdr>
                                                          <w:divsChild>
                                                            <w:div w:id="1701542575">
                                                              <w:marLeft w:val="0"/>
                                                              <w:marRight w:val="0"/>
                                                              <w:marTop w:val="0"/>
                                                              <w:marBottom w:val="0"/>
                                                              <w:divBdr>
                                                                <w:top w:val="single" w:sz="6" w:space="7" w:color="E5E5E5"/>
                                                                <w:left w:val="none" w:sz="0" w:space="0" w:color="auto"/>
                                                                <w:bottom w:val="none" w:sz="0" w:space="0" w:color="auto"/>
                                                                <w:right w:val="none" w:sz="0" w:space="0" w:color="auto"/>
                                                              </w:divBdr>
                                                            </w:div>
                                                          </w:divsChild>
                                                        </w:div>
                                                        <w:div w:id="1134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728599">
      <w:bodyDiv w:val="1"/>
      <w:marLeft w:val="0"/>
      <w:marRight w:val="0"/>
      <w:marTop w:val="0"/>
      <w:marBottom w:val="0"/>
      <w:divBdr>
        <w:top w:val="none" w:sz="0" w:space="0" w:color="auto"/>
        <w:left w:val="none" w:sz="0" w:space="0" w:color="auto"/>
        <w:bottom w:val="none" w:sz="0" w:space="0" w:color="auto"/>
        <w:right w:val="none" w:sz="0" w:space="0" w:color="auto"/>
      </w:divBdr>
      <w:divsChild>
        <w:div w:id="531648664">
          <w:marLeft w:val="0"/>
          <w:marRight w:val="0"/>
          <w:marTop w:val="0"/>
          <w:marBottom w:val="0"/>
          <w:divBdr>
            <w:top w:val="none" w:sz="0" w:space="0" w:color="auto"/>
            <w:left w:val="none" w:sz="0" w:space="0" w:color="auto"/>
            <w:bottom w:val="none" w:sz="0" w:space="0" w:color="auto"/>
            <w:right w:val="none" w:sz="0" w:space="0" w:color="auto"/>
          </w:divBdr>
          <w:divsChild>
            <w:div w:id="594898135">
              <w:marLeft w:val="0"/>
              <w:marRight w:val="0"/>
              <w:marTop w:val="0"/>
              <w:marBottom w:val="0"/>
              <w:divBdr>
                <w:top w:val="none" w:sz="0" w:space="0" w:color="auto"/>
                <w:left w:val="none" w:sz="0" w:space="0" w:color="auto"/>
                <w:bottom w:val="none" w:sz="0" w:space="0" w:color="auto"/>
                <w:right w:val="none" w:sz="0" w:space="0" w:color="auto"/>
              </w:divBdr>
              <w:divsChild>
                <w:div w:id="914781250">
                  <w:marLeft w:val="0"/>
                  <w:marRight w:val="0"/>
                  <w:marTop w:val="0"/>
                  <w:marBottom w:val="0"/>
                  <w:divBdr>
                    <w:top w:val="none" w:sz="0" w:space="0" w:color="auto"/>
                    <w:left w:val="none" w:sz="0" w:space="0" w:color="auto"/>
                    <w:bottom w:val="none" w:sz="0" w:space="0" w:color="auto"/>
                    <w:right w:val="none" w:sz="0" w:space="0" w:color="auto"/>
                  </w:divBdr>
                  <w:divsChild>
                    <w:div w:id="1890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696">
      <w:bodyDiv w:val="1"/>
      <w:marLeft w:val="0"/>
      <w:marRight w:val="0"/>
      <w:marTop w:val="0"/>
      <w:marBottom w:val="0"/>
      <w:divBdr>
        <w:top w:val="none" w:sz="0" w:space="0" w:color="auto"/>
        <w:left w:val="none" w:sz="0" w:space="0" w:color="auto"/>
        <w:bottom w:val="none" w:sz="0" w:space="0" w:color="auto"/>
        <w:right w:val="none" w:sz="0" w:space="0" w:color="auto"/>
      </w:divBdr>
      <w:divsChild>
        <w:div w:id="1481313237">
          <w:marLeft w:val="0"/>
          <w:marRight w:val="0"/>
          <w:marTop w:val="0"/>
          <w:marBottom w:val="0"/>
          <w:divBdr>
            <w:top w:val="none" w:sz="0" w:space="0" w:color="auto"/>
            <w:left w:val="none" w:sz="0" w:space="0" w:color="auto"/>
            <w:bottom w:val="none" w:sz="0" w:space="0" w:color="auto"/>
            <w:right w:val="none" w:sz="0" w:space="0" w:color="auto"/>
          </w:divBdr>
          <w:divsChild>
            <w:div w:id="1233152069">
              <w:marLeft w:val="0"/>
              <w:marRight w:val="0"/>
              <w:marTop w:val="0"/>
              <w:marBottom w:val="0"/>
              <w:divBdr>
                <w:top w:val="none" w:sz="0" w:space="0" w:color="auto"/>
                <w:left w:val="none" w:sz="0" w:space="0" w:color="auto"/>
                <w:bottom w:val="none" w:sz="0" w:space="0" w:color="auto"/>
                <w:right w:val="none" w:sz="0" w:space="0" w:color="auto"/>
              </w:divBdr>
              <w:divsChild>
                <w:div w:id="628168027">
                  <w:marLeft w:val="0"/>
                  <w:marRight w:val="0"/>
                  <w:marTop w:val="0"/>
                  <w:marBottom w:val="0"/>
                  <w:divBdr>
                    <w:top w:val="none" w:sz="0" w:space="0" w:color="auto"/>
                    <w:left w:val="none" w:sz="0" w:space="0" w:color="auto"/>
                    <w:bottom w:val="none" w:sz="0" w:space="0" w:color="auto"/>
                    <w:right w:val="none" w:sz="0" w:space="0" w:color="auto"/>
                  </w:divBdr>
                  <w:divsChild>
                    <w:div w:id="1546791983">
                      <w:marLeft w:val="0"/>
                      <w:marRight w:val="0"/>
                      <w:marTop w:val="0"/>
                      <w:marBottom w:val="0"/>
                      <w:divBdr>
                        <w:top w:val="none" w:sz="0" w:space="0" w:color="auto"/>
                        <w:left w:val="none" w:sz="0" w:space="0" w:color="auto"/>
                        <w:bottom w:val="none" w:sz="0" w:space="0" w:color="auto"/>
                        <w:right w:val="none" w:sz="0" w:space="0" w:color="auto"/>
                      </w:divBdr>
                      <w:divsChild>
                        <w:div w:id="1843232355">
                          <w:marLeft w:val="0"/>
                          <w:marRight w:val="0"/>
                          <w:marTop w:val="0"/>
                          <w:marBottom w:val="0"/>
                          <w:divBdr>
                            <w:top w:val="none" w:sz="0" w:space="0" w:color="auto"/>
                            <w:left w:val="none" w:sz="0" w:space="0" w:color="auto"/>
                            <w:bottom w:val="none" w:sz="0" w:space="0" w:color="auto"/>
                            <w:right w:val="none" w:sz="0" w:space="0" w:color="auto"/>
                          </w:divBdr>
                          <w:divsChild>
                            <w:div w:id="2135755202">
                              <w:marLeft w:val="0"/>
                              <w:marRight w:val="0"/>
                              <w:marTop w:val="0"/>
                              <w:marBottom w:val="0"/>
                              <w:divBdr>
                                <w:top w:val="none" w:sz="0" w:space="0" w:color="auto"/>
                                <w:left w:val="none" w:sz="0" w:space="0" w:color="auto"/>
                                <w:bottom w:val="none" w:sz="0" w:space="0" w:color="auto"/>
                                <w:right w:val="none" w:sz="0" w:space="0" w:color="auto"/>
                              </w:divBdr>
                              <w:divsChild>
                                <w:div w:id="1260456093">
                                  <w:marLeft w:val="0"/>
                                  <w:marRight w:val="0"/>
                                  <w:marTop w:val="0"/>
                                  <w:marBottom w:val="0"/>
                                  <w:divBdr>
                                    <w:top w:val="none" w:sz="0" w:space="0" w:color="auto"/>
                                    <w:left w:val="none" w:sz="0" w:space="0" w:color="auto"/>
                                    <w:bottom w:val="none" w:sz="0" w:space="0" w:color="auto"/>
                                    <w:right w:val="none" w:sz="0" w:space="0" w:color="auto"/>
                                  </w:divBdr>
                                  <w:divsChild>
                                    <w:div w:id="1880631494">
                                      <w:marLeft w:val="0"/>
                                      <w:marRight w:val="0"/>
                                      <w:marTop w:val="0"/>
                                      <w:marBottom w:val="0"/>
                                      <w:divBdr>
                                        <w:top w:val="none" w:sz="0" w:space="0" w:color="auto"/>
                                        <w:left w:val="none" w:sz="0" w:space="0" w:color="auto"/>
                                        <w:bottom w:val="none" w:sz="0" w:space="0" w:color="auto"/>
                                        <w:right w:val="none" w:sz="0" w:space="0" w:color="auto"/>
                                      </w:divBdr>
                                      <w:divsChild>
                                        <w:div w:id="159590903">
                                          <w:marLeft w:val="0"/>
                                          <w:marRight w:val="0"/>
                                          <w:marTop w:val="0"/>
                                          <w:marBottom w:val="0"/>
                                          <w:divBdr>
                                            <w:top w:val="none" w:sz="0" w:space="0" w:color="auto"/>
                                            <w:left w:val="none" w:sz="0" w:space="0" w:color="auto"/>
                                            <w:bottom w:val="none" w:sz="0" w:space="0" w:color="auto"/>
                                            <w:right w:val="none" w:sz="0" w:space="0" w:color="auto"/>
                                          </w:divBdr>
                                          <w:divsChild>
                                            <w:div w:id="1365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213185">
      <w:bodyDiv w:val="1"/>
      <w:marLeft w:val="0"/>
      <w:marRight w:val="0"/>
      <w:marTop w:val="0"/>
      <w:marBottom w:val="0"/>
      <w:divBdr>
        <w:top w:val="none" w:sz="0" w:space="0" w:color="auto"/>
        <w:left w:val="none" w:sz="0" w:space="0" w:color="auto"/>
        <w:bottom w:val="none" w:sz="0" w:space="0" w:color="auto"/>
        <w:right w:val="none" w:sz="0" w:space="0" w:color="auto"/>
      </w:divBdr>
      <w:divsChild>
        <w:div w:id="429619942">
          <w:marLeft w:val="0"/>
          <w:marRight w:val="0"/>
          <w:marTop w:val="0"/>
          <w:marBottom w:val="0"/>
          <w:divBdr>
            <w:top w:val="none" w:sz="0" w:space="0" w:color="auto"/>
            <w:left w:val="none" w:sz="0" w:space="0" w:color="auto"/>
            <w:bottom w:val="none" w:sz="0" w:space="0" w:color="auto"/>
            <w:right w:val="none" w:sz="0" w:space="0" w:color="auto"/>
          </w:divBdr>
          <w:divsChild>
            <w:div w:id="2040080180">
              <w:marLeft w:val="0"/>
              <w:marRight w:val="0"/>
              <w:marTop w:val="0"/>
              <w:marBottom w:val="0"/>
              <w:divBdr>
                <w:top w:val="none" w:sz="0" w:space="0" w:color="auto"/>
                <w:left w:val="none" w:sz="0" w:space="0" w:color="auto"/>
                <w:bottom w:val="none" w:sz="0" w:space="0" w:color="auto"/>
                <w:right w:val="none" w:sz="0" w:space="0" w:color="auto"/>
              </w:divBdr>
              <w:divsChild>
                <w:div w:id="47194291">
                  <w:marLeft w:val="0"/>
                  <w:marRight w:val="0"/>
                  <w:marTop w:val="0"/>
                  <w:marBottom w:val="0"/>
                  <w:divBdr>
                    <w:top w:val="none" w:sz="0" w:space="0" w:color="auto"/>
                    <w:left w:val="none" w:sz="0" w:space="0" w:color="auto"/>
                    <w:bottom w:val="none" w:sz="0" w:space="0" w:color="auto"/>
                    <w:right w:val="none" w:sz="0" w:space="0" w:color="auto"/>
                  </w:divBdr>
                  <w:divsChild>
                    <w:div w:id="439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5135">
      <w:bodyDiv w:val="1"/>
      <w:marLeft w:val="0"/>
      <w:marRight w:val="0"/>
      <w:marTop w:val="0"/>
      <w:marBottom w:val="0"/>
      <w:divBdr>
        <w:top w:val="none" w:sz="0" w:space="0" w:color="auto"/>
        <w:left w:val="none" w:sz="0" w:space="0" w:color="auto"/>
        <w:bottom w:val="none" w:sz="0" w:space="0" w:color="auto"/>
        <w:right w:val="none" w:sz="0" w:space="0" w:color="auto"/>
      </w:divBdr>
      <w:divsChild>
        <w:div w:id="1674719088">
          <w:marLeft w:val="0"/>
          <w:marRight w:val="0"/>
          <w:marTop w:val="0"/>
          <w:marBottom w:val="0"/>
          <w:divBdr>
            <w:top w:val="none" w:sz="0" w:space="0" w:color="auto"/>
            <w:left w:val="none" w:sz="0" w:space="0" w:color="auto"/>
            <w:bottom w:val="none" w:sz="0" w:space="0" w:color="auto"/>
            <w:right w:val="none" w:sz="0" w:space="0" w:color="auto"/>
          </w:divBdr>
          <w:divsChild>
            <w:div w:id="1889949268">
              <w:marLeft w:val="0"/>
              <w:marRight w:val="0"/>
              <w:marTop w:val="0"/>
              <w:marBottom w:val="0"/>
              <w:divBdr>
                <w:top w:val="none" w:sz="0" w:space="0" w:color="auto"/>
                <w:left w:val="none" w:sz="0" w:space="0" w:color="auto"/>
                <w:bottom w:val="none" w:sz="0" w:space="0" w:color="auto"/>
                <w:right w:val="none" w:sz="0" w:space="0" w:color="auto"/>
              </w:divBdr>
              <w:divsChild>
                <w:div w:id="95449883">
                  <w:marLeft w:val="0"/>
                  <w:marRight w:val="0"/>
                  <w:marTop w:val="0"/>
                  <w:marBottom w:val="0"/>
                  <w:divBdr>
                    <w:top w:val="none" w:sz="0" w:space="0" w:color="auto"/>
                    <w:left w:val="none" w:sz="0" w:space="0" w:color="auto"/>
                    <w:bottom w:val="none" w:sz="0" w:space="0" w:color="auto"/>
                    <w:right w:val="none" w:sz="0" w:space="0" w:color="auto"/>
                  </w:divBdr>
                  <w:divsChild>
                    <w:div w:id="819729406">
                      <w:marLeft w:val="0"/>
                      <w:marRight w:val="0"/>
                      <w:marTop w:val="0"/>
                      <w:marBottom w:val="0"/>
                      <w:divBdr>
                        <w:top w:val="none" w:sz="0" w:space="0" w:color="auto"/>
                        <w:left w:val="none" w:sz="0" w:space="0" w:color="auto"/>
                        <w:bottom w:val="none" w:sz="0" w:space="0" w:color="auto"/>
                        <w:right w:val="none" w:sz="0" w:space="0" w:color="auto"/>
                      </w:divBdr>
                      <w:divsChild>
                        <w:div w:id="1471243589">
                          <w:marLeft w:val="0"/>
                          <w:marRight w:val="0"/>
                          <w:marTop w:val="0"/>
                          <w:marBottom w:val="0"/>
                          <w:divBdr>
                            <w:top w:val="none" w:sz="0" w:space="0" w:color="auto"/>
                            <w:left w:val="none" w:sz="0" w:space="0" w:color="auto"/>
                            <w:bottom w:val="none" w:sz="0" w:space="0" w:color="auto"/>
                            <w:right w:val="none" w:sz="0" w:space="0" w:color="auto"/>
                          </w:divBdr>
                          <w:divsChild>
                            <w:div w:id="2020571534">
                              <w:marLeft w:val="0"/>
                              <w:marRight w:val="0"/>
                              <w:marTop w:val="0"/>
                              <w:marBottom w:val="0"/>
                              <w:divBdr>
                                <w:top w:val="none" w:sz="0" w:space="0" w:color="auto"/>
                                <w:left w:val="none" w:sz="0" w:space="0" w:color="auto"/>
                                <w:bottom w:val="none" w:sz="0" w:space="0" w:color="auto"/>
                                <w:right w:val="none" w:sz="0" w:space="0" w:color="auto"/>
                              </w:divBdr>
                              <w:divsChild>
                                <w:div w:id="443766396">
                                  <w:marLeft w:val="0"/>
                                  <w:marRight w:val="0"/>
                                  <w:marTop w:val="0"/>
                                  <w:marBottom w:val="0"/>
                                  <w:divBdr>
                                    <w:top w:val="none" w:sz="0" w:space="0" w:color="auto"/>
                                    <w:left w:val="none" w:sz="0" w:space="0" w:color="auto"/>
                                    <w:bottom w:val="none" w:sz="0" w:space="0" w:color="auto"/>
                                    <w:right w:val="none" w:sz="0" w:space="0" w:color="auto"/>
                                  </w:divBdr>
                                  <w:divsChild>
                                    <w:div w:id="1861428931">
                                      <w:marLeft w:val="0"/>
                                      <w:marRight w:val="0"/>
                                      <w:marTop w:val="0"/>
                                      <w:marBottom w:val="0"/>
                                      <w:divBdr>
                                        <w:top w:val="none" w:sz="0" w:space="0" w:color="auto"/>
                                        <w:left w:val="none" w:sz="0" w:space="0" w:color="auto"/>
                                        <w:bottom w:val="none" w:sz="0" w:space="0" w:color="auto"/>
                                        <w:right w:val="none" w:sz="0" w:space="0" w:color="auto"/>
                                      </w:divBdr>
                                      <w:divsChild>
                                        <w:div w:id="1147555618">
                                          <w:marLeft w:val="0"/>
                                          <w:marRight w:val="0"/>
                                          <w:marTop w:val="0"/>
                                          <w:marBottom w:val="0"/>
                                          <w:divBdr>
                                            <w:top w:val="none" w:sz="0" w:space="0" w:color="auto"/>
                                            <w:left w:val="none" w:sz="0" w:space="0" w:color="auto"/>
                                            <w:bottom w:val="none" w:sz="0" w:space="0" w:color="auto"/>
                                            <w:right w:val="none" w:sz="0" w:space="0" w:color="auto"/>
                                          </w:divBdr>
                                          <w:divsChild>
                                            <w:div w:id="1274704919">
                                              <w:marLeft w:val="0"/>
                                              <w:marRight w:val="0"/>
                                              <w:marTop w:val="0"/>
                                              <w:marBottom w:val="0"/>
                                              <w:divBdr>
                                                <w:top w:val="none" w:sz="0" w:space="0" w:color="auto"/>
                                                <w:left w:val="none" w:sz="0" w:space="0" w:color="auto"/>
                                                <w:bottom w:val="none" w:sz="0" w:space="0" w:color="auto"/>
                                                <w:right w:val="none" w:sz="0" w:space="0" w:color="auto"/>
                                              </w:divBdr>
                                              <w:divsChild>
                                                <w:div w:id="1443574839">
                                                  <w:marLeft w:val="0"/>
                                                  <w:marRight w:val="0"/>
                                                  <w:marTop w:val="225"/>
                                                  <w:marBottom w:val="300"/>
                                                  <w:divBdr>
                                                    <w:top w:val="none" w:sz="0" w:space="0" w:color="auto"/>
                                                    <w:left w:val="none" w:sz="0" w:space="0" w:color="auto"/>
                                                    <w:bottom w:val="none" w:sz="0" w:space="0" w:color="auto"/>
                                                    <w:right w:val="none" w:sz="0" w:space="0" w:color="auto"/>
                                                  </w:divBdr>
                                                  <w:divsChild>
                                                    <w:div w:id="1287082008">
                                                      <w:marLeft w:val="0"/>
                                                      <w:marRight w:val="0"/>
                                                      <w:marTop w:val="0"/>
                                                      <w:marBottom w:val="30"/>
                                                      <w:divBdr>
                                                        <w:top w:val="single" w:sz="6" w:space="0" w:color="E5E5E5"/>
                                                        <w:left w:val="single" w:sz="6" w:space="0" w:color="E5E5E5"/>
                                                        <w:bottom w:val="single" w:sz="6" w:space="0" w:color="E5E5E5"/>
                                                        <w:right w:val="single" w:sz="6" w:space="0" w:color="E5E5E5"/>
                                                      </w:divBdr>
                                                      <w:divsChild>
                                                        <w:div w:id="1282304975">
                                                          <w:marLeft w:val="0"/>
                                                          <w:marRight w:val="0"/>
                                                          <w:marTop w:val="0"/>
                                                          <w:marBottom w:val="0"/>
                                                          <w:divBdr>
                                                            <w:top w:val="none" w:sz="0" w:space="0" w:color="auto"/>
                                                            <w:left w:val="none" w:sz="0" w:space="0" w:color="auto"/>
                                                            <w:bottom w:val="none" w:sz="0" w:space="0" w:color="auto"/>
                                                            <w:right w:val="none" w:sz="0" w:space="0" w:color="auto"/>
                                                          </w:divBdr>
                                                        </w:div>
                                                        <w:div w:id="1765344992">
                                                          <w:marLeft w:val="0"/>
                                                          <w:marRight w:val="0"/>
                                                          <w:marTop w:val="0"/>
                                                          <w:marBottom w:val="0"/>
                                                          <w:divBdr>
                                                            <w:top w:val="none" w:sz="0" w:space="0" w:color="auto"/>
                                                            <w:left w:val="none" w:sz="0" w:space="0" w:color="auto"/>
                                                            <w:bottom w:val="none" w:sz="0" w:space="0" w:color="auto"/>
                                                            <w:right w:val="none" w:sz="0" w:space="0" w:color="auto"/>
                                                          </w:divBdr>
                                                          <w:divsChild>
                                                            <w:div w:id="7590891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659964">
      <w:bodyDiv w:val="1"/>
      <w:marLeft w:val="0"/>
      <w:marRight w:val="0"/>
      <w:marTop w:val="0"/>
      <w:marBottom w:val="0"/>
      <w:divBdr>
        <w:top w:val="none" w:sz="0" w:space="0" w:color="auto"/>
        <w:left w:val="none" w:sz="0" w:space="0" w:color="auto"/>
        <w:bottom w:val="none" w:sz="0" w:space="0" w:color="auto"/>
        <w:right w:val="none" w:sz="0" w:space="0" w:color="auto"/>
      </w:divBdr>
      <w:divsChild>
        <w:div w:id="2131624439">
          <w:marLeft w:val="0"/>
          <w:marRight w:val="0"/>
          <w:marTop w:val="0"/>
          <w:marBottom w:val="0"/>
          <w:divBdr>
            <w:top w:val="none" w:sz="0" w:space="0" w:color="auto"/>
            <w:left w:val="none" w:sz="0" w:space="0" w:color="auto"/>
            <w:bottom w:val="none" w:sz="0" w:space="0" w:color="auto"/>
            <w:right w:val="none" w:sz="0" w:space="0" w:color="auto"/>
          </w:divBdr>
          <w:divsChild>
            <w:div w:id="322971107">
              <w:marLeft w:val="0"/>
              <w:marRight w:val="0"/>
              <w:marTop w:val="0"/>
              <w:marBottom w:val="0"/>
              <w:divBdr>
                <w:top w:val="none" w:sz="0" w:space="0" w:color="auto"/>
                <w:left w:val="none" w:sz="0" w:space="0" w:color="auto"/>
                <w:bottom w:val="none" w:sz="0" w:space="0" w:color="auto"/>
                <w:right w:val="none" w:sz="0" w:space="0" w:color="auto"/>
              </w:divBdr>
              <w:divsChild>
                <w:div w:id="1433668286">
                  <w:marLeft w:val="0"/>
                  <w:marRight w:val="0"/>
                  <w:marTop w:val="0"/>
                  <w:marBottom w:val="0"/>
                  <w:divBdr>
                    <w:top w:val="none" w:sz="0" w:space="0" w:color="auto"/>
                    <w:left w:val="none" w:sz="0" w:space="0" w:color="auto"/>
                    <w:bottom w:val="none" w:sz="0" w:space="0" w:color="auto"/>
                    <w:right w:val="none" w:sz="0" w:space="0" w:color="auto"/>
                  </w:divBdr>
                  <w:divsChild>
                    <w:div w:id="1032850869">
                      <w:marLeft w:val="-300"/>
                      <w:marRight w:val="0"/>
                      <w:marTop w:val="0"/>
                      <w:marBottom w:val="0"/>
                      <w:divBdr>
                        <w:top w:val="none" w:sz="0" w:space="0" w:color="auto"/>
                        <w:left w:val="none" w:sz="0" w:space="0" w:color="auto"/>
                        <w:bottom w:val="none" w:sz="0" w:space="0" w:color="auto"/>
                        <w:right w:val="none" w:sz="0" w:space="0" w:color="auto"/>
                      </w:divBdr>
                      <w:divsChild>
                        <w:div w:id="206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3629">
      <w:bodyDiv w:val="1"/>
      <w:marLeft w:val="0"/>
      <w:marRight w:val="0"/>
      <w:marTop w:val="0"/>
      <w:marBottom w:val="0"/>
      <w:divBdr>
        <w:top w:val="none" w:sz="0" w:space="0" w:color="auto"/>
        <w:left w:val="none" w:sz="0" w:space="0" w:color="auto"/>
        <w:bottom w:val="none" w:sz="0" w:space="0" w:color="auto"/>
        <w:right w:val="none" w:sz="0" w:space="0" w:color="auto"/>
      </w:divBdr>
      <w:divsChild>
        <w:div w:id="1048334531">
          <w:marLeft w:val="0"/>
          <w:marRight w:val="0"/>
          <w:marTop w:val="0"/>
          <w:marBottom w:val="0"/>
          <w:divBdr>
            <w:top w:val="none" w:sz="0" w:space="0" w:color="auto"/>
            <w:left w:val="none" w:sz="0" w:space="0" w:color="auto"/>
            <w:bottom w:val="none" w:sz="0" w:space="0" w:color="auto"/>
            <w:right w:val="none" w:sz="0" w:space="0" w:color="auto"/>
          </w:divBdr>
          <w:divsChild>
            <w:div w:id="669604455">
              <w:marLeft w:val="0"/>
              <w:marRight w:val="0"/>
              <w:marTop w:val="0"/>
              <w:marBottom w:val="0"/>
              <w:divBdr>
                <w:top w:val="none" w:sz="0" w:space="0" w:color="auto"/>
                <w:left w:val="none" w:sz="0" w:space="0" w:color="auto"/>
                <w:bottom w:val="none" w:sz="0" w:space="0" w:color="auto"/>
                <w:right w:val="none" w:sz="0" w:space="0" w:color="auto"/>
              </w:divBdr>
              <w:divsChild>
                <w:div w:id="1579244501">
                  <w:marLeft w:val="0"/>
                  <w:marRight w:val="0"/>
                  <w:marTop w:val="0"/>
                  <w:marBottom w:val="0"/>
                  <w:divBdr>
                    <w:top w:val="none" w:sz="0" w:space="0" w:color="auto"/>
                    <w:left w:val="none" w:sz="0" w:space="0" w:color="auto"/>
                    <w:bottom w:val="none" w:sz="0" w:space="0" w:color="auto"/>
                    <w:right w:val="none" w:sz="0" w:space="0" w:color="auto"/>
                  </w:divBdr>
                  <w:divsChild>
                    <w:div w:id="8644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7145">
      <w:bodyDiv w:val="1"/>
      <w:marLeft w:val="0"/>
      <w:marRight w:val="0"/>
      <w:marTop w:val="0"/>
      <w:marBottom w:val="0"/>
      <w:divBdr>
        <w:top w:val="none" w:sz="0" w:space="0" w:color="auto"/>
        <w:left w:val="none" w:sz="0" w:space="0" w:color="auto"/>
        <w:bottom w:val="none" w:sz="0" w:space="0" w:color="auto"/>
        <w:right w:val="none" w:sz="0" w:space="0" w:color="auto"/>
      </w:divBdr>
      <w:divsChild>
        <w:div w:id="170074588">
          <w:marLeft w:val="0"/>
          <w:marRight w:val="0"/>
          <w:marTop w:val="0"/>
          <w:marBottom w:val="0"/>
          <w:divBdr>
            <w:top w:val="none" w:sz="0" w:space="0" w:color="auto"/>
            <w:left w:val="none" w:sz="0" w:space="0" w:color="auto"/>
            <w:bottom w:val="none" w:sz="0" w:space="0" w:color="auto"/>
            <w:right w:val="none" w:sz="0" w:space="0" w:color="auto"/>
          </w:divBdr>
          <w:divsChild>
            <w:div w:id="92096030">
              <w:marLeft w:val="0"/>
              <w:marRight w:val="0"/>
              <w:marTop w:val="0"/>
              <w:marBottom w:val="0"/>
              <w:divBdr>
                <w:top w:val="none" w:sz="0" w:space="0" w:color="auto"/>
                <w:left w:val="none" w:sz="0" w:space="0" w:color="auto"/>
                <w:bottom w:val="none" w:sz="0" w:space="0" w:color="auto"/>
                <w:right w:val="none" w:sz="0" w:space="0" w:color="auto"/>
              </w:divBdr>
              <w:divsChild>
                <w:div w:id="157548991">
                  <w:marLeft w:val="0"/>
                  <w:marRight w:val="0"/>
                  <w:marTop w:val="0"/>
                  <w:marBottom w:val="0"/>
                  <w:divBdr>
                    <w:top w:val="none" w:sz="0" w:space="0" w:color="auto"/>
                    <w:left w:val="none" w:sz="0" w:space="0" w:color="auto"/>
                    <w:bottom w:val="none" w:sz="0" w:space="0" w:color="auto"/>
                    <w:right w:val="none" w:sz="0" w:space="0" w:color="auto"/>
                  </w:divBdr>
                  <w:divsChild>
                    <w:div w:id="347633769">
                      <w:marLeft w:val="0"/>
                      <w:marRight w:val="0"/>
                      <w:marTop w:val="0"/>
                      <w:marBottom w:val="0"/>
                      <w:divBdr>
                        <w:top w:val="none" w:sz="0" w:space="0" w:color="auto"/>
                        <w:left w:val="none" w:sz="0" w:space="0" w:color="auto"/>
                        <w:bottom w:val="none" w:sz="0" w:space="0" w:color="auto"/>
                        <w:right w:val="none" w:sz="0" w:space="0" w:color="auto"/>
                      </w:divBdr>
                      <w:divsChild>
                        <w:div w:id="1463426107">
                          <w:marLeft w:val="0"/>
                          <w:marRight w:val="0"/>
                          <w:marTop w:val="0"/>
                          <w:marBottom w:val="0"/>
                          <w:divBdr>
                            <w:top w:val="none" w:sz="0" w:space="0" w:color="auto"/>
                            <w:left w:val="none" w:sz="0" w:space="0" w:color="auto"/>
                            <w:bottom w:val="none" w:sz="0" w:space="0" w:color="auto"/>
                            <w:right w:val="none" w:sz="0" w:space="0" w:color="auto"/>
                          </w:divBdr>
                          <w:divsChild>
                            <w:div w:id="242299449">
                              <w:marLeft w:val="0"/>
                              <w:marRight w:val="0"/>
                              <w:marTop w:val="0"/>
                              <w:marBottom w:val="0"/>
                              <w:divBdr>
                                <w:top w:val="none" w:sz="0" w:space="0" w:color="auto"/>
                                <w:left w:val="none" w:sz="0" w:space="0" w:color="auto"/>
                                <w:bottom w:val="none" w:sz="0" w:space="0" w:color="auto"/>
                                <w:right w:val="none" w:sz="0" w:space="0" w:color="auto"/>
                              </w:divBdr>
                              <w:divsChild>
                                <w:div w:id="1662351802">
                                  <w:marLeft w:val="0"/>
                                  <w:marRight w:val="0"/>
                                  <w:marTop w:val="0"/>
                                  <w:marBottom w:val="0"/>
                                  <w:divBdr>
                                    <w:top w:val="none" w:sz="0" w:space="0" w:color="auto"/>
                                    <w:left w:val="none" w:sz="0" w:space="0" w:color="auto"/>
                                    <w:bottom w:val="none" w:sz="0" w:space="0" w:color="auto"/>
                                    <w:right w:val="none" w:sz="0" w:space="0" w:color="auto"/>
                                  </w:divBdr>
                                  <w:divsChild>
                                    <w:div w:id="1902524612">
                                      <w:marLeft w:val="0"/>
                                      <w:marRight w:val="0"/>
                                      <w:marTop w:val="0"/>
                                      <w:marBottom w:val="0"/>
                                      <w:divBdr>
                                        <w:top w:val="none" w:sz="0" w:space="0" w:color="auto"/>
                                        <w:left w:val="none" w:sz="0" w:space="0" w:color="auto"/>
                                        <w:bottom w:val="none" w:sz="0" w:space="0" w:color="auto"/>
                                        <w:right w:val="none" w:sz="0" w:space="0" w:color="auto"/>
                                      </w:divBdr>
                                      <w:divsChild>
                                        <w:div w:id="1698463372">
                                          <w:marLeft w:val="0"/>
                                          <w:marRight w:val="0"/>
                                          <w:marTop w:val="0"/>
                                          <w:marBottom w:val="0"/>
                                          <w:divBdr>
                                            <w:top w:val="none" w:sz="0" w:space="0" w:color="auto"/>
                                            <w:left w:val="none" w:sz="0" w:space="0" w:color="auto"/>
                                            <w:bottom w:val="none" w:sz="0" w:space="0" w:color="auto"/>
                                            <w:right w:val="none" w:sz="0" w:space="0" w:color="auto"/>
                                          </w:divBdr>
                                          <w:divsChild>
                                            <w:div w:id="1547642117">
                                              <w:marLeft w:val="0"/>
                                              <w:marRight w:val="0"/>
                                              <w:marTop w:val="0"/>
                                              <w:marBottom w:val="0"/>
                                              <w:divBdr>
                                                <w:top w:val="none" w:sz="0" w:space="0" w:color="auto"/>
                                                <w:left w:val="none" w:sz="0" w:space="0" w:color="auto"/>
                                                <w:bottom w:val="none" w:sz="0" w:space="0" w:color="auto"/>
                                                <w:right w:val="none" w:sz="0" w:space="0" w:color="auto"/>
                                              </w:divBdr>
                                              <w:divsChild>
                                                <w:div w:id="290093115">
                                                  <w:marLeft w:val="0"/>
                                                  <w:marRight w:val="0"/>
                                                  <w:marTop w:val="0"/>
                                                  <w:marBottom w:val="0"/>
                                                  <w:divBdr>
                                                    <w:top w:val="none" w:sz="0" w:space="0" w:color="auto"/>
                                                    <w:left w:val="none" w:sz="0" w:space="0" w:color="auto"/>
                                                    <w:bottom w:val="none" w:sz="0" w:space="0" w:color="auto"/>
                                                    <w:right w:val="none" w:sz="0" w:space="0" w:color="auto"/>
                                                  </w:divBdr>
                                                </w:div>
                                                <w:div w:id="5954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2452">
      <w:bodyDiv w:val="1"/>
      <w:marLeft w:val="0"/>
      <w:marRight w:val="0"/>
      <w:marTop w:val="0"/>
      <w:marBottom w:val="0"/>
      <w:divBdr>
        <w:top w:val="none" w:sz="0" w:space="0" w:color="auto"/>
        <w:left w:val="none" w:sz="0" w:space="0" w:color="auto"/>
        <w:bottom w:val="none" w:sz="0" w:space="0" w:color="auto"/>
        <w:right w:val="none" w:sz="0" w:space="0" w:color="auto"/>
      </w:divBdr>
      <w:divsChild>
        <w:div w:id="655375057">
          <w:marLeft w:val="0"/>
          <w:marRight w:val="0"/>
          <w:marTop w:val="0"/>
          <w:marBottom w:val="0"/>
          <w:divBdr>
            <w:top w:val="none" w:sz="0" w:space="0" w:color="auto"/>
            <w:left w:val="none" w:sz="0" w:space="0" w:color="auto"/>
            <w:bottom w:val="none" w:sz="0" w:space="0" w:color="auto"/>
            <w:right w:val="none" w:sz="0" w:space="0" w:color="auto"/>
          </w:divBdr>
          <w:divsChild>
            <w:div w:id="974141241">
              <w:marLeft w:val="0"/>
              <w:marRight w:val="0"/>
              <w:marTop w:val="0"/>
              <w:marBottom w:val="0"/>
              <w:divBdr>
                <w:top w:val="none" w:sz="0" w:space="0" w:color="auto"/>
                <w:left w:val="none" w:sz="0" w:space="0" w:color="auto"/>
                <w:bottom w:val="none" w:sz="0" w:space="0" w:color="auto"/>
                <w:right w:val="none" w:sz="0" w:space="0" w:color="auto"/>
              </w:divBdr>
              <w:divsChild>
                <w:div w:id="1631935039">
                  <w:marLeft w:val="0"/>
                  <w:marRight w:val="0"/>
                  <w:marTop w:val="0"/>
                  <w:marBottom w:val="0"/>
                  <w:divBdr>
                    <w:top w:val="none" w:sz="0" w:space="0" w:color="auto"/>
                    <w:left w:val="none" w:sz="0" w:space="0" w:color="auto"/>
                    <w:bottom w:val="none" w:sz="0" w:space="0" w:color="auto"/>
                    <w:right w:val="none" w:sz="0" w:space="0" w:color="auto"/>
                  </w:divBdr>
                  <w:divsChild>
                    <w:div w:id="1995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8060">
      <w:bodyDiv w:val="1"/>
      <w:marLeft w:val="0"/>
      <w:marRight w:val="0"/>
      <w:marTop w:val="0"/>
      <w:marBottom w:val="0"/>
      <w:divBdr>
        <w:top w:val="none" w:sz="0" w:space="0" w:color="auto"/>
        <w:left w:val="none" w:sz="0" w:space="0" w:color="auto"/>
        <w:bottom w:val="none" w:sz="0" w:space="0" w:color="auto"/>
        <w:right w:val="none" w:sz="0" w:space="0" w:color="auto"/>
      </w:divBdr>
      <w:divsChild>
        <w:div w:id="2099448846">
          <w:marLeft w:val="0"/>
          <w:marRight w:val="0"/>
          <w:marTop w:val="0"/>
          <w:marBottom w:val="0"/>
          <w:divBdr>
            <w:top w:val="none" w:sz="0" w:space="0" w:color="auto"/>
            <w:left w:val="none" w:sz="0" w:space="0" w:color="auto"/>
            <w:bottom w:val="none" w:sz="0" w:space="0" w:color="auto"/>
            <w:right w:val="none" w:sz="0" w:space="0" w:color="auto"/>
          </w:divBdr>
          <w:divsChild>
            <w:div w:id="1089036385">
              <w:marLeft w:val="0"/>
              <w:marRight w:val="0"/>
              <w:marTop w:val="0"/>
              <w:marBottom w:val="0"/>
              <w:divBdr>
                <w:top w:val="none" w:sz="0" w:space="0" w:color="auto"/>
                <w:left w:val="none" w:sz="0" w:space="0" w:color="auto"/>
                <w:bottom w:val="none" w:sz="0" w:space="0" w:color="auto"/>
                <w:right w:val="none" w:sz="0" w:space="0" w:color="auto"/>
              </w:divBdr>
              <w:divsChild>
                <w:div w:id="1123840920">
                  <w:marLeft w:val="0"/>
                  <w:marRight w:val="0"/>
                  <w:marTop w:val="0"/>
                  <w:marBottom w:val="0"/>
                  <w:divBdr>
                    <w:top w:val="none" w:sz="0" w:space="0" w:color="auto"/>
                    <w:left w:val="none" w:sz="0" w:space="0" w:color="auto"/>
                    <w:bottom w:val="none" w:sz="0" w:space="0" w:color="auto"/>
                    <w:right w:val="none" w:sz="0" w:space="0" w:color="auto"/>
                  </w:divBdr>
                  <w:divsChild>
                    <w:div w:id="793867788">
                      <w:marLeft w:val="0"/>
                      <w:marRight w:val="0"/>
                      <w:marTop w:val="0"/>
                      <w:marBottom w:val="0"/>
                      <w:divBdr>
                        <w:top w:val="none" w:sz="0" w:space="0" w:color="auto"/>
                        <w:left w:val="none" w:sz="0" w:space="0" w:color="auto"/>
                        <w:bottom w:val="none" w:sz="0" w:space="0" w:color="auto"/>
                        <w:right w:val="none" w:sz="0" w:space="0" w:color="auto"/>
                      </w:divBdr>
                      <w:divsChild>
                        <w:div w:id="1556116339">
                          <w:marLeft w:val="0"/>
                          <w:marRight w:val="0"/>
                          <w:marTop w:val="0"/>
                          <w:marBottom w:val="0"/>
                          <w:divBdr>
                            <w:top w:val="none" w:sz="0" w:space="0" w:color="auto"/>
                            <w:left w:val="none" w:sz="0" w:space="0" w:color="auto"/>
                            <w:bottom w:val="none" w:sz="0" w:space="0" w:color="auto"/>
                            <w:right w:val="none" w:sz="0" w:space="0" w:color="auto"/>
                          </w:divBdr>
                          <w:divsChild>
                            <w:div w:id="1071778229">
                              <w:marLeft w:val="0"/>
                              <w:marRight w:val="0"/>
                              <w:marTop w:val="0"/>
                              <w:marBottom w:val="0"/>
                              <w:divBdr>
                                <w:top w:val="none" w:sz="0" w:space="0" w:color="auto"/>
                                <w:left w:val="none" w:sz="0" w:space="0" w:color="auto"/>
                                <w:bottom w:val="none" w:sz="0" w:space="0" w:color="auto"/>
                                <w:right w:val="none" w:sz="0" w:space="0" w:color="auto"/>
                              </w:divBdr>
                              <w:divsChild>
                                <w:div w:id="1820927370">
                                  <w:marLeft w:val="0"/>
                                  <w:marRight w:val="0"/>
                                  <w:marTop w:val="0"/>
                                  <w:marBottom w:val="0"/>
                                  <w:divBdr>
                                    <w:top w:val="none" w:sz="0" w:space="0" w:color="auto"/>
                                    <w:left w:val="none" w:sz="0" w:space="0" w:color="auto"/>
                                    <w:bottom w:val="none" w:sz="0" w:space="0" w:color="auto"/>
                                    <w:right w:val="none" w:sz="0" w:space="0" w:color="auto"/>
                                  </w:divBdr>
                                  <w:divsChild>
                                    <w:div w:id="1775780588">
                                      <w:marLeft w:val="0"/>
                                      <w:marRight w:val="0"/>
                                      <w:marTop w:val="0"/>
                                      <w:marBottom w:val="0"/>
                                      <w:divBdr>
                                        <w:top w:val="none" w:sz="0" w:space="0" w:color="auto"/>
                                        <w:left w:val="none" w:sz="0" w:space="0" w:color="auto"/>
                                        <w:bottom w:val="none" w:sz="0" w:space="0" w:color="auto"/>
                                        <w:right w:val="none" w:sz="0" w:space="0" w:color="auto"/>
                                      </w:divBdr>
                                      <w:divsChild>
                                        <w:div w:id="1396049359">
                                          <w:marLeft w:val="0"/>
                                          <w:marRight w:val="0"/>
                                          <w:marTop w:val="0"/>
                                          <w:marBottom w:val="0"/>
                                          <w:divBdr>
                                            <w:top w:val="none" w:sz="0" w:space="0" w:color="auto"/>
                                            <w:left w:val="none" w:sz="0" w:space="0" w:color="auto"/>
                                            <w:bottom w:val="none" w:sz="0" w:space="0" w:color="auto"/>
                                            <w:right w:val="none" w:sz="0" w:space="0" w:color="auto"/>
                                          </w:divBdr>
                                          <w:divsChild>
                                            <w:div w:id="283465126">
                                              <w:marLeft w:val="0"/>
                                              <w:marRight w:val="0"/>
                                              <w:marTop w:val="0"/>
                                              <w:marBottom w:val="0"/>
                                              <w:divBdr>
                                                <w:top w:val="none" w:sz="0" w:space="0" w:color="auto"/>
                                                <w:left w:val="none" w:sz="0" w:space="0" w:color="auto"/>
                                                <w:bottom w:val="none" w:sz="0" w:space="0" w:color="auto"/>
                                                <w:right w:val="none" w:sz="0" w:space="0" w:color="auto"/>
                                              </w:divBdr>
                                              <w:divsChild>
                                                <w:div w:id="316961554">
                                                  <w:marLeft w:val="0"/>
                                                  <w:marRight w:val="0"/>
                                                  <w:marTop w:val="225"/>
                                                  <w:marBottom w:val="300"/>
                                                  <w:divBdr>
                                                    <w:top w:val="none" w:sz="0" w:space="0" w:color="auto"/>
                                                    <w:left w:val="none" w:sz="0" w:space="0" w:color="auto"/>
                                                    <w:bottom w:val="none" w:sz="0" w:space="0" w:color="auto"/>
                                                    <w:right w:val="none" w:sz="0" w:space="0" w:color="auto"/>
                                                  </w:divBdr>
                                                  <w:divsChild>
                                                    <w:div w:id="1898735574">
                                                      <w:marLeft w:val="0"/>
                                                      <w:marRight w:val="0"/>
                                                      <w:marTop w:val="0"/>
                                                      <w:marBottom w:val="30"/>
                                                      <w:divBdr>
                                                        <w:top w:val="single" w:sz="6" w:space="0" w:color="E5E5E5"/>
                                                        <w:left w:val="single" w:sz="6" w:space="0" w:color="E5E5E5"/>
                                                        <w:bottom w:val="single" w:sz="6" w:space="0" w:color="E5E5E5"/>
                                                        <w:right w:val="single" w:sz="6" w:space="0" w:color="E5E5E5"/>
                                                      </w:divBdr>
                                                      <w:divsChild>
                                                        <w:div w:id="220215516">
                                                          <w:marLeft w:val="0"/>
                                                          <w:marRight w:val="0"/>
                                                          <w:marTop w:val="0"/>
                                                          <w:marBottom w:val="0"/>
                                                          <w:divBdr>
                                                            <w:top w:val="none" w:sz="0" w:space="0" w:color="auto"/>
                                                            <w:left w:val="none" w:sz="0" w:space="0" w:color="auto"/>
                                                            <w:bottom w:val="none" w:sz="0" w:space="0" w:color="auto"/>
                                                            <w:right w:val="none" w:sz="0" w:space="0" w:color="auto"/>
                                                          </w:divBdr>
                                                        </w:div>
                                                        <w:div w:id="1673682373">
                                                          <w:marLeft w:val="0"/>
                                                          <w:marRight w:val="0"/>
                                                          <w:marTop w:val="0"/>
                                                          <w:marBottom w:val="0"/>
                                                          <w:divBdr>
                                                            <w:top w:val="none" w:sz="0" w:space="0" w:color="auto"/>
                                                            <w:left w:val="none" w:sz="0" w:space="0" w:color="auto"/>
                                                            <w:bottom w:val="none" w:sz="0" w:space="0" w:color="auto"/>
                                                            <w:right w:val="none" w:sz="0" w:space="0" w:color="auto"/>
                                                          </w:divBdr>
                                                          <w:divsChild>
                                                            <w:div w:id="1711031093">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100634">
      <w:bodyDiv w:val="1"/>
      <w:marLeft w:val="0"/>
      <w:marRight w:val="0"/>
      <w:marTop w:val="0"/>
      <w:marBottom w:val="0"/>
      <w:divBdr>
        <w:top w:val="none" w:sz="0" w:space="0" w:color="auto"/>
        <w:left w:val="none" w:sz="0" w:space="0" w:color="auto"/>
        <w:bottom w:val="none" w:sz="0" w:space="0" w:color="auto"/>
        <w:right w:val="none" w:sz="0" w:space="0" w:color="auto"/>
      </w:divBdr>
      <w:divsChild>
        <w:div w:id="1919096303">
          <w:marLeft w:val="0"/>
          <w:marRight w:val="0"/>
          <w:marTop w:val="0"/>
          <w:marBottom w:val="0"/>
          <w:divBdr>
            <w:top w:val="none" w:sz="0" w:space="0" w:color="auto"/>
            <w:left w:val="none" w:sz="0" w:space="0" w:color="auto"/>
            <w:bottom w:val="none" w:sz="0" w:space="0" w:color="auto"/>
            <w:right w:val="none" w:sz="0" w:space="0" w:color="auto"/>
          </w:divBdr>
          <w:divsChild>
            <w:div w:id="1520970461">
              <w:marLeft w:val="0"/>
              <w:marRight w:val="0"/>
              <w:marTop w:val="0"/>
              <w:marBottom w:val="0"/>
              <w:divBdr>
                <w:top w:val="none" w:sz="0" w:space="0" w:color="auto"/>
                <w:left w:val="none" w:sz="0" w:space="0" w:color="auto"/>
                <w:bottom w:val="none" w:sz="0" w:space="0" w:color="auto"/>
                <w:right w:val="none" w:sz="0" w:space="0" w:color="auto"/>
              </w:divBdr>
              <w:divsChild>
                <w:div w:id="783302886">
                  <w:marLeft w:val="0"/>
                  <w:marRight w:val="0"/>
                  <w:marTop w:val="0"/>
                  <w:marBottom w:val="0"/>
                  <w:divBdr>
                    <w:top w:val="none" w:sz="0" w:space="0" w:color="auto"/>
                    <w:left w:val="none" w:sz="0" w:space="0" w:color="auto"/>
                    <w:bottom w:val="none" w:sz="0" w:space="0" w:color="auto"/>
                    <w:right w:val="none" w:sz="0" w:space="0" w:color="auto"/>
                  </w:divBdr>
                  <w:divsChild>
                    <w:div w:id="1478574559">
                      <w:marLeft w:val="0"/>
                      <w:marRight w:val="0"/>
                      <w:marTop w:val="0"/>
                      <w:marBottom w:val="0"/>
                      <w:divBdr>
                        <w:top w:val="none" w:sz="0" w:space="0" w:color="auto"/>
                        <w:left w:val="none" w:sz="0" w:space="0" w:color="auto"/>
                        <w:bottom w:val="none" w:sz="0" w:space="0" w:color="auto"/>
                        <w:right w:val="none" w:sz="0" w:space="0" w:color="auto"/>
                      </w:divBdr>
                      <w:divsChild>
                        <w:div w:id="307788087">
                          <w:marLeft w:val="0"/>
                          <w:marRight w:val="0"/>
                          <w:marTop w:val="0"/>
                          <w:marBottom w:val="0"/>
                          <w:divBdr>
                            <w:top w:val="none" w:sz="0" w:space="0" w:color="auto"/>
                            <w:left w:val="none" w:sz="0" w:space="0" w:color="auto"/>
                            <w:bottom w:val="none" w:sz="0" w:space="0" w:color="auto"/>
                            <w:right w:val="none" w:sz="0" w:space="0" w:color="auto"/>
                          </w:divBdr>
                          <w:divsChild>
                            <w:div w:id="1543789578">
                              <w:marLeft w:val="0"/>
                              <w:marRight w:val="0"/>
                              <w:marTop w:val="0"/>
                              <w:marBottom w:val="0"/>
                              <w:divBdr>
                                <w:top w:val="none" w:sz="0" w:space="0" w:color="auto"/>
                                <w:left w:val="none" w:sz="0" w:space="0" w:color="auto"/>
                                <w:bottom w:val="none" w:sz="0" w:space="0" w:color="auto"/>
                                <w:right w:val="none" w:sz="0" w:space="0" w:color="auto"/>
                              </w:divBdr>
                              <w:divsChild>
                                <w:div w:id="564292778">
                                  <w:marLeft w:val="0"/>
                                  <w:marRight w:val="0"/>
                                  <w:marTop w:val="0"/>
                                  <w:marBottom w:val="0"/>
                                  <w:divBdr>
                                    <w:top w:val="none" w:sz="0" w:space="0" w:color="auto"/>
                                    <w:left w:val="none" w:sz="0" w:space="0" w:color="auto"/>
                                    <w:bottom w:val="none" w:sz="0" w:space="0" w:color="auto"/>
                                    <w:right w:val="none" w:sz="0" w:space="0" w:color="auto"/>
                                  </w:divBdr>
                                  <w:divsChild>
                                    <w:div w:id="2007392704">
                                      <w:marLeft w:val="0"/>
                                      <w:marRight w:val="0"/>
                                      <w:marTop w:val="0"/>
                                      <w:marBottom w:val="0"/>
                                      <w:divBdr>
                                        <w:top w:val="none" w:sz="0" w:space="0" w:color="auto"/>
                                        <w:left w:val="none" w:sz="0" w:space="0" w:color="auto"/>
                                        <w:bottom w:val="none" w:sz="0" w:space="0" w:color="auto"/>
                                        <w:right w:val="none" w:sz="0" w:space="0" w:color="auto"/>
                                      </w:divBdr>
                                      <w:divsChild>
                                        <w:div w:id="353309293">
                                          <w:marLeft w:val="0"/>
                                          <w:marRight w:val="0"/>
                                          <w:marTop w:val="0"/>
                                          <w:marBottom w:val="0"/>
                                          <w:divBdr>
                                            <w:top w:val="none" w:sz="0" w:space="0" w:color="auto"/>
                                            <w:left w:val="none" w:sz="0" w:space="0" w:color="auto"/>
                                            <w:bottom w:val="none" w:sz="0" w:space="0" w:color="auto"/>
                                            <w:right w:val="none" w:sz="0" w:space="0" w:color="auto"/>
                                          </w:divBdr>
                                          <w:divsChild>
                                            <w:div w:id="1520506495">
                                              <w:marLeft w:val="0"/>
                                              <w:marRight w:val="0"/>
                                              <w:marTop w:val="0"/>
                                              <w:marBottom w:val="0"/>
                                              <w:divBdr>
                                                <w:top w:val="none" w:sz="0" w:space="0" w:color="auto"/>
                                                <w:left w:val="none" w:sz="0" w:space="0" w:color="auto"/>
                                                <w:bottom w:val="none" w:sz="0" w:space="0" w:color="auto"/>
                                                <w:right w:val="none" w:sz="0" w:space="0" w:color="auto"/>
                                              </w:divBdr>
                                              <w:divsChild>
                                                <w:div w:id="1864204102">
                                                  <w:marLeft w:val="0"/>
                                                  <w:marRight w:val="0"/>
                                                  <w:marTop w:val="225"/>
                                                  <w:marBottom w:val="300"/>
                                                  <w:divBdr>
                                                    <w:top w:val="none" w:sz="0" w:space="0" w:color="auto"/>
                                                    <w:left w:val="none" w:sz="0" w:space="0" w:color="auto"/>
                                                    <w:bottom w:val="none" w:sz="0" w:space="0" w:color="auto"/>
                                                    <w:right w:val="none" w:sz="0" w:space="0" w:color="auto"/>
                                                  </w:divBdr>
                                                  <w:divsChild>
                                                    <w:div w:id="1585265658">
                                                      <w:marLeft w:val="0"/>
                                                      <w:marRight w:val="0"/>
                                                      <w:marTop w:val="0"/>
                                                      <w:marBottom w:val="30"/>
                                                      <w:divBdr>
                                                        <w:top w:val="single" w:sz="6" w:space="0" w:color="E5E5E5"/>
                                                        <w:left w:val="single" w:sz="6" w:space="0" w:color="E5E5E5"/>
                                                        <w:bottom w:val="single" w:sz="6" w:space="0" w:color="E5E5E5"/>
                                                        <w:right w:val="single" w:sz="6" w:space="0" w:color="E5E5E5"/>
                                                      </w:divBdr>
                                                      <w:divsChild>
                                                        <w:div w:id="282662712">
                                                          <w:marLeft w:val="0"/>
                                                          <w:marRight w:val="0"/>
                                                          <w:marTop w:val="0"/>
                                                          <w:marBottom w:val="0"/>
                                                          <w:divBdr>
                                                            <w:top w:val="none" w:sz="0" w:space="0" w:color="auto"/>
                                                            <w:left w:val="none" w:sz="0" w:space="0" w:color="auto"/>
                                                            <w:bottom w:val="none" w:sz="0" w:space="0" w:color="auto"/>
                                                            <w:right w:val="none" w:sz="0" w:space="0" w:color="auto"/>
                                                          </w:divBdr>
                                                          <w:divsChild>
                                                            <w:div w:id="608005715">
                                                              <w:marLeft w:val="0"/>
                                                              <w:marRight w:val="0"/>
                                                              <w:marTop w:val="0"/>
                                                              <w:marBottom w:val="0"/>
                                                              <w:divBdr>
                                                                <w:top w:val="single" w:sz="6" w:space="7" w:color="E5E5E5"/>
                                                                <w:left w:val="none" w:sz="0" w:space="0" w:color="auto"/>
                                                                <w:bottom w:val="none" w:sz="0" w:space="0" w:color="auto"/>
                                                                <w:right w:val="none" w:sz="0" w:space="0" w:color="auto"/>
                                                              </w:divBdr>
                                                            </w:div>
                                                          </w:divsChild>
                                                        </w:div>
                                                        <w:div w:id="558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905B-2220-4690-82B7-055765A1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5677</Words>
  <Characters>32360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TBT Website: Content</vt:lpstr>
    </vt:vector>
  </TitlesOfParts>
  <Company>European Commission</Company>
  <LinksUpToDate>false</LinksUpToDate>
  <CharactersWithSpaces>37962</CharactersWithSpaces>
  <SharedDoc>false</SharedDoc>
  <HLinks>
    <vt:vector size="6" baseType="variant">
      <vt:variant>
        <vt:i4>65</vt:i4>
      </vt:variant>
      <vt:variant>
        <vt:i4>0</vt:i4>
      </vt:variant>
      <vt:variant>
        <vt:i4>0</vt:i4>
      </vt:variant>
      <vt:variant>
        <vt:i4>5</vt:i4>
      </vt:variant>
      <vt:variant>
        <vt:lpwstr>http://ec.europa.eu/growth/tools-databases/tris/en/about-the-20151535/case-law/</vt:lpwstr>
      </vt:variant>
      <vt:variant>
        <vt:lpwstr>collapse16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TBT Website: Content</dc:title>
  <dc:creator>BRETTEL</dc:creator>
  <cp:lastModifiedBy>Liu, Lei</cp:lastModifiedBy>
  <cp:revision>5</cp:revision>
  <cp:lastPrinted>2019-03-28T10:43:00Z</cp:lastPrinted>
  <dcterms:created xsi:type="dcterms:W3CDTF">2019-05-20T11:26:00Z</dcterms:created>
  <dcterms:modified xsi:type="dcterms:W3CDTF">2019-06-03T11:02:00Z</dcterms:modified>
</cp:coreProperties>
</file>