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See on masintõlge</w:t>
      </w:r>
    </w:p>
    <w:p w14:paraId="48A46481" w14:textId="77777777">
      <w:pPr>
        <w:pStyle w:val="P68B1DB1-Title1"/>
        <w:spacing w:before="0"/>
        <w:ind w:left="0"/>
      </w:pPr>
    </w:p>
    <w:p w14:paraId="5DDBFD33" w14:textId="3AD4A40E">
      <w:pPr>
        <w:pStyle w:val="P68B1DB1-Title1"/>
        <w:spacing w:before="0"/>
        <w:ind w:left="0"/>
      </w:pPr>
      <w:r>
        <w:t xml:space="preserve">Direktiivi (EL) 2015/1535 käsitlev kohtupraktika</w:t>
      </w:r>
    </w:p>
    <w:p w14:paraId="5AFCD03C" w14:textId="77777777">
      <w:pPr>
        <w:pStyle w:val="BodyText"/>
      </w:pPr>
    </w:p>
    <w:p w14:paraId="55805DA1" w14:textId="3A3D4AA9">
      <w:pPr>
        <w:pStyle w:val="BodyText"/>
      </w:pPr>
      <w:r>
        <w:t xml:space="preserve">Käesolevas dokumendis esitatakse peamised Euroopa Liidu Kohtu otsused ja määrused, mis käsitlevad direktiivi (EL) 2015/1535 (millega kehtestatakse tehnilistest eeskirjadest ja infoühiskonna teenuste eeskirjadest teatamise kord) kohaldamisala ja kohaldamist. Selle eesmärk on olla juhis liikmesriikide haldusasutustele, tööstusele ja kodanikele.</w:t>
      </w:r>
    </w:p>
    <w:p w14:paraId="4F3E66AE" w14:textId="77777777">
      <w:pPr>
        <w:pStyle w:val="BodyText"/>
        <w:rPr>
          <w:sz w:val="22"/>
          <w:szCs w:val="18"/>
        </w:rPr>
      </w:pPr>
    </w:p>
    <w:p w14:paraId="53D6EBA0" w14:textId="77777777">
      <w:pPr>
        <w:pStyle w:val="BodyText"/>
      </w:pPr>
      <w:r>
        <w:t xml:space="preserve">Kuna see dokument ei ole ammendav, võidakse mõned asjakohased otsused välja jätta.</w:t>
      </w:r>
    </w:p>
    <w:p w14:paraId="771A43E5" w14:textId="77777777">
      <w:pPr>
        <w:pStyle w:val="BodyText"/>
      </w:pPr>
    </w:p>
    <w:p w14:paraId="45186CE0" w14:textId="45ABA22D">
      <w:pPr>
        <w:pStyle w:val="BodyText"/>
      </w:pPr>
      <w:r>
        <w:t xml:space="preserve">Kohtuotsused on esitatud kronoloogilises järjekorras ja dokument koosneb neljast osast:</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Otsused, millest väljavõtted on käesolevas dokumendis esitatud, viitavad järjestikustele direktiividele, millega nähakse ette tehnilistest eeskirjadest teatamise kord. Alljärgnev vastavustabel illustreerib nende peamiste sätete järjepidevust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Põhisätete vastavustabel </w:t>
      </w:r>
    </w:p>
    <w:p w14:paraId="74F41B86" w14:textId="7258661E">
      <w:pPr>
        <w:pStyle w:val="P68B1DB1-Normal5"/>
        <w:spacing w:after="0" w:line="240" w:lineRule="auto"/>
        <w:jc w:val="center"/>
        <w:rPr>
          <w:bCs/>
        </w:rPr>
      </w:pPr>
      <w:r>
        <w:t xml:space="preserve">Direktiivid (EL) 2015/1535, 98/34/EÜ ja 83/189/EMÜ</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Sätete sisu</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Direktiiv (EL)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Direktiiv 98/34/EÜ</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Direktiiv 83/189/EMÜ</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Mõiste „tooted“ määratlus</w:t>
            </w:r>
          </w:p>
        </w:tc>
        <w:tc>
          <w:tcPr>
            <w:tcW w:w="2457" w:type="dxa"/>
          </w:tcPr>
          <w:p w14:paraId="4A418F3D" w14:textId="11CADE6C">
            <w:pPr>
              <w:pStyle w:val="P68B1DB1-Normal7"/>
              <w:spacing w:line="240" w:lineRule="auto"/>
            </w:pPr>
            <w:r>
              <w:t xml:space="preserve">Artikli 1 lõike 1 punkt a</w:t>
            </w:r>
          </w:p>
        </w:tc>
        <w:tc>
          <w:tcPr>
            <w:tcW w:w="2315" w:type="dxa"/>
          </w:tcPr>
          <w:p w14:paraId="5020F0EC" w14:textId="29FBC8B8">
            <w:pPr>
              <w:pStyle w:val="P68B1DB1-Normal7"/>
              <w:spacing w:line="240" w:lineRule="auto"/>
            </w:pPr>
            <w:r>
              <w:t xml:space="preserve">Artikli 1 lõige 1</w:t>
            </w:r>
          </w:p>
        </w:tc>
        <w:tc>
          <w:tcPr>
            <w:tcW w:w="2315" w:type="dxa"/>
          </w:tcPr>
          <w:p w14:paraId="1AC77ECE" w14:textId="6BC392C6">
            <w:pPr>
              <w:pStyle w:val="P68B1DB1-Normal7"/>
              <w:spacing w:line="240" w:lineRule="auto"/>
            </w:pPr>
            <w:r>
              <w:t xml:space="preserve">Artikli 1 lõige 7</w:t>
            </w:r>
          </w:p>
        </w:tc>
      </w:tr>
      <w:tr w14:paraId="4F3F95AF" w14:textId="77777777">
        <w:trPr>
          <w:trHeight w:val="599"/>
        </w:trPr>
        <w:tc>
          <w:tcPr>
            <w:tcW w:w="3119" w:type="dxa"/>
          </w:tcPr>
          <w:p w14:paraId="42CDA066" w14:textId="77777777">
            <w:pPr>
              <w:pStyle w:val="P68B1DB1-Normal7"/>
              <w:spacing w:line="240" w:lineRule="auto"/>
            </w:pPr>
            <w:r>
              <w:t xml:space="preserve">Mõiste „teenused“ määratlus</w:t>
            </w:r>
          </w:p>
        </w:tc>
        <w:tc>
          <w:tcPr>
            <w:tcW w:w="2457" w:type="dxa"/>
          </w:tcPr>
          <w:p w14:paraId="658F3867" w14:textId="6E2F4A98">
            <w:pPr>
              <w:pStyle w:val="P68B1DB1-Normal7"/>
              <w:spacing w:line="240" w:lineRule="auto"/>
            </w:pPr>
            <w:r>
              <w:t xml:space="preserve">Artikli 1 lõike 1 punkt b</w:t>
            </w:r>
          </w:p>
        </w:tc>
        <w:tc>
          <w:tcPr>
            <w:tcW w:w="2315" w:type="dxa"/>
          </w:tcPr>
          <w:p w14:paraId="4273AEF8" w14:textId="51C8B937">
            <w:pPr>
              <w:pStyle w:val="P68B1DB1-Normal7"/>
              <w:spacing w:line="240" w:lineRule="auto"/>
            </w:pPr>
            <w:r>
              <w:t xml:space="preserve">Artikli 1 lõige 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Mõiste „tehniline spetsifikatsioon“ määratlus</w:t>
            </w:r>
          </w:p>
        </w:tc>
        <w:tc>
          <w:tcPr>
            <w:tcW w:w="2457" w:type="dxa"/>
          </w:tcPr>
          <w:p w14:paraId="1CD6781C" w14:textId="4816FB95">
            <w:pPr>
              <w:pStyle w:val="P68B1DB1-Normal7"/>
              <w:spacing w:line="240" w:lineRule="auto"/>
            </w:pPr>
            <w:r>
              <w:t xml:space="preserve">Artikli 1 lõike 1 punkt c</w:t>
            </w:r>
          </w:p>
        </w:tc>
        <w:tc>
          <w:tcPr>
            <w:tcW w:w="2315" w:type="dxa"/>
          </w:tcPr>
          <w:p w14:paraId="6ACA8AFC" w14:textId="5CBBFC47">
            <w:pPr>
              <w:pStyle w:val="P68B1DB1-Normal7"/>
              <w:spacing w:line="240" w:lineRule="auto"/>
            </w:pPr>
            <w:r>
              <w:t xml:space="preserve">Artikli 1 lõige 3</w:t>
            </w:r>
          </w:p>
        </w:tc>
        <w:tc>
          <w:tcPr>
            <w:tcW w:w="2315" w:type="dxa"/>
          </w:tcPr>
          <w:p w14:paraId="7742C3F4" w14:textId="668574B6">
            <w:pPr>
              <w:pStyle w:val="P68B1DB1-Normal7"/>
              <w:spacing w:line="240" w:lineRule="auto"/>
            </w:pPr>
            <w:r>
              <w:t xml:space="preserve">Artikli 1 lõige 1</w:t>
            </w:r>
          </w:p>
        </w:tc>
      </w:tr>
      <w:tr w14:paraId="39DCA993" w14:textId="77777777">
        <w:trPr>
          <w:trHeight w:val="599"/>
        </w:trPr>
        <w:tc>
          <w:tcPr>
            <w:tcW w:w="3119" w:type="dxa"/>
          </w:tcPr>
          <w:p w14:paraId="412D2403" w14:textId="77777777">
            <w:pPr>
              <w:pStyle w:val="P68B1DB1-Normal7"/>
              <w:spacing w:line="240" w:lineRule="auto"/>
            </w:pPr>
            <w:r>
              <w:t xml:space="preserve">„Muude nõuete“ määratlus</w:t>
            </w:r>
          </w:p>
        </w:tc>
        <w:tc>
          <w:tcPr>
            <w:tcW w:w="2457" w:type="dxa"/>
          </w:tcPr>
          <w:p w14:paraId="7BCB4CC5" w14:textId="4C804DFA">
            <w:pPr>
              <w:pStyle w:val="P68B1DB1-Normal7"/>
              <w:spacing w:line="240" w:lineRule="auto"/>
            </w:pPr>
            <w:r>
              <w:t xml:space="preserve">Artikli 1 lõike 1 punkt d</w:t>
            </w:r>
          </w:p>
        </w:tc>
        <w:tc>
          <w:tcPr>
            <w:tcW w:w="2315" w:type="dxa"/>
          </w:tcPr>
          <w:p w14:paraId="414D1EEC" w14:textId="18CAA0FE">
            <w:pPr>
              <w:pStyle w:val="P68B1DB1-Normal7"/>
              <w:spacing w:line="240" w:lineRule="auto"/>
            </w:pPr>
            <w:r>
              <w:t xml:space="preserve">Artikli 1 lõige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Mõiste „teenuseid käsitlev eeskiri“ määratlus</w:t>
            </w:r>
          </w:p>
        </w:tc>
        <w:tc>
          <w:tcPr>
            <w:tcW w:w="2457" w:type="dxa"/>
          </w:tcPr>
          <w:p w14:paraId="136F7BB7" w14:textId="4AA67A90">
            <w:pPr>
              <w:pStyle w:val="P68B1DB1-Normal7"/>
              <w:spacing w:line="240" w:lineRule="auto"/>
            </w:pPr>
            <w:r>
              <w:t xml:space="preserve">Artikli 1 lõike 1 punkt e</w:t>
            </w:r>
          </w:p>
        </w:tc>
        <w:tc>
          <w:tcPr>
            <w:tcW w:w="2315" w:type="dxa"/>
          </w:tcPr>
          <w:p w14:paraId="36E9CD4F" w14:textId="1B75247A">
            <w:pPr>
              <w:pStyle w:val="P68B1DB1-Normal7"/>
              <w:spacing w:line="240" w:lineRule="auto"/>
            </w:pPr>
            <w:r>
              <w:t xml:space="preserve">Artikli 1 lõige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Mõiste „tehnilised eeskirjad“</w:t>
            </w:r>
          </w:p>
        </w:tc>
        <w:tc>
          <w:tcPr>
            <w:tcW w:w="2457" w:type="dxa"/>
          </w:tcPr>
          <w:p w14:paraId="46C85599" w14:textId="1342B29E">
            <w:pPr>
              <w:pStyle w:val="P68B1DB1-Normal7"/>
              <w:spacing w:line="240" w:lineRule="auto"/>
            </w:pPr>
            <w:r>
              <w:t xml:space="preserve">Artikli 1 lõike 1 punkt f</w:t>
            </w:r>
          </w:p>
        </w:tc>
        <w:tc>
          <w:tcPr>
            <w:tcW w:w="2315" w:type="dxa"/>
          </w:tcPr>
          <w:p w14:paraId="0E88B9E2" w14:textId="31F951B8">
            <w:pPr>
              <w:pStyle w:val="P68B1DB1-Normal7"/>
              <w:spacing w:line="240" w:lineRule="auto"/>
            </w:pPr>
            <w:r>
              <w:t xml:space="preserve">Artikkel 1 lõige 11</w:t>
            </w:r>
          </w:p>
        </w:tc>
        <w:tc>
          <w:tcPr>
            <w:tcW w:w="2315" w:type="dxa"/>
          </w:tcPr>
          <w:p w14:paraId="2E4FCAC6" w14:textId="1930FF48">
            <w:pPr>
              <w:pStyle w:val="P68B1DB1-Normal7"/>
              <w:spacing w:line="240" w:lineRule="auto"/>
            </w:pPr>
            <w:r>
              <w:t xml:space="preserve">Artikli 1 lõige 5</w:t>
            </w:r>
          </w:p>
        </w:tc>
      </w:tr>
      <w:tr w14:paraId="0C829266" w14:textId="77777777">
        <w:trPr>
          <w:trHeight w:val="599"/>
        </w:trPr>
        <w:tc>
          <w:tcPr>
            <w:tcW w:w="3119" w:type="dxa"/>
          </w:tcPr>
          <w:p w14:paraId="2E36B6FC" w14:textId="77777777">
            <w:pPr>
              <w:pStyle w:val="P68B1DB1-Normal7"/>
              <w:spacing w:line="240" w:lineRule="auto"/>
            </w:pPr>
            <w:r>
              <w:t>Teatamiskohustus</w:t>
            </w:r>
          </w:p>
        </w:tc>
        <w:tc>
          <w:tcPr>
            <w:tcW w:w="2457" w:type="dxa"/>
          </w:tcPr>
          <w:p w14:paraId="04169FF7" w14:textId="77777777">
            <w:pPr>
              <w:pStyle w:val="P68B1DB1-Normal7"/>
              <w:spacing w:line="240" w:lineRule="auto"/>
            </w:pPr>
            <w:r>
              <w:t xml:space="preserve">Artikli 5 lõike 1 esimene lause</w:t>
            </w:r>
          </w:p>
        </w:tc>
        <w:tc>
          <w:tcPr>
            <w:tcW w:w="2315" w:type="dxa"/>
          </w:tcPr>
          <w:p w14:paraId="730385F8" w14:textId="77777777">
            <w:pPr>
              <w:pStyle w:val="P68B1DB1-Normal7"/>
              <w:spacing w:line="240" w:lineRule="auto"/>
            </w:pPr>
            <w:r>
              <w:t xml:space="preserve">Artikli 8 lõike 1 esimene lause</w:t>
            </w:r>
          </w:p>
        </w:tc>
        <w:tc>
          <w:tcPr>
            <w:tcW w:w="2315" w:type="dxa"/>
          </w:tcPr>
          <w:p w14:paraId="6937609F" w14:textId="5A2377E0">
            <w:pPr>
              <w:pStyle w:val="P68B1DB1-Normal8"/>
              <w:spacing w:line="240" w:lineRule="auto"/>
            </w:pPr>
            <w:r>
              <w:t xml:space="preserve">Artikli 8 lõige 1</w:t>
            </w:r>
          </w:p>
        </w:tc>
      </w:tr>
      <w:tr w14:paraId="4472DE96" w14:textId="77777777">
        <w:trPr>
          <w:trHeight w:val="599"/>
        </w:trPr>
        <w:tc>
          <w:tcPr>
            <w:tcW w:w="3119" w:type="dxa"/>
          </w:tcPr>
          <w:p w14:paraId="08371658" w14:textId="2AE2569B">
            <w:pPr>
              <w:pStyle w:val="P68B1DB1-Normal7"/>
              <w:spacing w:line="240" w:lineRule="auto"/>
            </w:pPr>
            <w:r>
              <w:t xml:space="preserve">Põhi- või asjaomastest sätetest teatamine</w:t>
            </w:r>
          </w:p>
        </w:tc>
        <w:tc>
          <w:tcPr>
            <w:tcW w:w="2457" w:type="dxa"/>
          </w:tcPr>
          <w:p w14:paraId="4460E5CA" w14:textId="77777777">
            <w:pPr>
              <w:pStyle w:val="P68B1DB1-Normal7"/>
              <w:spacing w:line="240" w:lineRule="auto"/>
            </w:pPr>
            <w:r>
              <w:t xml:space="preserve">Artikli 5 lõike 1 teine lause</w:t>
            </w:r>
          </w:p>
        </w:tc>
        <w:tc>
          <w:tcPr>
            <w:tcW w:w="2315" w:type="dxa"/>
          </w:tcPr>
          <w:p w14:paraId="545C5C96" w14:textId="77777777">
            <w:pPr>
              <w:pStyle w:val="P68B1DB1-Normal7"/>
              <w:spacing w:line="240" w:lineRule="auto"/>
            </w:pPr>
            <w:r>
              <w:t xml:space="preserve">Artikli 8 lõike 1 teine lause</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Taasteavitamine ooteajal</w:t>
            </w:r>
          </w:p>
        </w:tc>
        <w:tc>
          <w:tcPr>
            <w:tcW w:w="2457" w:type="dxa"/>
          </w:tcPr>
          <w:p w14:paraId="65494BDB" w14:textId="77777777">
            <w:pPr>
              <w:pStyle w:val="P68B1DB1-Normal7"/>
              <w:spacing w:line="240" w:lineRule="auto"/>
            </w:pPr>
            <w:r>
              <w:t xml:space="preserve">Artikli 5 lõike 1 kolmas lause</w:t>
            </w:r>
          </w:p>
        </w:tc>
        <w:tc>
          <w:tcPr>
            <w:tcW w:w="2315" w:type="dxa"/>
          </w:tcPr>
          <w:p w14:paraId="47F0091E" w14:textId="77777777">
            <w:pPr>
              <w:pStyle w:val="P68B1DB1-Normal7"/>
              <w:spacing w:line="240" w:lineRule="auto"/>
            </w:pPr>
            <w:r>
              <w:t xml:space="preserve">Artikli 8 lõike 1 kolmas lause</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Ooteaeg</w:t>
            </w:r>
          </w:p>
        </w:tc>
        <w:tc>
          <w:tcPr>
            <w:tcW w:w="2457" w:type="dxa"/>
          </w:tcPr>
          <w:p w14:paraId="0FDAA36A" w14:textId="77777777">
            <w:pPr>
              <w:pStyle w:val="P68B1DB1-Normal7"/>
              <w:spacing w:line="240" w:lineRule="auto"/>
            </w:pPr>
            <w:r>
              <w:t xml:space="preserve">Artikli 6</w:t>
            </w:r>
          </w:p>
        </w:tc>
        <w:tc>
          <w:tcPr>
            <w:tcW w:w="2315" w:type="dxa"/>
          </w:tcPr>
          <w:p w14:paraId="51BBC4E4" w14:textId="77777777">
            <w:pPr>
              <w:pStyle w:val="P68B1DB1-Normal7"/>
              <w:spacing w:line="240" w:lineRule="auto"/>
            </w:pPr>
            <w:r>
              <w:t xml:space="preserve">Põhjendus 9</w:t>
            </w:r>
          </w:p>
        </w:tc>
        <w:tc>
          <w:tcPr>
            <w:tcW w:w="2315" w:type="dxa"/>
          </w:tcPr>
          <w:p w14:paraId="2B7D3F30" w14:textId="77777777">
            <w:pPr>
              <w:pStyle w:val="P68B1DB1-Normal8"/>
              <w:spacing w:line="240" w:lineRule="auto"/>
            </w:pPr>
            <w:r>
              <w:t xml:space="preserve">Põhjendus 9</w:t>
            </w:r>
          </w:p>
        </w:tc>
      </w:tr>
      <w:tr w14:paraId="31FCCE62" w14:textId="77777777">
        <w:trPr>
          <w:trHeight w:val="599"/>
        </w:trPr>
        <w:tc>
          <w:tcPr>
            <w:tcW w:w="3119" w:type="dxa"/>
          </w:tcPr>
          <w:p w14:paraId="067F46A1" w14:textId="77777777">
            <w:pPr>
              <w:pStyle w:val="P68B1DB1-Normal7"/>
              <w:spacing w:line="240" w:lineRule="auto"/>
            </w:pPr>
            <w:r>
              <w:t xml:space="preserve">Erandid teatamis- ja rakendamiskeelust</w:t>
            </w:r>
          </w:p>
        </w:tc>
        <w:tc>
          <w:tcPr>
            <w:tcW w:w="2457" w:type="dxa"/>
          </w:tcPr>
          <w:p w14:paraId="5BC53094" w14:textId="77777777">
            <w:pPr>
              <w:pStyle w:val="P68B1DB1-Normal7"/>
              <w:spacing w:line="240" w:lineRule="auto"/>
            </w:pPr>
            <w:r>
              <w:t xml:space="preserve">Impordilitsentside tagatis</w:t>
            </w:r>
          </w:p>
        </w:tc>
        <w:tc>
          <w:tcPr>
            <w:tcW w:w="2315" w:type="dxa"/>
          </w:tcPr>
          <w:p w14:paraId="36E59068" w14:textId="77777777">
            <w:pPr>
              <w:pStyle w:val="P68B1DB1-Normal7"/>
              <w:spacing w:line="240" w:lineRule="auto"/>
            </w:pPr>
            <w:r>
              <w:t xml:space="preserve">Artikkel 10</w:t>
            </w:r>
          </w:p>
        </w:tc>
        <w:tc>
          <w:tcPr>
            <w:tcW w:w="2315" w:type="dxa"/>
          </w:tcPr>
          <w:p w14:paraId="1FE1BC2D" w14:textId="77777777">
            <w:pPr>
              <w:pStyle w:val="P68B1DB1-Normal8"/>
              <w:spacing w:line="240" w:lineRule="auto"/>
            </w:pPr>
            <w:r>
              <w:t xml:space="preserve">Artikkel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Lahtiütlus</w:t>
      </w:r>
    </w:p>
    <w:p w14:paraId="0CB71D4E" w14:textId="7BF1CD8D">
      <w:pPr>
        <w:jc w:val="both"/>
        <w:rPr>
          <w:rFonts w:ascii="Times New Roman" w:hAnsi="Times New Roman" w:cs="Times New Roman"/>
          <w:sz w:val="24"/>
          <w:szCs w:val="24"/>
        </w:rPr>
        <w:pStyle w:val="P68B1DB1-Normal7"/>
      </w:pPr>
      <w:r>
        <w:t xml:space="preserve">Käesolevas dokumendis esitatud teabe ja suuniste eesmärk on aidata paremini mõista direktiivi (EL) 2015/1535 teavitamiseeskirju.</w:t>
      </w:r>
    </w:p>
    <w:p w14:paraId="67EC004B" w14:textId="434F8650">
      <w:pPr>
        <w:jc w:val="both"/>
        <w:rPr>
          <w:rFonts w:ascii="Times New Roman" w:hAnsi="Times New Roman" w:cs="Times New Roman"/>
          <w:sz w:val="24"/>
          <w:szCs w:val="24"/>
        </w:rPr>
        <w:pStyle w:val="P68B1DB1-Normal7"/>
      </w:pPr>
      <w:r>
        <w:t xml:space="preserve">See on mõeldud üksnes suunava vahendina. Ainult direktiivi tekst on õiguslikult siduv ning see võib luua üksikisikutele ja liikmesriikidele õigusi ja kohustusi. Käesolev dokument ei loo täitmisele pööratavat õigust ega ootust.</w:t>
      </w:r>
    </w:p>
    <w:p w14:paraId="63D425FC" w14:textId="2836B58B">
      <w:pPr>
        <w:jc w:val="both"/>
        <w:rPr>
          <w:rFonts w:ascii="Times New Roman" w:hAnsi="Times New Roman" w:cs="Times New Roman"/>
          <w:sz w:val="24"/>
          <w:szCs w:val="24"/>
        </w:rPr>
        <w:pStyle w:val="P68B1DB1-Normal7"/>
      </w:pPr>
      <w:r>
        <w:t xml:space="preserve">Liidu õigusnormide siduv tõlgendamine on Euroopa Liidu Kohtu ainupädevuses. Käesolevas dokumendis väljendatud seisukohad ei piira seisukohta, mida komisjon võib võtta Euroopa Kohtus.</w:t>
      </w:r>
    </w:p>
    <w:p w14:paraId="5CC222EA" w14:textId="4A13BEE2">
      <w:pPr>
        <w:jc w:val="both"/>
        <w:rPr>
          <w:rFonts w:ascii="Times New Roman" w:hAnsi="Times New Roman" w:cs="Times New Roman"/>
          <w:sz w:val="24"/>
          <w:szCs w:val="24"/>
        </w:rPr>
        <w:pStyle w:val="P68B1DB1-Normal7"/>
      </w:pPr>
      <w:r>
        <w:t xml:space="preserve">Kuna käesolev dokument kajastab kohtupraktikat selle koostamise ajal, tuleks seda pidada „elusaks vahendiks“, mida saab täiustada, ning selle sisu võib ilma ette teatamata muuta.</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Liigitamine tehniliseks eeskirjaks</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mõiste „tehnilised eeskirjad“ hõlmab nelja meetmekategooriat, nimelt esiteks „tehnilised spetsifikatsioonid“ direktiivi 98/34 artikli 1 lõike 3 tähenduses, teiseks „muud nõuded“ selle direktiivi artikli 1 punkti 4 tähenduses, kolmandaks „teenuseid käsitlevad eeskirjad“ selle direktiivi artikli 1 lõike 5 tähenduses ja iv) „liikmesriikide õigus- ja haldusnormid, millega keelatakse toote valmistamine, import, turustamine või kasutamine või keelatakse teenuse osutamine või kasutamine või asutamine teenuseosutajana“.</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r>
        <w:t>(2.</w:t>
      </w:r>
      <w:hyperlink r:id="rId11" w:history="1">
        <w:r>
          <w:rPr>
            <w:rStyle w:val="Hyperlink"/>
            <w:color w:val="0000FF"/>
          </w:rPr>
          <w:t xml:space="preserve">veebruari 2016. aasta kohtuotsus Ince</w:t>
        </w:r>
      </w:hyperlink>
      <w:r>
        <w:t xml:space="preserve">, C-336/14, EU:C:2016:72, punkt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Tehniliste </w:t>
      </w:r>
      <w:bookmarkEnd w:id="6"/>
      <w:r>
        <w:t xml:space="preserve">eeskirjade ühised kriteeriumid</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„Tehniline eeskiri – tehnilised spetsifikatsioonid ja muud nõuded või teenuseid käsitlevad eeskirjad, sealhulgas asjakohased haldusnormid, mille järgimine turustamisel, teenuse osutamisel, teenusepakkuja asutamisel või kasutamisel liikmesriigis või selle põhiosas on de jure või de facto kohustuslik, samuti liikmesriikide õigus- ja haldusnormid, mis keelavad toote valmistamise, impordi, turustamise või kasutamise või keelavad teenuse pakkumise või kasutamise või teenusepakkuja asutamise, välja arvatud need, mis on sätestatud artiklis 7.“</w:t>
      </w:r>
    </w:p>
    <w:p w14:paraId="56CBE257" w14:textId="77777777">
      <w:pPr>
        <w:pStyle w:val="BodyText"/>
      </w:pPr>
    </w:p>
    <w:p w14:paraId="66B70B28" w14:textId="1278CE54">
      <w:pPr>
        <w:pStyle w:val="P68B1DB1-Normal7"/>
        <w:spacing w:after="0" w:line="240" w:lineRule="auto"/>
        <w:jc w:val="right"/>
      </w:pPr>
      <w:r>
        <w:t xml:space="preserve">(direktiivi (EL) 2015/1535 artikli 1 lõike 1 punkti f esimene lause)</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Aprilli 1996. aasta kohtuotsus CIA Security</w:t>
        </w:r>
      </w:hyperlink>
      <w:r>
        <w:rPr>
          <w:rFonts w:ascii="Times New Roman" w:hAnsi="Times New Roman" w:cs="Times New Roman" w:eastAsia="Times New Roman"/>
          <w:b/>
          <w:i/>
          <w:szCs w:val="20"/>
        </w:rPr>
        <w:t xml:space="preserve"> International SA, C-194/94, EU:C:1996:172, punkt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Normi saab kvalifitseerida „tehniliseks eeskirjaks“ ainult siis, kui sellel on iseseisvad õiguslikud tagajärjed. See ei ole nii raamseaduse puhul, millel ei ole üksikisikutele õiguslikku mõju.</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Normi peetakse tehniliseks eeskirjaks direktiivi 83/189 tähenduses, kui sellel on iseseisvad õiguslikud tagajärjed. Kui siseriikliku õiguse kohaselt on see norm üksnes aluseks, mis võimaldab vastu võtta haldusnorme, mis sisaldavad huvitatud isikute jaoks siduvaid eeskirju, nii et sellel iseenesest ei ole üksikisikutele õiguslikke tagajärgi, siis ei kujuta see norm endast tehnilist eeskirja direktiivi tähenduses (vt Euroopa Kohtu 15. märtsi 1994. aasta otsus kohtuasjas C-317/92: komisjon v. Saksamaa, EKL 1994, lk 1–2039, punkt 26). Siinkohal tuleb meenutada, et direktiivi 83/189 artikli 8 lõike 1 esimese lõigu kohaselt peavad liikmesriigid edastama tehniliste eeskirjade eelnõuga samal ajal tugiakti, mille alusel see vastu võeti, kui sellise teksti tundmine on vajalik tehniliste eeskirjade eelnõu mõju hindamiseks.“</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Kohtuotsus, 20. märts 1997</w:t>
        </w:r>
      </w:hyperlink>
      <w:r>
        <w:rPr>
          <w:rFonts w:ascii="Times New Roman" w:hAnsi="Times New Roman" w:cs="Times New Roman" w:eastAsia="Times New Roman"/>
          <w:b/>
          <w:i/>
          <w:szCs w:val="20"/>
        </w:rPr>
        <w:t xml:space="preserve">, Bic Benelux, C-13/96, EU:C:1997:173, punktid 19 ja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Siseriikliku meetme vastuvõtmise põhjused ei oma tähtsust selle meetme „tehniliseks eeskirjaks“ kvalifitseerimisel. Direktiivi eesmärk on ennetava järelevalve abil kaitsta kaupade vaba liikumist, mis on üks ühenduse alustalasid.</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Direktiiv 83/189 ei anna alust tõlgenduseks, mis piiraks selle kohaldamist üksnes asutamislepingu artikli 100a alusel ühtlustatavate siseriiklike meetmetega. Kõnealuse direktiivi eesmärk on ennetava järelevalve abil kaitsta kaupade vaba liikumist, mis on üks ühenduse alustalasid. Selline järelevalve on vajalik, kuna direktiiviga hõlmatud tehnilised eeskirjad võivad otseselt või kaudselt, tegelikult või potentsiaalselt takistada ühendusesisest kaubavahetust. Sellised takistused võivad tuleneda siseriiklike tehniliste eeskirjade vastuvõtmisest isegi siis, kui need eeskirjad ei dubleeri päritoluliikmesriigis kinnitatud märgistusi ja sõltumata nende vastuvõtmise põhjustest.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Järelikult ei tähenda asjaolu, et siseriiklik meede võeti keskkonnakaitse eesmärgil või et sellega ei rakendata tehnilist standardit, mis võib iseenesest kujutada endast vaba liikumise takistust, seda, et kõnealune meede ei saa olla tehniline eeskiri direktiivi 83/189 tähenduses.“</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r>
        <w:rPr>
          <w:rFonts w:ascii="Times New Roman" w:hAnsi="Times New Roman" w:cs="Times New Roman" w:eastAsia="Times New Roman"/>
          <w:b/>
          <w:i/>
          <w:szCs w:val="20"/>
        </w:rPr>
        <w:t xml:space="preserve">16. </w:t>
      </w:r>
      <w:hyperlink r:id="rId14" w:history="1">
        <w:r>
          <w:rPr>
            <w:rStyle w:val="Hyperlink"/>
            <w:rFonts w:ascii="Times New Roman" w:hAnsi="Times New Roman" w:cs="Times New Roman" w:eastAsia="Times New Roman"/>
            <w:b/>
            <w:i/>
            <w:color w:val="0000FF"/>
            <w:szCs w:val="20"/>
          </w:rPr>
          <w:t xml:space="preserve">novembri 2000. aasta kohtuotsus Donkersteeg</w:t>
        </w:r>
      </w:hyperlink>
      <w:r>
        <w:rPr>
          <w:rFonts w:ascii="Times New Roman" w:hAnsi="Times New Roman" w:cs="Times New Roman" w:eastAsia="Times New Roman"/>
          <w:b/>
          <w:i/>
          <w:szCs w:val="20"/>
        </w:rPr>
        <w:t xml:space="preserve">, C-37/99, EU:C:2000:636, punktid 30–34.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Loomade vaktsineerimise üksikasjalikud eeskirjad on „tehniline spetsifikatsioon“. Siiski on tegemist „tehnilise eeskirjaga“, millest tuleb teatada ainult siis, kui selle järgimine on de jure või de facto kohustuslik. Nii ei ole see juhul, kui õigusnormi rikkumise korral ei kehtestata asjaomaste toodete turustamisele või kasutamisele mingeid piiranguid.</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direktiivi artikli 1 lõike 1 kohaselt on „tehniline spetsifikatsioon“ põllumajandustoodete puhul selline, mis sisaldub dokumendis, milles on sätestatud toote nõutavad omadused või selle tootmismeetodid ja -menetlused.</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Selline õigusnorm, nagu on sätestatud VBZA artikli 2 lõikes 1, on tehniline kirjeldus direktiivi artikli 1 lõike 1 tähenduses. Nagu komisjon õigesti väidab, kuna Aujeszky haiguse vastu vaktsineerimise täpsed ja üksikasjalikud eeskirjad on seotud asjaomase põllumajandustoote tootmisega kitsas tähenduses ja neid tuleb järgida kogu tootmistsükli jooksul, määratleb see reegel seega „menetluse“ selle toote tootmisel.</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Selleks et põhikohtuasjas kõne all olevat normi saaks kvalifitseerida tehniliseks eeskirjaks direktiivi tähenduses, peab see siiski vastavalt direktiivi artikli 1 lõikele 5 sisaldama tehnilisi kirjeldusi, „mille järgimine on liikmesriigis või selle põhiosas turustamisel või kasutamisel de jure või de facto kohustuslik, välja arvatud kohaliku omavalitsuse kehtestatud nõuded.</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Tuleb märkida, nagu seda tegi Madalmaade valitsus, et VBZA artikli 2 lõige 1 ei sea mingeid piiranguid asjaomaste toodete turustamisele ega kasutamisele, kui sigu ei ole Aujeszky haiguse vastu vaktsineeritud.</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Seega tuleb teisele küsimusele vastata, et selline säte, nagu on kõne all põhikohtuasjas, mis kohustab iga põllumajandustootjat laskma oma põllumajandusettevõttes sigu Aujeszky haiguse vastu vaktsineerida, ei ole direktiivi tähenduses tehniline eeskiri, millest oleks tulnud komisjonile teatada enne selle vastuvõtmist.“</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r>
        <w:rPr>
          <w:rFonts w:ascii="Times New Roman" w:hAnsi="Times New Roman" w:cs="Times New Roman" w:eastAsia="Times New Roman"/>
          <w:b/>
          <w:i/>
          <w:szCs w:val="20"/>
        </w:rPr>
        <w:t xml:space="preserve">3. </w:t>
      </w:r>
      <w:hyperlink r:id="rId15" w:history="1">
        <w:r>
          <w:rPr>
            <w:rStyle w:val="Hyperlink"/>
            <w:rFonts w:ascii="Times New Roman" w:hAnsi="Times New Roman" w:cs="Times New Roman" w:eastAsia="Times New Roman"/>
            <w:b/>
            <w:i/>
            <w:color w:val="0000FF"/>
            <w:szCs w:val="20"/>
          </w:rPr>
          <w:t xml:space="preserve">detsembri 2020. aasta kohtuotsus Star</w:t>
        </w:r>
      </w:hyperlink>
      <w:r>
        <w:rPr>
          <w:rFonts w:ascii="Times New Roman" w:hAnsi="Times New Roman" w:cs="Times New Roman" w:eastAsia="Times New Roman"/>
          <w:b/>
          <w:i/>
          <w:szCs w:val="20"/>
        </w:rPr>
        <w:t xml:space="preserve"> Taxi App, C-62/19, EU:C:2020:980, punktid 60 ja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Selleks et siseriiklikku meedet saaks kvalifitseerida „tehniliseks eeskirjaks“, peab see olema de jure või de facto siduv asjaomase teenuse osutamisele või kasutamisele liikmesriigis või selle põhiosas.</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direktiivi 2015/1535 artikli 1 lõike 1 punkti f esimesest lõigust tuleneb, et „tehniline eeskiri“ on „tehniline spetsifikatsioon ja muud nõuded või teenuseid käsitlevad eeskirjad, sealhulgas asjakohased haldusnormid, mille järgimine turustamise, teenuse osutamise, teenuseosutaja asutamise või kasutamise korral liikmesriigis või selle põhiosas on de jure või de facto kohustuslik, samuti liikmesriikide õigus- ja haldusnormid, mis keelavad toote valmistamise, impordi, turustamise või kasutamise või keelavad teenuse pakkumise või kasutamise või asutamise teenuseosutajana, välja arvatud need, mis on sätestatud artiklis 7.</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Sellest järeldub, et selleks, et infoühiskonna teenust mõjutavaid siseriiklikke õigusnorme saaks kvalifitseerida „tehnilisteks eeskirjadeks“, tuleb neid kvalifitseerida mitte ainult „teenuseid puudutavaks eeskirjaks“ direktiivi 2015/1535 artikli 1 lõike 1 punkti e tähenduses, vaid need peavad olema ka de jure või de facto kohustuslikud muu hulgas kõnealuse teenuse osutamisel või kasutamisel liikmesriigis või selle põhiosas.“</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Tehniline</w:t>
      </w:r>
      <w:bookmarkEnd w:id="15"/>
      <w:r>
        <w:t xml:space="preserve"> kirjeldus</w:t>
      </w:r>
      <w:bookmarkEnd w:id="16"/>
      <w:bookmarkEnd w:id="17"/>
    </w:p>
    <w:p w14:paraId="241DC1E1" w14:textId="77777777">
      <w:pPr>
        <w:pStyle w:val="BodyText"/>
      </w:pPr>
    </w:p>
    <w:p w14:paraId="24A39E18" w14:textId="77777777">
      <w:pPr>
        <w:pStyle w:val="P68B1DB1-BodyText11"/>
        <w:ind w:left="567"/>
      </w:pPr>
      <w:r>
        <w:t xml:space="preserve">„tehniline spetsifikatsioon“ – dokumendis sisalduv spetsifikatsioon, milles sätestatakse toote nõutavad omadused, nagu kvaliteet, kasutusotstarve, ohutus või mõõtmed, sealhulgas toote suhtes kohaldatavad nõuded seoses nimetusega, mille all toodet müüakse, terminoloogia, sümbolite, katsetamise ja katsemeetodite, pakendamise, märgistamise või märgistamise ning vastavushindamismenetlustega.</w:t>
      </w:r>
    </w:p>
    <w:p w14:paraId="33F4D1E4" w14:textId="77777777">
      <w:pPr>
        <w:pStyle w:val="P68B1DB1-BodyText11"/>
        <w:ind w:left="567"/>
      </w:pPr>
    </w:p>
    <w:p w14:paraId="5224E321" w14:textId="77777777">
      <w:pPr>
        <w:pStyle w:val="P68B1DB1-BodyText11"/>
        <w:ind w:left="567"/>
        <w:rPr>
          <w:iCs/>
        </w:rPr>
      </w:pPr>
      <w:r>
        <w:t xml:space="preserve">Mõiste „tehniline spetsifikatsioon“ hõlmab ka Euroopa Liidu toimimise lepingu (ELi toimimise leping) artikli 38 lõike 1 teises lõigus osutatud põllumajandustoodete tootmismeetodeid ja -protsesse, Euroopa Parlamendi ja nõukogu direktiivi 2001/83/EÜ (1) artiklis 1 määratletud inim- ja loomatoiduks ettenähtud tooteid ning ravimeid, samuti muude toodetega seotud tootmismeetodeid ja -protsesse, kui need mõjutavad nende omadusi;“</w:t>
      </w:r>
    </w:p>
    <w:p w14:paraId="6C2A57E1" w14:textId="77777777">
      <w:pPr>
        <w:pStyle w:val="BodyText"/>
        <w:ind w:left="567"/>
        <w:rPr>
          <w:i/>
          <w:iCs/>
        </w:rPr>
      </w:pPr>
    </w:p>
    <w:p w14:paraId="2F7A4C59" w14:textId="62E0EC95">
      <w:pPr>
        <w:pStyle w:val="BodyText"/>
        <w:ind w:left="1440"/>
        <w:jc w:val="right"/>
      </w:pPr>
      <w:r>
        <w:t xml:space="preserve">(Direktiivi (EL) 2015/1535 artikli 1 lõike 1 punkt c)</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Kohtuotsus, 11. jaanuar 1996</w:t>
        </w:r>
      </w:hyperlink>
      <w:r>
        <w:rPr>
          <w:rFonts w:ascii="Times New Roman" w:hAnsi="Times New Roman" w:cs="Times New Roman" w:eastAsia="Times New Roman"/>
          <w:b/>
          <w:i/>
          <w:szCs w:val="20"/>
        </w:rPr>
        <w:t xml:space="preserve">, komisjon vs. Madalmaad, C-273/94, EU:C:1996:4, punkt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Siseriiklik eeskiri, millega kehtestatakse erand olemasolevast tehnilisest eeskirjast konkreetse toote puhul, on „tehniline eeskiri“, kui sellega kehtestatakse alternatiivsed „tehnilised spetsifikatsioonid“, mida peab järgima iga isik, kes soovib erandit kasutada.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Sellise toote suhtes nagu margariin, mis näeb ette erandi teisest sama toote kohta juba kehtivast tehnilisest eeskirjast, on tehniline eeskiri direktiivi artikli 1 lõike 5 tähenduses, kuna sellega kehtestatakse tehnilised kirjeldused artikli 1 lõike 1 tähenduses, mille järgimine on selle toote turustamisel või kasutamisel de jure või de facto kohustuslik. Kui margariini ei toodeta vastavalt Margariinide dekreedile, võib seda valmistada üksnes vaidlusaluse määrusega lubatud asendustoodetest. Lisaks sellele, et nende asendustoodete kasutamist piiravad vaidlusaluses määruses ette nähtud tingimused, on need tooted ainsad alternatiivid toodetele, mida võib Margariinide dekreedi alusel kasutada. Seega oleks vaidlusalusest määrusest tulnud direktiivi kohaselt teatada.“</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Aprilli 1996. aasta kohtuotsus CIA</w:t>
      </w:r>
      <w:r>
        <w:rPr>
          <w:b/>
          <w:bCs/>
          <w:i/>
          <w:iCs/>
          <w:color w:val="0000FF"/>
          <w:sz w:val="22"/>
          <w:szCs w:val="18"/>
          <w:u w:val="single"/>
        </w:rPr>
        <w:fldChar w:fldCharType="end"/>
        <w:t>Security</w:t>
      </w:r>
      <w:r>
        <w:t xml:space="preserve"> International SA, C-194/94, EU:C:1996:172, punkt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Eeskiri tuleb kvalifitseerida „tehniliseks eeskirjaks“, kui see kohustab asjaomaseid ettevõtjaid taotlema oma varustuse eelnevat heakskiitmist, isegi kui kavandatavaid haldusnorme ei ole vastu võetud.</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norm tuleb kvalifitseerida tehniliseks eeskirjaks direktiivi 83/189 tähenduses, kui see kohustab asjaomaseid ettevõtjaid taotlema oma varustuse eelnevat heakskiitmist, isegi kui kavandatavaid haldusnorme ei ole vastu võetud, nagu väitis Belgia valitsus kohtuistungil.“</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t xml:space="preserve">16. septembri 1996. aasta </w:t>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kohtuotsus</w:t>
      </w:r>
      <w:r>
        <w:rPr>
          <w:b/>
          <w:bCs/>
          <w:i/>
          <w:iCs/>
          <w:color w:val="0000FF"/>
          <w:sz w:val="24"/>
          <w:szCs w:val="20"/>
          <w:u w:val="single"/>
        </w:rPr>
        <w:fldChar w:fldCharType="end"/>
        <w:t xml:space="preserve">komisjon vs. Itaalia, C-279/94, EU:C:1997:396, punkt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Säte, millega kehtestatakse sissehingatavate asbestikiudude kontsentratsiooni piirmäärad töökohtades, ei ole „tehniline spetsifikatsioon“, kuna selles ei määratleta toote nõutavaid omadusi.</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Direktiivi artikli 1 punkti 5 kohaselt tuleb aga „tehnilist eeskirja“ mõista kui „tehnilist spetsifikatsiooni, sealhulgas asjakohaseid haldusnorme, mille järgimine liikmesriigis turustamisel või kasutamisel on de jure või de facto kohustuslik“. Direktiivi artikli 1 punkti 1 kohaselt on „tehniline spetsifikatsioon“ spetsifikatsioon, mis sisaldub dokumendis, milles on sätestatud toote nõutavad omadused, nagu kvaliteet, toimivus ja ohutus. Seaduse nr 257/92 artikli 3 lõikes 1 on sätestatud sissehingatavate asbestikiudude kontsentratsiooni piirmäärad töökohtades. Kuna see säte ei määratle toote nõutavat omadust, ei kuulu see põhimõtteliselt tehnilise kirjelduse määratluse alla ja seega ei saa seda pidada tehniliseks eeskirjaks, millest tuleb direktiivi artikli 8 lõike 1 esimese lõigu kohaselt komisjonile teatada. Kuigi seaduse nr 257/92 artiklis 3 sätestatud sissehingatavate asbestikiudude sisalduse piirväärtuste järgimine võib mõjutada kõnealuse toote omadusi, nagu need on ette nähtud direktiivi artikli 1 punktis 1, ei ole komisjon tõendanud, kuidas see võiks nii olla.“</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17. </w:t>
      </w:r>
      <w:hyperlink r:id="rId17" w:history="1">
        <w:r>
          <w:rPr>
            <w:color w:val="0000FF"/>
            <w:u w:val="single"/>
          </w:rPr>
          <w:t xml:space="preserve">septembri 1996. aasta kohtuotsus komisjon</w:t>
        </w:r>
      </w:hyperlink>
      <w:r>
        <w:t xml:space="preserve"> vs. Itaalia, C-289/94, EU:C:1996:330, punkt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Määrus, millega reguleeritakse molluskite kasvatamiseks mõeldud vee kvaliteeti, kujutab endast „tehnilist eeskirja“, millest tuleb teatada, kuna see mõjutab otseselt asjaomaste toodete turustamist.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Kuigi dekreet nr 256 käsitleb söödavate lamelliharu limuste jaoks mõeldud vee kvaliteedi teatavaid aspekte, kehtestab see siiski – nagu komisjon õigesti märkis – väga tiheda seose selliseks kasvatamiseks kasutatava vee kvaliteedi ja inimtoiduks ettenähtud lamelliharu limuste turustamise vahel. Seega võib turustada ainult neid molluskeid, mis on kasvatatud vees, mis vastab dekreediga nr 256 kehtestatud tehnilistele kirjeldustele. Seega mõjutab nende kohustuslike spetsifikaatide järgimine otseselt molluskite turustamist, mistõttu tuleb dekreeti nr 256 pidada tehniliseks eeskirjaks, mille suhtes kehtib direktiivi 83/189 artiklis 8 sätestatud teatamiskohustus.“</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11. </w:t>
      </w:r>
      <w:hyperlink r:id="rId18" w:history="1">
        <w:r>
          <w:rPr>
            <w:color w:val="0000FF"/>
            <w:u w:val="single"/>
          </w:rPr>
          <w:t xml:space="preserve">mai 1999. aasta kohtuotsus Albers</w:t>
        </w:r>
      </w:hyperlink>
      <w:r>
        <w:t xml:space="preserve"> jt, C-425/97–4277/97, EU:C:1999:243, punktid 16 ja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Eeskirjad, mis keelavad teatavate ravimite manustamise veistele, kujutavad endast „tehnilist kirjeldust“, kuna need määratlevad põllumajandustoodete tootmismeetodid.</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eeskirjad, mille eesmärk on nagu käesolevas asjas takistada üle 14 nädala vanustele nuumveistele sümpatikommeetiliste ainete manustamist, kujutavad endast tehnilist kirjeldust direktiivi 83/189 artikli 1 lõike 1 tähenduses.</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Need eeskirjad määratlevad EÜ asutamislepingu artikli 38 lõikes 1 (muudetuna EÜ artikli 32 lõige 1) määratletud ja inimtoiduks ettenähtud põllumajandustoodete tootmismeetodid ja -menetlused.“</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Kohtuotsus, 22. jaanuar 2000</w:t>
        </w:r>
      </w:hyperlink>
      <w:r>
        <w:t xml:space="preserve">, Canal Satélite Digital, C-390/99, EU:C:2002:34, punktid 45–47.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Riigisisene õigusnorm, mis nõuab satelliittelevisiooni signaalide digitaalseks edastamiseks ja vastuvõtmiseks vajalike seadmete eelnevat registreerimist ja sertifitseerimist enne nende turustamist, kujutab endast „tehnilist eeskirja“, kuna see määratleb asjaomaste toodete omadused.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Euroopa Kohus on juba sedastanud, et siseriiklikud õigusnormid, mis näevad ette üksnes ettevõtete asutamise tingimused, näiteks sätted, mis seavad tegevuse tingimuseks eelneva loa, ei kujuta endast tehnilisi eeskirju direktiivi 83/189 artikli 1 punkti 9 tähenduses. Tehnilised eeskirjad selle sätte tähenduses on spetsifikaat, mis määratleb toodete omadused, mitte aga ettevõtjatega seotud spetsifikatsioonid (Euroopa Kohtu 29. septembri 1996. aasta otsus kohtuasjas C-194/94: CIA Security, EKL 1996, lk I-2201, punkt 25; Otsus kohtuasjas C-278/99: Van der Burg, EKL 2001, lk I-2015, punkt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Siseriiklik õigusnorm tuleb siiski kvalifitseerida tehniliseks eeskirjaks direktiivi 83/189 artikli 1 punkti 9 tähenduses, kui see kohustab asjaomaseid ettevõtjaid taotlema oma seadmete eelnevat heakskiitmist (eespool viidatud kohtuotsus CIA Security, punkt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Sellest järeldub, et „tehniline eeskiri“ direktiivi 83/189 artikli 1 punkti 9 tähenduses on siseriiklik õigusnorm, mis kohustab tingimusjuurdepääsu teenuste osutajaid sisestama satelliittelevisiooni digitaalseks edastamiseks ja vastuvõtmiseks mõeldud seadmeid, dekoodreid või süsteeme, mida nad kavatsevad registris turustada, ja saama nende toodete jaoks eelneva sertifitseerimise, enne kui nad saavad neid turustada.“</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26. </w:t>
      </w:r>
      <w:hyperlink r:id="rId20" w:history="1">
        <w:r>
          <w:rPr>
            <w:color w:val="0000FF"/>
            <w:u w:val="single"/>
          </w:rPr>
          <w:t xml:space="preserve">septembri 2000. aasta kohtuotsus Unilever</w:t>
        </w:r>
      </w:hyperlink>
      <w:r>
        <w:t xml:space="preserve"> Italia, C-443/98, EU:C:2000:496, punktid 25 ja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Oliiviõli päritolu märgistamist käsitlev säte on „tehniline spetsifikatsioon“, sest see on toote märgistamise nõue.</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Sellega seoses piisab, kui märkida, et direktiivi 83/189 artikli 1 lõike 1 kohaselt käsitatakse „toodetena“ nii tööstus- kui ka põllumajandustooteid ning et sama artikli lõike 2 kohaselt käsitab direktiiv 83/189 „tehnilise spetsifikatsioonina“ kõiki spetsifikatsioone, mis sisalduvad dokumendis, milles on sätestatud toote nõutavad omadused, sealhulgas toote märgistamise nõuded. Selliseid spetsifikatsioone sisaldavad siseriiklikud õigusnormid kujutavad endast tehnilisi kirjeldusi direktiivi 83/189 tähenduses, sõltumata nende vastuvõtmise alustest (vt selle kohta Euroopa Kohtu 15. juuli 1997. aasta otsus kohtuasjas C-13/96: Bic Benelux vs. Belgia riik, EKL 1997, lk I-1753, punkt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Seega sisaldab vaidlustatud seadus, mis reguleerib oliiviõli päritolu tähistamist, eeskirju, mis tuleb kvalifitseerida „tehnilisteks spetsifikatsioonideks“ direktiivi 83/189 tähenduses.“</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12. </w:t>
      </w:r>
      <w:hyperlink r:id="rId21" w:history="1">
        <w:r>
          <w:rPr>
            <w:color w:val="0000FF"/>
            <w:u w:val="single"/>
          </w:rPr>
          <w:t xml:space="preserve">oktoobri 2000. aasta kohtuotsus Snellers</w:t>
        </w:r>
      </w:hyperlink>
      <w:r>
        <w:t xml:space="preserve">, C-314/98, EU:C:2000:557, punktid 37–39.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„Tehniline spetsifikatsioon“ peab olema seotud toote kui sellisega. Määrus, mis näeb registreerimistunnistuse väljastamiseks ette kriteeriumid, mille alusel määratakse kindlaks kuupäev, mil sõiduk loetakse esmakordselt üldkasutatavatel teedel liiklemiseks loa saanud sõidukiks, ei määratle ühtegi toote enda jaoks nõutavat omadust ja seda ei saa seega kvalifitseerida „tehniliseks eeskirjaks“.</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eeskirjad, mis sarnaselt põhikohtuasjas käsitletavatele on mõeldud selleks, et määrata kindlaks kuupäev, mil sõidukile antakse esmane luba üldkasutatavatel teedel kasutamiseks, ei ole tehnilised kirjeldused direktiivi 83/189 tähenduses ning neid ei saa seega kvalifitseerida selle direktiivi kohaldamisalasse kuuluvateks tehnilisteks eeskirjadeks.</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Direktiivi 83/189 artikli 1 lõikes 1 on sätestatud, et selliste toodete puhul, nagu on kõne all põhikohtuasjas, on selle direktiivi tähenduses tehniline spetsifikatsioon „spetsifikaat, mis sisaldub dokumendis, milles on sätestatud toote nõutavad omadused. Tehnilised kirjeldused direktiivi 83/189 tähenduses peavad seega viitama tootele kui sellisele; seda kinnitab ka mitteammendav loetelu asjaomastest kirjeldustest, mis on esitatud näitena selle direktiivi artikli 1 lõikes 1.</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Määruses on sätestatud mitu kriteeriumi, mille alusel määratakse kindlaks kuupäev, millest alates loetakse, et sõiduk sai Wegenverkeerswet’i tähenduses esmase loa kasutada avalikku maanteed registreerimistunnistuse koostamiseks. Seega ei määratleta määruses ühtegi tootele kui sellisele nõutavat omadust.“</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r>
        <w:rPr>
          <w:rFonts w:ascii="Times New Roman" w:hAnsi="Times New Roman" w:cs="Times New Roman" w:eastAsia="Times New Roman"/>
          <w:b/>
          <w:i/>
          <w:szCs w:val="20"/>
        </w:rPr>
        <w:t xml:space="preserve">16. </w:t>
      </w:r>
      <w:hyperlink r:id="rId22" w:history="1">
        <w:r>
          <w:rPr>
            <w:rStyle w:val="Hyperlink"/>
            <w:rFonts w:ascii="Times New Roman" w:hAnsi="Times New Roman" w:cs="Times New Roman" w:eastAsia="Times New Roman"/>
            <w:b/>
            <w:i/>
            <w:color w:val="0000FF"/>
            <w:szCs w:val="20"/>
          </w:rPr>
          <w:t xml:space="preserve">novembri 2000. aasta kohtuotsus Donkersteeg</w:t>
        </w:r>
      </w:hyperlink>
      <w:r>
        <w:rPr>
          <w:rFonts w:ascii="Times New Roman" w:hAnsi="Times New Roman" w:cs="Times New Roman" w:eastAsia="Times New Roman"/>
          <w:b/>
          <w:i/>
          <w:szCs w:val="20"/>
        </w:rPr>
        <w:t xml:space="preserve">, C-37/99, EU:C:2000:636, punktid 30 ja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Põllumajandustoodete puhul on „tehniline spetsifikatsioon“ tekst, milles määratletakse nende nõutavad omadused või tootmismeetodid. Kariloomade vaktsineerimise tingimusi sätestav eeskiri on tootmisreegel ja seega „tehniline spetsifikatsioon“.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Nagu on märgitud käesoleva kohtuotsuse punktis 20, on direktiivi artikli 1 lõike 1 kohaselt „tehniline spetsifikatsioon“ põllumajandustoodete puhul selline, mis sisaldub dokumendis, milles on sätestatud toote nõutavad omadused või selle tootmismeetodid ja -menetlused.</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Selline õigusnorm, nagu on sätestatud VBZA artikli 2 lõikes 1, on tehniline kirjeldus direktiivi artikli 1 lõike 1 tähenduses. Nagu komisjon õigesti väidab, kuna Aujeszky haiguse vastu vaktsineerimise täpsed ja üksikasjalikud eeskirjad on seotud asjaomase põllumajandustoote tootmisega kitsas tähenduses ja neid tuleb järgida kogu tootmistsükli jooksul, määratleb see reegel seega „menetluse“ selle toote tootmisel.“</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Kohtuotsus, 8. märts 2001</w:t>
        </w:r>
      </w:hyperlink>
      <w:r>
        <w:t xml:space="preserve">, Van der Burg, C-278/99, EU:C:2001:143, punkt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Määrus, mis piirdub kaubandusliku reklaami keelamisega, kuid milles ei ole sätestatud toote nõutavaid omadusi, ei ole „tehniline spetsifikatsioon“ ja seda ei saa seega pidada „tehniliseks eeskirjaks“.</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Direktiivi 83/189 artikli 1 lõike 1 kohaselt on „tehniline spetsifikatsioon“ „tehniline spetsifikatsioon, mis sisaldub dokumendis, milles on sätestatud toote nõutavad omadused“. Tehnilised kirjeldused direktiivi 83/189 tähenduses peavad seega viitama tootele kui sellisele (vt 13. juuli 2000. aasta otsus kohtuasjas C-314/98: Snellers Auto’s vs. Algemeen Directeur van de Dienst Wegverkeer, kohtulahendite kogumikus veel avaldamata, punkt 38). Sellised õigusnormid nagu dekreedi artikli C.11.1 lõige 1, millega keelatakse üksnes turustusviis, ei näe siiski ette toote nõutavaid omadusi.“</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Kohtuotsus, 6. juuni 2002</w:t>
        </w:r>
      </w:hyperlink>
      <w:r>
        <w:t xml:space="preserve">, Sapod Audic, C-159/00, EU:C:2002:343, punktid 30–33.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Liikmesriigi õigusnorm, mis näeb ette pakendi identifitseerimise kohustuse, kujutab endast „tehnilist eeskirja“, millest tuleb teatada, kuivõrd sellega kaasneb kohustus pakend märgistada või märgistada.</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Seega, kuna dekreedi nr 92–377 artikli 4 teises lõigus ette nähtud pakendi identifitseerimise kohustus ei näi viitavat pakendi märgistamise või märgistamise kohustusele, ei näi see kohustus tingimata viitavat tootele või selle pakendile kui sellisele. Selliselt tõlgendatuna ei saa asuda seisukohale, et see säte kehtestaks tootele nõutavad omadused direktiivi 83/189 artikli 1 lõike 1 tähenduses ja seega ei saa seda pidada tehniliseks spetsifikatsiooniks (vt eelkõige 22. märtsi 2001. aasta otsus kohtuasjas C-278/99: Van der Burg, EKL 2001, lk I-2015, punkt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 Siiski tuleb märkida, et EÜ artiklis 234 ette nähtud pädevuse jaotuse raames on siseriikliku kohtu ülesanne tõlgendada siseriiklikku õigust, käesoleval juhul dekreedi nr 92–377 artikli 4 teist lõiku.</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Järelikult tuleb uurida ka võimalust, et eelotsusetaotluse esitanud kohtule esitatud kõiki faktilisi ja õiguslikke asjaolusid arvestades jõuab see kohus järeldusele, et dekreedi nr 92–377 artikli 4 teist lõiku tuleb tõlgendada nii, et see paneb tootjatele kohustuse märgistada pakend või märgistada see, ilma et oleks täpsustatud, milline tähis tuleb kinnitada.</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Sellisel juhul tuleb asuda seisukohale, et see säte on tegelikult tehniline spetsifikatsioon direktiivi 83/189 tähenduses ja järelikult, kuna see kohustus on kehtestatud dekreediga pakendatud toodete turustamisel kogu riigi territooriumil, kujutab see säte endast tehnilist eeskirja.“</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Kohtuotsus, 8. september 2005</w:t>
        </w:r>
      </w:hyperlink>
      <w:r>
        <w:t xml:space="preserve">, komisjon vs. Portugal, C-500/03, EU:C:2005:515, punkt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Eeskiri, millega kehtestatakse väikelaeva maksimaalne pikkus ja kõrgus ning piiratakse selle veojõudu, on „tehniline kirjeldus“.</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(Kuna kohtuotsus on kättesaadav ainult prantsuse ja portugali keeles, on järgmine tekst tõlge.)</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Selle määruse artikli 2 lõike 1 sõnastusest tuleneb, et see sisaldab tehnilisi kirjeldusi direktiivi 98/34 artikli 1 punkti 3 tähenduses, mis kujutavad endast tehnilisi eeskirju selle direktiivi tähenduses. Selles määruses sisalduvad nõuded puudutavad navigeerimiseks kasutatavate lõbusõidulaevade maksimaalset pikkust ja kõrgust ning veojõu piiramist. Kõnealuseid tehnilisi piiranguid kohaldatakse kõigi Portugali avaliku teenistuse avalike veelaguunide suhtes, välja arvatud Douro jõgi.“</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Kohtuotsus, 8.11.2007, Schwibbert,</w:t>
        </w:r>
      </w:hyperlink>
      <w:r>
        <w:t xml:space="preserve"> C-20/05, EU:C:2007:652, punktid 35–37.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Siseriiklikud õigusnormid, millega kehtestatakse kohustus kinnitada toodetele eristav tähis nende turustamiseks liikmesriigis, kujutavad endast „tehnilist spetsifikatsiooni“, kuna need on toodete märgistamise ja märgistamisega seotud nõuded.</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Nagu Euroopa Kohus on sedastanud, eeldab mõiste „tehniline spetsifikatsioon“, et siseriiklik meede viitab tootele või selle pakendile kui sellisele ja määrab seega kindlaks toote ühe nõutava omaduse (vt selle kohta 22. märtsi 2001. aasta otsus kohtuasjas C-278/99: van der Burg, EKL 2001, lk I-2015, punkt 20; Otsus kohtuasjas C-390/99: Canal Satélite Digital (EKL 2002, lk I-607, punkt 45); ning eespool viidatud kohtuotsused Sapod Audic (punkt 30) ja Lindberg (punkt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Käesolevas asjas tuleb märkida – nagu leidis ka kohtujurist oma ettepaneku punktides 46 ja 48 – et „SIAE“ eritähis, mille eesmärk on teavitada tarbijaid ja siseriiklikke ametiasutusi toote õiguspärasusest, tuleb kinnitada loometeost sisaldavale andmekandjale, see tähendab tootele endale. Seega ei ole täpne väita – nagu seda tegid Società Italiana degli Autori ed Editori ja Itaalia valitsus –, et kõnealune eritähis puudutab üksnes loometeost.</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Selline eritähis kujutab endast „tehnilist spetsifikatsiooni“ direktiivi 98/34 artikli 1 punkti 3 mõttes, kuna ta kuulub kõnesolevatele toodetele kohaldatavate nõuete hulka, mis puudutab nende märgistust ja tähistamist. Seega, kuna selle spetsifikaadi järgimine on nende toodete turustamisel de jure kohustuslik, kujutab see spetsifikaat endast „tehnilist eeskirja“ selle direktiivi artikli 1 punkti 11 tähenduses (vt selle kohta 13. juuli 1997. aasta otsus kohtuasjas C-13/96: Bic Benelux, EKL 1997, lk I-1753, punkt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Aprilli 2011. aasta kohtuotsus Vlaamse</w:t>
        </w:r>
      </w:hyperlink>
      <w:r>
        <w:t xml:space="preserve"> Dierenartsenvereniging ja Janssens, C-42/10, C-45/10 ja C-57/10, EU:C:2011:253, punktid 68–70.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Direktiivi ei kohaldata lemmikloomapasside suhtes, mida ei saa liigitada „toodeteks“, sest nendega ei saa teha äritehinguid. Lemmikloomapasse käsitlevad siseriiklikud sätted ei ole seega „tehniline kirjeldus“, millest tuleb komisjonile teatada.</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Euroopa Kohtul on olnud võimalus rõhutada, et kaupade vaba liikumise kohaldamisalasse kuuluvad üksnes need tooted, mida saab hinnata rahas ja mis võivad sellisena olla äritehingute esemeks (vt selle kohta eelkõige Euroopa Kohtu 12. detsembri 1968. aasta otsus kohtuasjas 7/68: komisjon vs. Itaalia, EKL 1968, lk 617, 626, ja 11. detsembri 2006. aasta otsus kohtuasjas C-65/05: komisjon vs. Kreeka, EKL 2006, lk I-10341, punktid 23–25).</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Kuid on selge, et lemmikloomapassid, sisaldades unikaalset numbrit ja identifitseerides konkreetset looma, ei ole selliselt kaubanduslike tehingute esemeks.</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Neid passe ei saa seega kvalifitseerida „toodeteks“ Euroopa Kohtu praktika tähenduses; samuti ei saa nende suhtes kohaldada direktiivi 98/34. Järelikult ei saa niisuguseid spetsifikatsioone, nagu need, mis sisalduvad põhikohtuasjas kõne all olevates Belgia õigusnormides, kvalifitseerida tehnilisteks kirjeldusteks, millest tuleb selle direktiivi artikli 8 kohaselt komisjonile eelnevalt teatada, ning vastasel juhul ei tohi siseriiklik kohus neid kohaldada (vt selle kohta Euroopa Kohtu 18. juuli 2007. aasta otsus kohtuasjas C-20/05: Schwibbert, EKL 2007, lk I-9447, punktid 33 ja 44 ning seal viidatud kohtupraktika).“</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Kohtuotsus, 9. juuni 2011</w:t>
        </w:r>
      </w:hyperlink>
      <w:r>
        <w:t xml:space="preserve">, Intercommunale Intermosane ja Fédération de l’industrie et du gaz, C-361/10, EU:C:2011:382, punktid 14–18.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Siseriiklikud õigusnormid, millega kehtestatakse miinimumnõuded elektriseadmete ehitusele ja töötajate ohutusele, ei kujuta endast „tehnilisi spetsifikatsioone“, kuna nendega kehtestatakse üldised ohutuse ja kaitse eesmärgid, viitamata otseselt tootele või selle pakendile ja määratlemata selle omadusi.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tuleb kindlaks teha, kas põhikohtuasjas kõne all olevad siseriiklikud õigusnormid kuuluvad direktiivi 98/34 artikli 1 punktis 11 ette nähtud tehniliste eeskirjade esimesse kategooriasse, st mõiste „tehniline spetsifikatsioon“ alla.</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Kohtupraktikast lähtuvalt eeldab see mõiste, mis on defineeritud artikli 1 punktis 3, et siseriiklik meede viitab tingimata tootele või selle pakendile kui sellisele ning määratleb seega toote ühe nõutava omaduse (vt eespool viidatud kohtuotsus Schwibbert, punkt 35 ja seal viidatud kohtupraktika).</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Põhikohtuasjas arutusel olevate siseriiklike õigusnormidega seoses tuleb märkida, et nimetatud sätetega ette nähtud teatud elektripaigaldiste minimaalsete ohutusnõuete eesmärk on tagada nende paigaldiste ohutus selleks, et kaitsta neid kasutavaid töötajaid.</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Tuleb märkida, et minimaalsed ohutusnõuded käsitlevad üldisi ohutusalaseid nõudeid ja eesmärke, ilma et nad tingimata viitaksid asjaomasele tootele või selle pakendile kui sellisele, ja seega määratlemata selle toote omadusi.</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Järelikult ei sisalda põhikohtuasjas kõne all olevad siseriiklikud õigusnormid tehnilisi kirjeldusi direktiivi 98/34 tähenduses.“</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19. </w:t>
      </w:r>
      <w:hyperlink r:id="rId29" w:history="1">
        <w:r>
          <w:rPr>
            <w:color w:val="0000FF"/>
            <w:u w:val="single"/>
          </w:rPr>
          <w:t xml:space="preserve">juuli 2012. aasta kohtuotsus Fortuna</w:t>
        </w:r>
      </w:hyperlink>
      <w:r>
        <w:t xml:space="preserve"> jt, C-213/11, C-214/11 ja C-217/11, EU:C:2012:495, punktid 28–30.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Siseriiklikud õigusnormid, mis piiravad odavate mänguautomaatide käitamist väljaspool kasiinosid, ei ole „tehnilised eeskirjad“, sest need ei viita mänguautomaatide või nende pakendi omadustele.</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selleks, et siseriiklik meede kuuluks direktiivi 98/34 artikli 1 punktis 11 nimetatud tehniliste eeskirjade esimesse kategooriasse, st mõiste „tehniline spetsifikatsioon“ alla, peab see meede tingimata viitama tootele või selle pakendile kui sellisele ning seega määratlema toote ühe nõutava omaduse (vt eespool viidatud kohtuotsus Intercommunale Intermosane ja Fédération de l’industrie et du gaz, punkt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Siinkohal piisab märkusest, et hasartmänguseaduse üleminekusätted puudutavad mänguautomaatidel mängitavate piiratud võidusummadega õnnemängude korraldamise lube. Nad ei viita piiratud võidusummadega õnnemängude automaatidele ega nende pakendile kui sellisele ega määratle seega nende omadusi.</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Järelikult ei sisalda põhikohtuasjas kõne all olevad siseriiklikud õigusnormid tehnilisi kirjeldusi direktiivi 98/34 tähenduses.“</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r>
        <w:rPr>
          <w:sz w:val="25"/>
        </w:rPr>
        <w:t xml:space="preserve">10. </w:t>
      </w:r>
      <w:hyperlink r:id="rId30" w:history="1">
        <w:r>
          <w:rPr>
            <w:b/>
            <w:i/>
            <w:color w:val="0000FF"/>
            <w:u w:val="single"/>
          </w:rPr>
          <w:t xml:space="preserve">juuli 2014. aasta kohtuotsus Ivansson</w:t>
        </w:r>
      </w:hyperlink>
      <w:r>
        <w:rPr>
          <w:b/>
          <w:i/>
        </w:rPr>
        <w:t>jt</w:t>
      </w:r>
      <w:r>
        <w:rPr>
          <w:sz w:val="25"/>
        </w:rPr>
        <w:t>,</w:t>
      </w:r>
      <w:r>
        <w:rPr>
          <w:b/>
          <w:i/>
        </w:rPr>
        <w:t xml:space="preserve"> C-307/13, EU:C:2014:2058, punktid 19–23</w:t>
      </w:r>
      <w:r>
        <w:rPr>
          <w:sz w:val="25"/>
        </w:rPr>
        <w:t>.</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Eeskiri, millega kehtestatakse üldine eesmärk, milleks on kodulindude mugavus ja kasvatusrajatiste kvaliteet, ei ole „tehniline spetsifikatsioon“, sest see ei määra kindlaks toote omadusi ega ole piisavalt täpne tootmismeetodi määratlemiseks.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Tuleb märkida, et kohtupraktika kohaselt eeldab see mõiste [tehniline spetsifikatsioon], et siseriiklik meede peab tingimata viitama tootele või selle pakendile kui sellisele ning määrama seega kindlaks toote ühe nõutava omaduse (vt selle kohta kohtuotsus Fortuna jt, EU:C:2012:495, punkt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Mis puudutab lisaks põllumajandustooteid, on Euroopa Kohus märkinud, et mõiste „tehniline spetsifikatsioon“ tähendab sellises dokumendis sisalduvat spetsifikatsiooni, mis määratleb toote omadused või selle tootmismeetodid ja –protsessid (vt selle kohta kohtuotsus Donkersteeg, C-37/99, EU:C:2000:636, punkt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Niisiis tuleb esiteks tõdeda, et kuigi dekreedi (1988:539) § 9 puudutab munakanade kasvatamiseks kasutatavate rajatiste, nimelt täiustatud puuride mugavust ja kvaliteeti, ei määratleta selles sättes siiski – nagu märkis Poola valitsus – omadusi, mis põhikohtuasjas kõne all olevatel toodetel peavad olema.</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Teiseks, isegi kui eeldatavalt võiks asuda seisukohale, et asjaomane säte käsitleb tootmismeetodit osas, milles see säte vastavalt eelmises punktis märgitule peab silmas munakanade kasvatamist täiustatud puurides, tuleb siiski märkida, et kõnealuses sättes mainitakse vaid üldiselt nõuet pesade, õrte ja liivavannide olemasolu kohta nimetatud rajatistes, kuid ei määrata konkreetselt kindlaks sellise kasvatusviisi eri aspekte. Dekreedi (1988:539) § 9 ei sisalda ühtegi viidet, mis on seotud näiteks nimetatud seadmete suuruse, arvu, temperatuuri, hoolduse või käitamisega munakanade valgusega kokkupuute kontekstis või näiteks söötmis- või jootmisvahenditega. Kuna dekreedi (1988:539) § 9 ei tee mingeid täpsustusi, ei saa asuda seisukohale, et selles määratletakse tootmismeetod või –protsess.</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Lisaks tuleb märkida, et sätestades, et „pidamissüsteem peab olema selline, et kanade suremus ja käitumishäired jääksid madalale tasemele“, ilma et oleks muid märke, on DSF § 9 esimeses lõigus piirdutud üldiste eesmärkidega, mis on seotud munakanade heaoluga, viitamata tingimata asjaomasele tootele ja määrates seega kindlaks selle toote omadused (vt analoogia alusel kohtuotsus Intercommunale Intermosane ja Fédération de l’Industrie et du gaz, C-361/10, EU:C:2011:382, punkt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27. </w:t>
      </w:r>
      <w:hyperlink r:id="rId31" w:history="1">
        <w:r>
          <w:rPr>
            <w:color w:val="0000FF"/>
            <w:u w:val="single"/>
          </w:rPr>
          <w:t xml:space="preserve">oktoobri 2016. aasta kohtuotsus James</w:t>
        </w:r>
      </w:hyperlink>
      <w:r>
        <w:t xml:space="preserve"> Elliott Construction, C-613/14, EU:C:2016:821, punkt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Siseriiklikud õigusnormid, mis näevad ette kaudsed lepingutingimused müüdavate toodete kvaliteedi kohta, ei kujuta endast „tehnilist kirjeldust“, kuna neis ei ole määratletud asjaomase toote omadusi.</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Käesoleval juhul ilmneb esiteks, et sellised sätted, nagu on kõne all põhikohtuasjas, ei kuulu iseenesest ega Iiri kohtute tõlgenduse kohaselt mõiste „tehniline spetsifikatsioon“ alla direktiivi 98/34 artikli 1 punkti 3 tähenduses. See mõiste hõlmab üksnes riigisiseseid meetmeid, mis viitavad tootele või selle pakendile kui sellisele ja määravad seega kindlaks toote ühe nõutava omaduse (10. juuli 2014. aasta kohtuotsus Ivansson jt, C 307/13</w:t>
        <w:noBreakHyphen/>
        <w:t xml:space="preserve">, EU:C:2014:2058, punkt 19 ja seal viidatud kohtupraktika). Ilmselgelt ei ole see nii nõude puhul, mida kohaldatakse üldiselt kõikide toodete müügi suhtes, välja arvatud juhul, kui pooled on kokku leppinud teisiti.“</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Kohtuotsus, 1. veebruar 2017</w:t>
        </w:r>
      </w:hyperlink>
      <w:r>
        <w:t xml:space="preserve">, Município de Palmela, C-144/16, EU:C:2017:76, punkt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Määrus, mis nõuab vabaajaalal teabe esitamist selle ala maksimaalse mahutavuse kohta, ei kujuta endast „tehnilist spetsifikatsiooni“, kuna selles ei ole sätestatud toote omadusi.</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selline säte ei kuulu tehnospetsifikaatide kategooriasse direktiivi 98/34 artikli 1 punkti 3 tähenduses, kuna on selge, et sätted, mis näevad ette ohutuse ja kaitsega seotud nõuded ja üldeesmärgid, viitamata tingimata asjaomasele tootele või selle pakendile kui sellisele ja seega sätestamata toote omadusi, ei ole tehnilised kirjeldused (vt selle kohta 9. juuni 2011. aasta kohtuotsus Intercommunale Intermosane ja Fédération de l’industrie et du gaz, C-361/10, EU:C:2011:382, punktid 17 ja 18).“</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26. </w:t>
      </w:r>
      <w:hyperlink r:id="rId33" w:history="1">
        <w:r>
          <w:rPr>
            <w:color w:val="0000FF"/>
            <w:u w:val="single"/>
          </w:rPr>
          <w:t xml:space="preserve">septembri 2018. aasta kohtuotsus Van</w:t>
        </w:r>
      </w:hyperlink>
      <w:r>
        <w:t xml:space="preserve"> Gennip jt, C-137/17, EU:C:2018:771, punkt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Siseriiklikud õigusnormid, mis seavad toodete turustamise tingimuseks, et ostjal on luba, ei kuulu mõiste „tehniline spetsifikatsioon“ alla, kuna need ei määratle toote enda või selle pakendi omadusi.</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Mis puudutab esiteks mõistet „tehniline spetsifikatsioon“, siis tuleb meenutada, et see mõiste eeldab, et riigisisene meede viitab tingimata tootele või selle pakendile kui sellisele ning näeb seega ette toote ühe nõutava omaduse, nagu mõõtmed, müüginimetus, märgistus või märgistus (10. juuli 2014. aasta kohtuotsus Ivansson jt, C 307/13</w:t>
        <w:noBreakHyphen/>
        <w:t xml:space="preserve">, EU:C:2014:2058, punkt 19 ja seal viidatud kohtupraktika). Nagu kohtujurist oma ettepaneku punktis 74 märkis, ei viidata Belgia õigusnormides pürotehnilistele toodetele või nende pakendile kui niisugusele, mistõttu ei ole nende õigusnormidega määratud kindlaks nende toodete nõutav omadus. Seega ei kujuta need õigusnormid endast „tehnilist spetsifikatsiooni“ direktiivi 98/34 artikli 1 punkti 3 tähenduses.“</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28. </w:t>
      </w:r>
      <w:hyperlink r:id="rId34" w:anchor="ctx1" w:history="1">
        <w:r>
          <w:rPr>
            <w:color w:val="0000FF"/>
            <w:u w:val="single"/>
          </w:rPr>
          <w:t xml:space="preserve">mai 2020. aasta kohtuotsus ECO</w:t>
        </w:r>
      </w:hyperlink>
      <w:r>
        <w:t xml:space="preserve"> -WIND Construction, C-727/17, EU:C:2020:393, punktid 36 ja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Määrus, millega kehtestatakse tuuleturbiinide paigaldamiseks minimaalne vahemaa, ei kujuta endast „tehnilist spetsifikatsiooni“, kuna selles ei ole sätestatud toote omadusi.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mis puudutab sama nõude võimalikku kvalifitseerimist tehnilise eeskirjaga selle alusel, et see kuulub „tehniliste spetsifikatsioonide“ kategooriasse, siis tuleb märkida, et tehniline kirjeldus eeldab, et seda ette nägev siseriiklik meede viitab tootele või selle pakendile kui sellisele ning et sellega määratakse seega kindlaks üks selle toote nõutavatest omadustest (21. aprilli 2005. aasta kohtuotsus Lindberg, C-267/03, EU:C:2005:246, punkt 57, ning 19. juuli 2012. aasta kohtuotsus Fortuna jt, C-213/11, C-214/11 ja C-217/11, EU:C:2012:495, punkt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Käesoleval juhul piirduvad aga põhikohtuasjas kõne all olevad õigusnormid tuulegeneraatorite paigaldamise reguleerimisega, kehtestades kohustusliku minimaalse vahemaa, millest tuleb nende paigaldamisel kinni pidada. Järelikult ei viita need õigusnormid tootele kui sellisele, käesoleval juhul tuulegeneraatorile, ega näe seega ette ühte selle toote nõutavat omadust direktiivi 2015/1535 artikli 1 lõike 1 punkti f tähenduses koostoimes selle direktiivi artikli 1 lõike 1 punktiga c.“</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22. </w:t>
      </w:r>
      <w:hyperlink r:id="rId35" w:history="1">
        <w:r>
          <w:rPr>
            <w:color w:val="0000FF"/>
            <w:u w:val="single"/>
          </w:rPr>
          <w:t xml:space="preserve">oktoobri 2020. aasta kohtuotsus Sportingbet</w:t>
        </w:r>
      </w:hyperlink>
      <w:r>
        <w:t xml:space="preserve"> ja Internet Opportunity Entertainment, C-275/19, EU:C:2020:856, punktid 42 ja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Siseriiklikud õigusnormid, mis jätavad hasartmängude korraldamise riigi hooleks ja näevad ette, et lube antakse ainult avalik-õiguslikele äriühingutele, ei ole „tehniline spetsifikatsioon“, kuna need ei määratle toote nõutavaid omadusi.</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Direktiivi 83/189 artikli 1 punkti 1 kohaselt on „tehniline spetsifikatsioon“ selle direktiivi tähenduses dokumendis sisalduv spetsifikatsioon, millega nähakse ette toote nõutavad omadused, nagu kvaliteet, kasutusotstarve, ohutus või mõõtmed, sealhulgas nõuded toote terminite, tunnuste, kontrollimise ja kontrollimeetodite, pakendamise, märgistamise või etikettimise kohta (vt selle kohta 8. märtsi 2001. aasta kohtuotsus van der Burg, C-278/99, EU:C:2001:143, punkt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Kuna dekreetseaduse nr 422/89 artiklites 3 ja 9 on sätestatud hasartmängude korraldamise kontsessioonieeskirjad ning selle tegevuse tingimused ja tsoonid, siis ei ilmne, et need sätted puudutaksid toote puhul nõutavaid omadusi direktiivi 83/189 artikli 1 lõike 1 tähenduses, mistõttu ei saa neid kvalifitseerida „tehnilisteks eeskirjadeks“ selle direktiivi artikli 1 lõike 5 tähenduses.“</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Muud nõuded</w:t>
      </w:r>
      <w:bookmarkEnd w:id="46"/>
      <w:bookmarkEnd w:id="47"/>
    </w:p>
    <w:p w14:paraId="48370E42" w14:textId="77777777">
      <w:pPr>
        <w:pStyle w:val="BodyText"/>
      </w:pPr>
    </w:p>
    <w:p w14:paraId="032AC50F" w14:textId="77777777">
      <w:pPr>
        <w:pStyle w:val="P68B1DB1-BodyText11"/>
        <w:ind w:left="567"/>
        <w:rPr>
          <w:i/>
        </w:rPr>
      </w:pPr>
      <w:r>
        <w:t xml:space="preserve">„muud nõuded“ – nõue, mis ei ole tehniline spetsifikatsioon ja mis on kehtestatud tootele eelkõige tarbijate või keskkonna kaitsmiseks ja mis mõjutab toote olelusringi pärast turule laskmist, näiteks kasutamise, ringlussevõtu, korduskasutamise või kõrvaldamise tingimused, kui sellised tingimused võivad oluliselt mõjutada toote koostist või laadi või turustamist;“</w:t>
      </w:r>
    </w:p>
    <w:p w14:paraId="1AD68414" w14:textId="77777777">
      <w:pPr>
        <w:pStyle w:val="BodyText"/>
        <w:ind w:left="567"/>
        <w:rPr>
          <w:i/>
          <w:iCs/>
        </w:rPr>
      </w:pPr>
    </w:p>
    <w:p w14:paraId="3295AC84" w14:textId="258D2B2D">
      <w:pPr>
        <w:pStyle w:val="BodyText"/>
        <w:ind w:left="1440"/>
        <w:jc w:val="right"/>
      </w:pPr>
      <w:r>
        <w:t xml:space="preserve">(Direktiivi (EL) 2015/1535 artikli 1 lõike 1 punkt d)</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Aprilli 2005. aasta kohtuotsus Lindberg,</w:t>
        </w:r>
      </w:hyperlink>
      <w:r>
        <w:t xml:space="preserve"> C-267/03, EU:C:2005:246, punktid 68–78.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Teatavate hasartmängude siseriikliku keelu võib kvalifitseerida „muuks nõudeks“, kui see võib mõjutada toote koostist, laadi või turustamist. Kui aga keeld ei jäta toote kasutamiseks ruumi, kirjeldatakse seda keelava sättena (vt käesoleva dokumendi I osa alajagu e „Keeldumissätted“).</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tuleb tõdeda, et selline siseriiklik meede, nagu on kõne all põhikohtuasjas, näib olevat konkreetselt hõlmatud mõistega „muud nõuded“, mis lisati direktiiviga 94/10 direktiivi 83/189 selle kohaldamisala laiendamiseks, ning seega ei kuulu see tehniliste kirjelduste kategooriasse.</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Tegemist on tegelikult toote, st mänguautomaatide suhtes kehtestatud nõudega põhiliselt tarbijate, käesoleval juhul asjaomaste mängijate kaitsmise eesmärgil.</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Neil asjaoludel puudutab selline muudetud loteriiseaduse vastavate sätetega kehtestatud keeld toote kasutamist direktiivi 83/189 artikli 1 punkti 9 mõttes.</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Muu hulgas ei kohaldatud põhikohtuasjas vaatluse all olevat nõuet mänguautomaatidele seoses nende turuleviimisega, vaid silmas pidades nende elutsüklit pärast turuleviimist direktiivi 83/189 artikli 1 punktis 3 sätestatud mõiste „muud nõuded“ definitsiooni mõttes.</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Selleks, et nõue kuuluks direktiivi 83/189 artikli 1 punkti 3 tähenduses kategooria „muud nõuded“ alla, peab selline nõue, nagu on põhikohtuasjas vaatluse all olev mänguautomaatide kasutamise keeld, olema „tingimus“, mis käesoleval juhul puudutab asjaomase toote kasutamist, mis võib oluliselt mõjutada toote koostist, olemust või turustamist.</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Siiski tuleb vastata küsimusele, kas nimetatud keeldu saab lugeda asjaomase toote kasutamist puudutavaks „tingimuseks“ või on vastupidi tegemist siseriikliku meetmega, mis kuulub tehniliste eeskirjade kolmandasse kategooriasse direktiivi 83/189 artikli 1 punktis 9, mis lisati sellesse samuti direktiiviga 94/10, st see, mille sisuks on „liikmesriikide õigus[...]normid, mis keelavad toote [...] kasutamise [...].“</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Sellise siseriikliku meetme, nagu on vaatluse all põhikohtuasjas, kuulumine ühte või teise nimetatud kahest tehniliste eeskirjade kategooriast sõltub selle meetmega sätestatud keelu mõjust.</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Siin on oluline see, et kolmas tehniliste eeskirjade kategooria, mis on määratletud direktiivi 83/189 artikli 1 punktis 9, ei sisalda erinevalt sama artikli punktis 3 sätestatud teisest kategooriast „muud nõuded“ tingimust, mille kohaselt asjaomane keeld võib oluliselt mõjutada toote koostist, olemust või turustamist.</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See kolmas tehniliste reeglite kategooria, mis näeb ette just kasutamise keelu, peab olema meede, mille mõju ulatub selgesti kaugemale asjaomase toote võimalike kasutusviiside piirangust ning seega ei piirdu meede toote kasutamise lihtsa piiramisega.</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Nagu kohtujurist on oma ettepaneku punktis 70 maininud, peab see tehniliste eeskirjade kategooria täpsemalt silmas siseriiklikke meetmeid, mis ei jäta ruumi ühelegi muule kasutamisele kui puhtalt marginaalsele kasutamisele, mida võiks mõistlikult asjaomase tootega seoses oodata. See, kas põhikohtuasjas vaatluse all olevas siseriiklikus sättes kehtestatud keelu osas on tegemist sellise juhuga, kuulub eelotsusetaotluse esitanud kohtu pädevusesse.</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Kui peale seda kontrolli saab selgeks, et põhikohtuasja puhul ei ole sellise juhuga tegemist, siis on nimetatud siseriikliku sätte puhul tegemist kategooriaga „muud nõuded“, kui on selge, et selle nõude järgimine toote kasutamisel on asjaomases liikmesriigis de jure kohustuslik direktiivi 83/189 artikli 1 punkti 9 mõttes. Sellisel juhul on siiski ka eelotsusetaotluse esitanud kohtu ülesanne kontrollida, kas vaidlusalune keeld võib oluliselt mõjutada toote koostist või laadi või selle turustamist artikli 1 lõike 3 tähenduses.“</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Kohtuotsus, 9. juuni 2011</w:t>
        </w:r>
      </w:hyperlink>
      <w:r>
        <w:t xml:space="preserve">, Intercommunale Intermosane ja Fédération de l’industrie et du gaz, C-361/10, EU:C:2011:382, punktid 20 ja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Siseriiklikke õigusnorme, mis näevad ette miinimumnõuded elektriseadmete ehitusele ja töötajate ohutusele, ei saa kvalifitseerida „muudeks nõueteks“, kuna nende üldine laad ei võimalda oluliselt mõjutada asjaomaste toodete koostist, laadi või turustamist.</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Kohtupraktika kohaselt peavad direktiivi 98/34 artikli 1 punktis 4 sätestatud minimaalseid ohutusnõuded selleks, et neid võiks pidada „muudeks nõueteks“, kujutama endast „tingimust“, mis võib oluliselt mõjutada asjaomase toote koostist, olemust või turustamist (vt selle kohta eespool viidatud kohtuotsus Lindberg, punkt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Võttes arvesse nimetatud nõuete üldist laadi, ei saa neid pidada sellisteks tingimusteks ning järelikult ei saa neid kvalifitseerida „muudeks nõueteks“ direktiivi artikli 1 lõike 4 tähenduses.“</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19. </w:t>
      </w:r>
      <w:hyperlink r:id="rId38" w:history="1">
        <w:r>
          <w:rPr>
            <w:color w:val="0000FF"/>
            <w:u w:val="single"/>
          </w:rPr>
          <w:t xml:space="preserve">juuli 2012. aasta kohtuotsus Fortuna</w:t>
        </w:r>
      </w:hyperlink>
      <w:r>
        <w:t xml:space="preserve"> jt, C-213/11, C-214/11 ja C-217/11, EU:C:2012:495, punktid 35, 36 ja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Siseriiklikud õigusnormid, mis piiravad mänguautomaatide käitamist väljaspool kasiinosid, võib kvalifitseerida „muudeks nõueteks“ ja seega „tehnilisteks eeskirjadeks“, kui need mõjutavad oluliselt asjaomaste toodete laadi või turustamist.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Euroopa Kohus on otsustanud, et selleks, et kõnealuseid siseriiklikke meetmeid saaks kvalifitseerida „muudeks nõueteks“ direktiivi 98/34 artikli 1 punkti 4 tähenduses, peavad need olema „tingimused“, mis võivad oluliselt mõjutada asjaomase toote koostist, laadi või turustamist (vt selle kohta eespool viidatud kohtuotsused Lindberg, punkt 72, ja Intercommunale Intermosane ja Fédération de l’industrie et du gaz, punkt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Selles osas olgu märgitud, et hasartmänguseaduse üleminekusätted sisaldavad tingimusi, mis mõjutavad piiratud võidusummadega õnnemängude automaatide turustamist. Keeld väljastada, pikendada või muuta tegevuslubasid, mis on seotud hasartmängudega mänguautomaatidel väljaspool kasiinosid, mõjutab otseselt madala võidusummaga mänguautomaatidega kauplemist.“</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esitatud küsimustele tuleb vastata, et direktiivi 98/34 artikli 1 punkti 11 tuleb tõlgendada nii, et sellised siseriiklikud õigusnormid nagu hasartmänguseaduse sätted, mis võivad piirata või isegi järk-järgult võimatuks muuta hasartmängude korraldamise madala võidusummaga mänguautomaatidel, välja arvatud kasiinodes ja mängusaalides, võivad kujutada endast „tehnilisi eeskirju“ selle sätte tähenduses, millest tuleb direktiivi artikli 8 lõike 1 esimese lõigu kohaselt teatada, kuivõrd on tõendatud, et need sätted kujutavad endast tingimusi, mis võivad oluliselt mõjutada asjaomase toote laadi või turustamist, peab seda kontrollima eelotsusetaotluse esitanud kohus.“</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r>
        <w:rPr>
          <w:sz w:val="25"/>
        </w:rPr>
        <w:t xml:space="preserve">10. </w:t>
      </w:r>
      <w:hyperlink r:id="rId39" w:history="1">
        <w:r>
          <w:rPr>
            <w:b/>
            <w:i/>
            <w:color w:val="0000FF"/>
            <w:u w:val="single"/>
          </w:rPr>
          <w:t xml:space="preserve">juuli 2014. aasta kohtuotsus Ivansson</w:t>
        </w:r>
      </w:hyperlink>
      <w:r>
        <w:rPr>
          <w:b/>
          <w:i/>
        </w:rPr>
        <w:t>jt</w:t>
      </w:r>
      <w:r>
        <w:rPr>
          <w:sz w:val="25"/>
        </w:rPr>
        <w:t>,</w:t>
      </w:r>
      <w:r>
        <w:rPr>
          <w:b/>
          <w:i/>
        </w:rPr>
        <w:t xml:space="preserve"> C-307/13, EU:C:2014:2058, punktid 26–28</w:t>
      </w:r>
      <w:r>
        <w:rPr>
          <w:sz w:val="25"/>
        </w:rPr>
        <w:t>.</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Eeskiri, millega kehtestatakse üldine eesmärk tagada kodulindude mugavus ja kasvatusrajatiste kvaliteet, ei ole „muu nõue“, kuna selle üldine laad tõenäoliselt ei mõjuta lõpptoote koostist, laadi ega turustamist.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Euroopa Kohus on juba otsustanud, et selleks, et kõnealuseid siseriiklikke meetmeid saaks kvalifitseerida „muudeks nõueteks“ direktiivi 98/34 artikli 1 punkti 4 tähenduses, peavad need olema „tingimused“, mis võivad oluliselt mõjutada asjaomase toote koostist, laadi või turustamist (vt kohtuotsus Fortuna jt, EU:C:2012:495, punkt 35 ja seal viidatud kohtupraktika).</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Euroopa Kohus on samuti leidnud, et juhul, kui siseriiklikus meetmes sisalduvad sätted on üldist laadi, ei kujuta nad endast niisuguseid tingimusi ja järelikult ei saa neid pidada „muudeks nõueteks“ artikli 1 punkti 4 tähenduses (vt selle kohta kohtuotsus Intercommunale Intermosane ja Fédération de l’Industrie et du gaz, EU:C:2011:382, punkt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DSF § 9 väga üldine sõnastus, nagu on märgitud käesoleva kohtuotsuse punktides 22 ja 23, välistab seega selle sätte käsitamise nii, et see seab tingimusi asjaomaste toodete koostisele, laadile või turustamisele.“</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Kohtuotsus, 11. juuni 2015</w:t>
        </w:r>
      </w:hyperlink>
      <w:r>
        <w:t xml:space="preserve">, Berlington Hungary jt, C-98/14, EU:C:2015:386, punktid 98 ja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Siseriiklikud õigusnormid, mis keelavad mänguautomaatide käitamise väljaspool kasiinosid, kujutavad endast „muid nõudeid“, kuna need võivad oluliselt mõjutada selliste masinate laadi või turustamist.</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Euroopa Kohus on juba otsustanud, et siseriiklik meede, mis piirab teatavate hasartmängude korraldamist kasiinodega, kujutab endast üksnes „tehnilist eeskirja“ direktiivi artikli 1 punkti 11 tähenduses, kui see võib märkimisväärselt mõjutada selles kontekstis kasutatavate toodete laadi või turustamist (vt selle kohta kohtuotsused komisjon vs. Kreeka, C-65/05, EU:C:2006:673, punkt 61, ja Fortuna jt, C-213/11, C-214/11 ja C-217/11, EU:C:2012:495, punktid 24 ja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Selline keeld käitada mänguautomaate väljaspool kasiinosid, nagu see, mis kehtestati 2012. aasta muutmisseadusega, võib siiski oluliselt mõjutada nende masinate laadi või turustamist, mis kujutavad endast kaupa, mis võib kuuluda ELTL artikli 34 kohaldamisalasse (vt kohtuotsus Läärä jt, C-124/97, EU:C:1999:435, punktid 20 ja 24), vähendades turustusvõimalusi, kus neid saab kasutada.“</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Kohtuotsus, 13. oktoober 2016</w:t>
        </w:r>
      </w:hyperlink>
      <w:r>
        <w:t xml:space="preserve">, Naczelnik Urzędu Celnego I w Ł., C-303/15, EU:C:2016:771, punktid 25–30.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Säte, mis seab hasartmängudega tegelemise tingimuseks kasiino tegevusloa olemasolu, ei kujuta endast „muud nõuet“. Nimelt, kuigi sätted, mis piiravad hasartmängude korraldamist kasiinodega, võivad oluliselt mõjutada seotud toodete turustamist, vähendades nende turustuskanaleid, ei avalda ettevõtjate asutamise tingimusi reguleerivad eeskirjad tõenäoliselt olulist mõju kasutatavate toodete laadile või turustamisele.</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Lõpuks tuleb selleks, et teha kindlaks, kas hasartmänguseaduse artikli 6 lõige 1 kuulub kas direktiivi 98/34 artikli 1 punkti 4 või selle direktiivi artikli 1 punkti 11 kohaldamisalasse, kontrollida, kas selline säte võib oluliselt mõjutada asjaomase toote – käesoleval juhul mänguautomaatide – koostist, laadi või turustamist kui asjaomase toote kasutamise „tingimust“ või kas tegemist on selle direktiivi artikli 1 punktis 11 nimetatud keeldude kategooriasse kuuluva siseriikliku meetmega.</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Sellega seoses tuleb meenutada, et ruleti, kaardimängude ja täringumängude ning mänguautomaatidel mängitavate hasartmängude korraldamise ainult kasiinodes näeb ette hasartmänguseaduse artikli 14 lõige 1. See säte kui „tehniline eeskiri“ edastati komisjonile, kuna Euroopa Kohus on esiteks juba sedastanud, et selline liikmesriigi meede, mis lubab teatavaid hasartmänge korraldada üksnes kasiinos, liigitub „tehnilisteks eeskirjadeks“ direktiivi 98/34 artikli 1 punkti 11 tähenduses, kui see võib sellises kontekstis oluliselt mõjutada asjaomase toote olemust või turustamist, ning teiseks, et keeld käitada teatud tooteid mujal kui kasiinos võib tõepoolest oluliselt mõjutada nende toodete turustamist, vähendades nende käitamisväljundeid (vt selle kohta kohtuotsus, 11.6.2015, Berlington Hungary jt, C-98/14, EU:C:2015:386, punktid 98 ja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Sama seaduse artikli 6 lõige 1, mis sätestab, et ruleti, kaardimängude ja täringumängude ning mänguautomaatidel mängitavate hasartmängude korraldamiseks on nõutav kasiino tegevusluba, jäeti seevastu edastamata.</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28.Komisjoni argumendiga, et tihe seos kahe asjaomase siseriikliku õigusnormi vahel tähendab, et hasartmänguseaduse artikli 14 lõiget 1 ei ole võimalik selle seaduse artikli 6 lõikest 1 eraldada, ei saa nõustuda. Nagu kohtujurist oma ettepaneku punktides 38–44 märkis, on selle seaduse artikli 6 lõikel 1 ning artikli 14 lõikel 1 nimelt erinevad ülesanded ja kohaldamisalad. Seda järeldust ei muuda ka artikli 6 lõikes 1 sisalduv kirjeldav element, mis tähistab kõnealust luba kui „kasiino tegevusluba“.</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Seega tuleb märkida, et hasartmänguseaduse artikli 6 lõige 1 ei ole „muu nõue“ direktiivi 98/34 artikli 1 punkti 4 tähenduses, kuna selles siseriiklikus sättes nõutav luba hasartmängude korraldamiseks kujutab endast nende mängude korraldamiseks kehtestatud tingimust, erinevalt sama seaduse artikli 14 lõikest 1, mis esitab asjaomastele toodetele tingimused, keelates nende käitamise mujal kui kasiinodes.</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Väljakujunenud kohtupraktika kohaselt ei ole tehnilised eeskirjad direktiivi 98/34 artikli 1 punkti 11 tähenduses tehnilised eeskirjad, mis näevad ette üksnes ettevõtjate asutamise või teenuste osutamise tingimused, näiteks sätted, mille kohaselt on äritegevuseks vaja eelnevat luba (vt selle kohta 4. veebruari 2016. aasta kohtuotsus Ince, C-336/14, EU:C:2016:72, punkt 76 ja seal viidatud kohtupraktika).“</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27. </w:t>
      </w:r>
      <w:hyperlink r:id="rId42" w:history="1">
        <w:r>
          <w:rPr>
            <w:color w:val="0000FF"/>
            <w:u w:val="single"/>
          </w:rPr>
          <w:t xml:space="preserve">oktoobri 2016. aasta kohtuotsus James</w:t>
        </w:r>
      </w:hyperlink>
      <w:r>
        <w:t xml:space="preserve"> Elliott Construction, C-613/14, EU:C:2016:821, punktid 67–69.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Siseriiklikud õigusnormid, mis näevad ette kaudsed lepingulised tingimused müüdavate toodete turustuskvaliteedi, kasutuskõlblikkuse või kvaliteedi kohta, ei ole „muud nõuded“, kuna nende üldine laad ei mõjuta tõenäoliselt oluliselt asjaomaste toodete koostist, laadi või turustamist.</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Käesoleval juhul ilmneb esiteks, et sellised sätted, nagu on kõne all põhikohtuasjas, ei kuulu iseenesest ega Iiri kohtute tõlgenduse kohaselt mõiste „tehniline spetsifikatsioon“ alla direktiivi 98/34 artikli 1 punkti 3 tähenduses. See mõiste hõlmab üksnes riigisiseseid meetmeid, mis viitavad tootele või selle pakendile kui sellisele ja määravad seega kindlaks toote ühe nõutava omaduse (10. juuli 2014. aasta kohtuotsus Ivansson jt, C-307/13, EU:C:2014:2058, punkt 19 ja seal viidatud kohtupraktika). Samas ei ole see ilmselgelt nii nõuete puhul, mida kohaldatakse juhul, kui pooled ei ole teisti kokku leppinud, igasuguste toodete müügi suhtes üldiselt.</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Teiseks ja samal põhjusel ei saa neid sätteid kvalifitseerida „muudeks nõueteks“ direktiivi 98/34 artikli 1 punkti 4 tähenduses.</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Sellega seoses on Euroopa Kohus täpsustanud, et selleks, et kõnealuseid riigisiseseid meetmeid saaks kvalifitseerida „muudeks nõueteks“ selle sätte tähenduses, peavad need olema tingimused, mis võivad oluliselt mõjutada asjaomase toote koostist, laadi või turustamist, kuna üldist laadi nõuded ei saa olla sellisteks tingimusteks ega seega kvalifitseerida „muudeks nõueteks“ (vt 10. juuli 2014. aasta kohtuotsus Ivansson jt, C-307/13, EU:C:2014:2058, punktid 26 ja 27 ning seal viidatud kohtupraktika).“</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Kohtuotsus, 1. veebruar 2017</w:t>
        </w:r>
      </w:hyperlink>
      <w:r>
        <w:t xml:space="preserve">, Município de Palmela, C-144/16, EU:C:2017:76, punktid 23 ja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Säte, millega kehtestatakse tootele tarbijakaitse eesmärgil kehtestatud pakendamisnõuded, on „muu nõue“, sest see on seotud toodete olelusringiga pärast turule laskmist ning mõjutab märkimisväärselt nende koostist ja turustamist.</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Seevastu määrus, millega nõutakse, et teave vabaajaala maksimaalse mahutavuse kohta tuleb esitada mitmes kohas selles piirkonnas, ei ole oma üldise laadi tõttu „muu nõue“.</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EJR määruse (muudetud dekreetseadusega nr 119/2009) artikli 16 lõigete 1 ja 2 kohta tuleb nentida nagu eelotsusetaotluse esitanud kohus, et need kujutavad endast tõepoolest tehnilist eeskirja direktiivide 83/189 ja 98/34 tähenduses, kuna need sätted näevad ette tootele tarbijakaitse eesmärgil esitatavad nõuded, mis on suunatud kogu turuleviimise järgsele elutsüklile ja mõjutavad olulisel määral sellise toote koostist ja turustamist. Seega kuulub see säte „muude nõuete“ kategooriasse nii direktiivi 83/189 artikli 1 lõike 3 kui ka direktiivi 98/34 artikli 1 punkti 4 tähenduses.“</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selline säte, nagu on kõne all põhikohtuasjas, ei kujuta endast „muud nõuet“ direktiivi 98/34 artikli 1 punkti 4 tähenduses, võttes arvesse selles sätestatud nõuete üldist laadi (vt selle kohta 9. juuni 2011. aasta kohtuotsus Intercommunale Intermosane ja Fédération de l’industrie et du gaz, C 361/10</w:t>
        <w:noBreakHyphen/>
        <w:t xml:space="preserve">, EU:C:2011:382, punkt 21). Seevastu ei sisalda see ühtegi keeldu, mis kuuluks selle direktiivi artikli 1 lõikes 11 sätestatud keeldude kategooriasse.“</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t xml:space="preserve">26. septembri 2018. aasta </w:t>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kohtuotsus</w:t>
      </w:r>
      <w:r>
        <w:rPr>
          <w:b/>
          <w:bCs/>
          <w:i/>
          <w:iCs/>
          <w:color w:val="0000FF"/>
          <w:sz w:val="22"/>
          <w:szCs w:val="22"/>
          <w:u w:val="single"/>
        </w:rPr>
        <w:fldChar w:fldCharType="end"/>
        <w:t xml:space="preserve">Van Gennip jt, C-137/17, EU:C:2018:771, punktid 39 ja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Siseriiklikud õigusnormid, mis seavad toodete turustamise tingimuseks, et ostjal peab olema luba, ei kuulu mõiste „muud nõuded“ alla, kuna tegemist on tingimusega, mis on kehtestatud mitte toodetele, vaid ostjatele.</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kategooria „muud nõuded“ kohta tuleb märkida, et selleks, et riigisisest meedet saaks kvalifitseerida „muudeks nõueteks“ direktiivi 98/34 artikli 1 punkti 4 tähenduses, peab see olema „tingimus“, mis võib oluliselt mõjutada asjaomase toote koostist, laadi või turustamist (13. oktoobri 2016. aasta kohtuotsus M. ja S., C-303/15, EU:C:2016:771, punkt 20 ja seal viidatud kohtupraktika).</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Sellega seoses tuleb märkida, et nagu märkis ka kohtujurist oma ettepaneku punktis 76, peab Belgia õigusnormide kohaselt selliste pürotehniliste toodete müügiks, mille pürotehniliste ainete sisaldus on suurem kui 1 kg, ostja saama loa. Seega ei ole nõutav luba asjaomase toote, vaid potentsiaalsete ostjate ja kaudselt pürotehnilisi tooteid müüvate ettevõtjate jaoks nõutav (vt selle kohta 21. aprilli 2005. aasta kohtuotsus Lindberg, C-267/03, EU:C:2005:246, punkt 87, ning 13. oktoobri 2016. aasta kohtuotsus M. ja S., C-303/15, EU:C:2016:771, punkt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28. </w:t>
      </w:r>
      <w:hyperlink r:id="rId44" w:anchor="ctx1" w:history="1">
        <w:r>
          <w:rPr>
            <w:color w:val="0000FF"/>
            <w:u w:val="single"/>
          </w:rPr>
          <w:t xml:space="preserve">mai 2020. aasta kohtuotsus ECO</w:t>
        </w:r>
      </w:hyperlink>
      <w:r>
        <w:t xml:space="preserve"> -WIND Construction, C-727/17, EU:C:2020:393, punktid 40 ja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Määrus, millega kehtestatakse tuuleturbiinide paigaldamiseks minimaalne vahemaa, ei kuulu „muude nõuete“ kategooriasse, kuna selle mõju asjaomaste toodete turustamisele ei ole piisavalt otsene.</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väljakujunenud kohtupraktikast tuleneb, et sellesse kategooriasse kuuluvad õigusnormid, mis kehtestavad tingimuse, mis võib oluliselt mõjutada toote koostist, laadi või turustamist (21. aprilli 2005. aasta kohtuotsus Lindberg, C-267/03, EU:C:2005:246, punktid 69–72, ja 19. juuli 2012. aasta kohtuotsus Fortuna jt, C-213/11, C-214/11 ja C-217/11, EU:C:2012:495, punkt 35), kusjuures need „muud nõuded“ hõlmavad nõudeid, mis tulenevad asjaomase toote olelusringi arvessevõtmisest pärast turule laskmist ja puudutavad eelkõige selle kasutamist.</w:t>
      </w:r>
    </w:p>
    <w:p w14:paraId="15144425" w14:textId="77777777">
      <w:pPr>
        <w:pStyle w:val="P68B1DB1-BodyText19"/>
        <w:ind w:left="567"/>
        <w:rPr>
          <w:iCs/>
        </w:rPr>
      </w:pPr>
    </w:p>
    <w:p w14:paraId="45870460" w14:textId="6B88BEBE">
      <w:pPr>
        <w:pStyle w:val="P68B1DB1-BodyText19"/>
        <w:ind w:left="567"/>
        <w:rPr>
          <w:iCs/>
        </w:rPr>
      </w:pPr>
      <w:r>
        <w:t xml:space="preserve">41. Käesoleval juhul tuleb aga sarnaselt käesoleva kohtuotsuse punktis 37 esitatud hinnanguga märkida, et nõue, mille kohaselt tuulegeneraatori paigaldamisel tuleb kinni pidada minimaalsest vahemaast tuulegeneraatori ja elamute vahel, ei ole otseselt seotud sellise toote nagu tuulegeneraator koostise, olemuse või turustamisega. Isegi kui eeldada, et see nõue toob kaasa tuuleturbiinide paigaldamiseks sobivate kohtade piiramise ja seega mõjutab see tuulegeneraatorite turustamist, ei oleks see mõju piisavalt otsene, et see nõue kuuluks direktiivi 2015/1535 artikli 1 lõike 1 punktis f sätestatud „muude nõuete“ kategooriasse.“</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r>
        <w:rPr>
          <w:rFonts w:ascii="Times New Roman" w:hAnsi="Times New Roman" w:cs="Times New Roman" w:eastAsia="Times New Roman"/>
          <w:b/>
          <w:i/>
          <w:szCs w:val="20"/>
        </w:rPr>
        <w:t xml:space="preserve">4. </w:t>
      </w:r>
      <w:hyperlink r:id="rId45" w:history="1">
        <w:r>
          <w:rPr>
            <w:rStyle w:val="Hyperlink"/>
            <w:rFonts w:ascii="Times New Roman" w:hAnsi="Times New Roman" w:cs="Times New Roman" w:eastAsia="Times New Roman"/>
            <w:b/>
            <w:i/>
            <w:color w:val="0000FF"/>
            <w:szCs w:val="20"/>
          </w:rPr>
          <w:t xml:space="preserve">novembri 2022. aasta kohtuotsus Phytofar</w:t>
        </w:r>
      </w:hyperlink>
      <w:r>
        <w:rPr>
          <w:rFonts w:ascii="Times New Roman" w:hAnsi="Times New Roman" w:cs="Times New Roman" w:eastAsia="Times New Roman"/>
          <w:b/>
          <w:i/>
          <w:szCs w:val="20"/>
        </w:rPr>
        <w:t xml:space="preserve">, C 658/21</w:t>
        <w:noBreakHyphen/>
        <w:t xml:space="preserve">, EU:C:2022:925, punktid 36–42.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Õigusnormid, mis keelavad isikutel, kellel ei ole spetsialistidele luba, kasutada glüfosaati sisaldavaid pestitsiide, kujutavad endast tõenäoliselt „muud nõuet“, kuna need võivad oluliselt mõjutada glüfosaadi turustamist. Selle mõju olulisust hinnatakse lähtuvalt asjaomaste toodete ostumahust ja müügiharjumuste muutumisest.</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Käesoleval juhul nähtub kõigepealt 14. juuli 2017. aasta määruse preambulist, et sellega kehtestatud keelu eesmärk on inimeste tervise ja keskkonna kaitse.</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Järgmiseks tuleb märkida, et see keeld puudutab glüfosaati sisaldavate pestitsiidide elutsüklit pärast turuleviimist, sest sellega kehtestatakse nende toodete kasutamise tingimus, kuna erakasutuseks mõeldud maatükkidel on lubatud neid kasutada üksnes fütolitsentsi omavatel kutseala esindajatel.</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Lõpuks tuleb tõdeda, et selline keeld võib mõjutada asjaomaste toodete turustamist.</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Nimelt kaob selle meetme tagajärjel üks glüfosaati sisaldavate pestitsiidide võimalike ostjate kategooriatest, see tähendab selliste füüsiliste isikute kategooria, kes soovivad selliseid pestitsiide ise kasutada, kasutamata nõutavat fütolitsentsi omavate kutseala esindajate teenuseid. Glüfosaati sisaldavate pestitsiidide kasutamise võimaluse selline piiramine mõjutab seega nende turustamist (vt analoogia alusel 13. oktoobri 2016. aasta kohtuotsus M. ja S., C-303/15, EU:C:2016:771, punkt 26 ja seal viidatud kohtupraktika).</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Ent nagu märgib komisjon oma kirjalikes seisukohtades, on selleks, et 14. juuli 2017. aasta määrusega kehtestatud meedet saaks kvalifitseerida „tehnilisteks eeskirjadeks“, mis kuuluvad direktiivi 2015/1535 artikli 1 lõike 1 punktide d ja f tähenduses „muude nõuete“ kategooriasse, vaja, et see meede mõjutaks „oluliselt“ glüfosaati sisaldavate pestitsiidide turustamist.</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Eelotsusetaotluse esitanud kohtu ülesanne on kontrollida, kas käesoleval juhul on see nii.</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Selle hindamise käigus võib eelotsusetaotluse esitanud kohus arvesse võtta eelkõige glüfosaati sisaldavate pestitsiidide Flaami piirkonna territooriumil müügi kogumahtu ja iga ostjakategooria ostuharjumuste muutumist, lähtudes nende ostude sagedusest ja ostetud toote kogusest, samuti ostukohtade ja turustuskanalite muutusest. Selles kontekstis võib nimetatud kohus arvesse võtta ühelt poolt seda, mil määral kutseliste kasutajate nõue asendab nende isikute oma, kes kasutavad professionaalsete kasutajate teenuseid, ja teiselt poolt, mil määral saavad üksikkasutajad nüüd seda ainet sisaldavate pestitsiidide asemel glüfosaadivabasid pestitsiide.“</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r>
        <w:rPr>
          <w:rFonts w:ascii="Times New Roman" w:hAnsi="Times New Roman" w:cs="Times New Roman" w:eastAsia="Times New Roman"/>
          <w:b/>
          <w:i/>
          <w:szCs w:val="20"/>
        </w:rPr>
        <w:t xml:space="preserve">9. </w:t>
      </w:r>
      <w:hyperlink r:id="rId46" w:history="1">
        <w:r>
          <w:rPr>
            <w:rStyle w:val="Hyperlink"/>
            <w:rFonts w:ascii="Times New Roman" w:hAnsi="Times New Roman" w:cs="Times New Roman" w:eastAsia="Times New Roman"/>
            <w:b/>
            <w:i/>
            <w:color w:val="0000FF"/>
            <w:szCs w:val="20"/>
          </w:rPr>
          <w:t xml:space="preserve">märtsi 2023. aasta kohtuotsus Vapo</w:t>
        </w:r>
      </w:hyperlink>
      <w:r>
        <w:rPr>
          <w:rFonts w:ascii="Times New Roman" w:hAnsi="Times New Roman" w:cs="Times New Roman" w:eastAsia="Times New Roman"/>
          <w:b/>
          <w:i/>
          <w:szCs w:val="20"/>
        </w:rPr>
        <w:t xml:space="preserve"> Atlantic, C-604/21, EU:C:2023:175, punktid 40 ja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Siseriiklikud õigusaktid, mis kohustavad mootorikütust tarbimisse lubavaid ettevõtjaid aitama kaasa biokütuste mootorikütustesse lisamise eesmärkide saavutamisele ja mille rikkumine võib kaasa tuua finantssanktsioonid, võivad oluliselt mõjutada kütuste turustamist. Seega on tegemist „muu nõudega“.</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Käesoleval juhul puudutavad eelotsusetaotluse esitanud kohtu küsimused riigisiseseid õigusnorme, mis nõuavad ettevõtjatelt, kes lubavad tarbimisse mootorikütust, v.a LPG ja maagaas, et nad aitaksid saavutada eesmärke, mis on seotud biokütuse kasutamisega nende poolt tarbimisse lubatava mootorikütuse iga-aastases koguses, st eesmärki, mis oli 2020. aastal 10 %. Isegi kui sellistes õigusnormides ei ole täpsustatud, millist liiki mootorikütust on silmas peetud, ega kindlaks määratud selle biokütuse protsendimäära, mis tuleb mootorikütusesse füüsiliselt lisada, ega täpsustatud seda, millist tüüpi biokütust tuleb kasutada, puudutab neis ette nähtud nõue, mis on vastu võetud keskkonnakaitse eesmärgil, mootorikütuse kasutustsüklit pärast nende turuleviimist ning see võib oluliselt mõjutada nende toodete turustamist, kuna neis ette nähtud biokütuse kasutamise kohustuse rikkumine võib kaasa tuua rahalise hüvitise maksmise kohustuse.</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Sellest järeldub, et riigisisene õigusnorm, mis seab eesmärgi, mille kohaselt tuleb 10 % biokütuseid lisada 2020. aastal ettevõtja poolt tarbimisse lubatud mootorikütustesse, kuulub mõiste „muud nõuded“ alla direktiivi 98/34 artikli 1 punkti 4 tähenduses ja kujutab endast seega „tehnilist eeskirja“ selle direktiivi artikli 1 punkti 11 tähenduses.“</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Teenuste eeskirjad</w:t>
      </w:r>
      <w:bookmarkEnd w:id="5"/>
      <w:bookmarkEnd w:id="68"/>
      <w:bookmarkEnd w:id="69"/>
    </w:p>
    <w:p w14:paraId="19E12A03" w14:textId="77777777">
      <w:pPr>
        <w:pStyle w:val="BodyText"/>
      </w:pPr>
    </w:p>
    <w:p w14:paraId="6D8B2150" w14:textId="77777777">
      <w:pPr>
        <w:pStyle w:val="P68B1DB1-BodyText11"/>
        <w:ind w:left="567"/>
        <w:rPr>
          <w:iCs/>
        </w:rPr>
      </w:pPr>
      <w:r>
        <w:t xml:space="preserve">„teenuseid käsitlev eeskiri“ – üldist laadi nõue, mis on seotud teenuste osutamise alustamise ja jätkamisega punkti b tähenduses, eelkõige teenuseosutajat, teenuseid ja teenuste saajat käsitlevad sätted, välja arvatud eeskirjad, mis ei ole konkreetselt suunatud kõnealuses punktis määratletud teenustele. </w:t>
      </w:r>
    </w:p>
    <w:p w14:paraId="7C9B8AC3" w14:textId="77777777">
      <w:pPr>
        <w:pStyle w:val="P68B1DB1-BodyText11"/>
        <w:ind w:left="567"/>
        <w:rPr>
          <w:iCs/>
        </w:rPr>
      </w:pPr>
    </w:p>
    <w:p w14:paraId="46FCE36C" w14:textId="0D89DACC">
      <w:pPr>
        <w:pStyle w:val="P68B1DB1-BodyText11"/>
        <w:ind w:left="567"/>
        <w:rPr>
          <w:iCs/>
        </w:rPr>
      </w:pPr>
      <w:r>
        <w:t xml:space="preserve">Käesolevas määratluses: </w:t>
      </w:r>
    </w:p>
    <w:p w14:paraId="0FA17B64" w14:textId="77777777">
      <w:pPr>
        <w:pStyle w:val="P68B1DB1-BodyText11"/>
        <w:ind w:left="567"/>
        <w:rPr>
          <w:iCs/>
        </w:rPr>
      </w:pPr>
    </w:p>
    <w:p w14:paraId="5287D99C" w14:textId="40B4253E">
      <w:pPr>
        <w:pStyle w:val="P68B1DB1-BodyText11"/>
        <w:numPr>
          <w:ilvl w:val="0"/>
          <w:numId w:val="30"/>
        </w:numPr>
        <w:rPr>
          <w:iCs/>
        </w:rPr>
      </w:pPr>
      <w:r>
        <w:t xml:space="preserve">peetakse eeskirja konkreetselt infoühiskonna teenustele suunatuks, kui selle põhjenduste või regulatiivosa kõigi sätete või mõne üksiksätte konkreetseks eesmärgiks on reguleerida nimetatud teenuseid otsesel ja sihikindlal viisil; </w:t>
      </w:r>
    </w:p>
    <w:p w14:paraId="112BC54B" w14:textId="13ACB17B">
      <w:pPr>
        <w:pStyle w:val="P68B1DB1-BodyText11"/>
        <w:numPr>
          <w:ilvl w:val="0"/>
          <w:numId w:val="30"/>
        </w:numPr>
        <w:rPr>
          <w:iCs/>
        </w:rPr>
      </w:pPr>
      <w:r>
        <w:t xml:space="preserve">eeskirja ei loeta konkreetselt infoühiskonna teenustele suunatuks, kui see mõjutab selliseid teenuseid üksnes kaudselt või juhuslikult;“</w:t>
      </w:r>
    </w:p>
    <w:p w14:paraId="573C811F" w14:textId="77777777">
      <w:pPr>
        <w:pStyle w:val="BodyText"/>
        <w:ind w:left="567"/>
        <w:rPr>
          <w:i/>
          <w:iCs/>
        </w:rPr>
      </w:pPr>
    </w:p>
    <w:p w14:paraId="2735376A" w14:textId="709F0465">
      <w:pPr>
        <w:pStyle w:val="BodyText"/>
        <w:ind w:left="1440"/>
        <w:jc w:val="right"/>
      </w:pPr>
      <w:r>
        <w:t xml:space="preserve">(Direktiivi (EL) 2015/1535 artikli 1 lõike 1 punkt e)</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„teenus“ – infoühiskonna teenus, st mis tahes vahemaa tagant elektroonilisel teel ja teenusesaaja isikliku taotluse alusel ja tavaliselt tasu eest osutatav teenus.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Käesolevas määratluses: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„vahemaa tagant“, et teenust osutatakse ilma poolte üheaegse kohalolekuta;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„elektrooniliselt“ – teenus saadetakse ja võetakse sihtkohas vastu elektrooniliste andmetöötlus- (sealhulgas digitaalse pakkimis-) ja salvestusseadmete abil ning see edastatakse, edastatakse ja võetakse vastu täielikult kaabli, raadio, optiliste vahendite või muude elektromagnetiliste vahendite abil;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„teenusesaaja isikliku taotluse alusel“ tähendab, et teenust osutatakse andmete edastamise teel isikliku taotluse alusel.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Käesoleva määratlusega hõlmamata teenuste soovituslik loetelu on esitatud I lisas;“</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(Direktiivi (EL) 2015/1535 artikli 1 lõike 1 punkt b)</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„Artikli 1 lõike 1 punkti b teise lõiguga hõlmamata teenuste soovituslik loetelu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Teenused, mida ei osutata „vahemaa tagant“</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Teenused, mida osutatakse teenusepakkuja ja teenuse tarbija füüsilisel juuresolekul, isegi kui seejuures kasutatakse elektroonilisi seadmeid: </w:t>
      </w:r>
    </w:p>
    <w:p w14:paraId="3362CCDE" w14:textId="74A453DA">
      <w:pPr>
        <w:spacing w:after="0" w:line="240" w:lineRule="auto"/>
        <w:ind w:left="1287"/>
        <w:rPr>
          <w:rFonts w:ascii="Times New Roman" w:hAnsi="Times New Roman" w:cs="Times New Roman"/>
          <w:i/>
          <w:sz w:val="24"/>
          <w:szCs w:val="24"/>
        </w:rPr>
        <w:pStyle w:val="P68B1DB1-Normal12"/>
      </w:pPr>
      <w:r>
        <w:t xml:space="preserve">a) arstlik läbivaatus või ravi arstikirurgias elektrooniliste seadmete abil, kus patsient füüsiliselt viibib;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elektroonilise kataloogiga tutvumine kaupluses kliendiga kohapeal; </w:t>
      </w:r>
    </w:p>
    <w:p w14:paraId="7DA6C469" w14:textId="5F31D5B1">
      <w:pPr>
        <w:spacing w:after="0" w:line="240" w:lineRule="auto"/>
        <w:ind w:left="1287"/>
        <w:rPr>
          <w:rFonts w:ascii="Times New Roman" w:hAnsi="Times New Roman" w:cs="Times New Roman"/>
          <w:i/>
          <w:sz w:val="24"/>
          <w:szCs w:val="24"/>
        </w:rPr>
        <w:pStyle w:val="P68B1DB1-Normal12"/>
      </w:pPr>
      <w:r>
        <w:t xml:space="preserve">C) lennukipileti broneerimine reisibüroos kliendi füüsilisel kohalolekul arvutivõrgu kaudu; </w:t>
      </w:r>
    </w:p>
    <w:p w14:paraId="01C9EFAD" w14:textId="77777777">
      <w:pPr>
        <w:spacing w:after="0" w:line="240" w:lineRule="auto"/>
        <w:ind w:left="1287"/>
        <w:rPr>
          <w:rFonts w:ascii="Times New Roman" w:hAnsi="Times New Roman" w:cs="Times New Roman"/>
          <w:i/>
          <w:sz w:val="24"/>
          <w:szCs w:val="24"/>
        </w:rPr>
        <w:pStyle w:val="P68B1DB1-Normal12"/>
      </w:pPr>
      <w:r>
        <w:t xml:space="preserve">d) elektroonilised mängud, mis tehakse kättesaadavaks videoakadeemias, kus klient füüsiliselt kohal viibib.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Teenused, mida ei osutata „elektroonilisel teel“</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materiaalse sisuga teenused, isegi kui neid osutatakse elektrooniliste seadmete kaudu: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automaatsed sularaha- või piletimüügiautomaadid (pangatähed, rongipiletid); </w:t>
      </w:r>
    </w:p>
    <w:p w14:paraId="07693B6B" w14:textId="1A59726A">
      <w:pPr>
        <w:spacing w:after="0" w:line="240" w:lineRule="auto"/>
        <w:ind w:left="1287"/>
        <w:rPr>
          <w:rFonts w:ascii="Times New Roman" w:hAnsi="Times New Roman" w:cs="Times New Roman"/>
          <w:i/>
          <w:sz w:val="24"/>
          <w:szCs w:val="24"/>
        </w:rPr>
        <w:pStyle w:val="P68B1DB1-Normal12"/>
      </w:pPr>
      <w:r>
        <w:t xml:space="preserve">b) juurdepääs teedevõrkudele, parklatele jne, kasutustasu isegi juhul, kui sissepääsu/väljapääsu juures on elektroonilised seadmed, mis kontrollivad juurdepääsu ja/või tagavad nõuetekohase tasu maksmise; </w:t>
      </w:r>
    </w:p>
    <w:p w14:paraId="6B193BE7" w14:textId="77777777">
      <w:pPr>
        <w:spacing w:after="0" w:line="240" w:lineRule="auto"/>
        <w:ind w:left="567"/>
        <w:rPr>
          <w:rFonts w:ascii="Times New Roman" w:hAnsi="Times New Roman" w:cs="Times New Roman"/>
          <w:i/>
          <w:sz w:val="24"/>
          <w:szCs w:val="24"/>
        </w:rPr>
        <w:pStyle w:val="P68B1DB1-Normal12"/>
      </w:pPr>
      <w:r>
        <w:t xml:space="preserve">– veebivälised teenused: CD-ROMide või tarkvara levitamine disketitel, </w:t>
      </w:r>
    </w:p>
    <w:p w14:paraId="421C0A6C" w14:textId="77777777">
      <w:pPr>
        <w:spacing w:after="0" w:line="240" w:lineRule="auto"/>
        <w:ind w:left="567"/>
        <w:rPr>
          <w:rFonts w:ascii="Times New Roman" w:hAnsi="Times New Roman" w:cs="Times New Roman"/>
          <w:i/>
          <w:sz w:val="24"/>
          <w:szCs w:val="24"/>
        </w:rPr>
        <w:pStyle w:val="P68B1DB1-Normal12"/>
      </w:pPr>
      <w:r>
        <w:t xml:space="preserve">– teenused, mida ei osutata elektrooniliste andmetöötlus-/inventarisüsteemide kaudu: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telefonsideteenused;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faksi/telelexi teenused;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telefoni- või faksi teel osutatavad teenused;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arstiga konsulteerimine telefoni/faksi teel;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telefoni/faksi teel konsulteerimine advokaadiga;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telefoni/faksi otseturustus.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Teenused, mida ei osutata „teenusesaaja isikliku taotluse põhjal“</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Teenused, mida osutatakse, edastades andmeid üksikisiku nõudeta, ning mis on mõeldud samaaegselt piiramatule arvule vastuvõtjatele (rühmaedastus): </w:t>
      </w:r>
    </w:p>
    <w:p w14:paraId="7348FF90" w14:textId="622E29E3">
      <w:pPr>
        <w:spacing w:after="0" w:line="240" w:lineRule="auto"/>
        <w:ind w:left="1287"/>
        <w:rPr>
          <w:rFonts w:ascii="Times New Roman" w:hAnsi="Times New Roman" w:cs="Times New Roman"/>
          <w:i/>
          <w:sz w:val="24"/>
          <w:szCs w:val="24"/>
        </w:rPr>
        <w:pStyle w:val="P68B1DB1-Normal12"/>
      </w:pPr>
      <w:r>
        <w:t xml:space="preserve">a) direktiivi 2010/13/EL artikli 1 lõike 1 punktiga e hõlmatud teleringhäälinguteenused (sealhulgas tellitavad videolähedased teenused);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raadioringhäälinguteenused; </w:t>
      </w:r>
    </w:p>
    <w:p w14:paraId="50FD6B17" w14:textId="6C6940F1">
      <w:pPr>
        <w:spacing w:after="0" w:line="240" w:lineRule="auto"/>
        <w:ind w:left="567" w:firstLine="720"/>
        <w:pStyle w:val="P68B1DB1-Normal12"/>
      </w:pPr>
      <w:r>
        <w:t xml:space="preserve">C) (televisioon) teletekst.“</w:t>
      </w:r>
    </w:p>
    <w:p w14:paraId="4CB8A09D" w14:textId="49490E91">
      <w:pPr>
        <w:pStyle w:val="BodyText"/>
        <w:ind w:left="1440"/>
        <w:jc w:val="right"/>
      </w:pPr>
      <w:r>
        <w:t xml:space="preserve">(Direktiivi (EL) 2015/1535 I lisa)</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Kohtuotsus, 2. juuni 2005</w:t>
        </w:r>
      </w:hyperlink>
      <w:r>
        <w:rPr>
          <w:rFonts w:ascii="Times New Roman" w:hAnsi="Times New Roman" w:cs="Times New Roman" w:eastAsia="Times New Roman"/>
          <w:b/>
          <w:i/>
          <w:szCs w:val="20"/>
        </w:rPr>
        <w:t xml:space="preserve">, Mediakabel BV, C-89/04, EU:C:2005:348, punktid 38 ja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Abonendi taotlusel kättesaadavaks tehtud teleringhäälinguteenus, mille filmide sageduse ja ajastuse määrab kindlaks teenuseosutaja, ei kujuta endast „infoühiskonna teenust“, kuna teenuseosutaja valib ja kavandab sisu ning seetõttu ei edastata seda teenusesaaja isikliku taotluse alusel.</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Isegi kui kõnealune teenus vastab „infoühiskonna teenuse“ mõiste direktiivi 98/34 artikli 1 punkti 2 tähenduses kahele esimesele kriteeriumile, st seda osutatakse vahemaa tagant ja elektrooniliste seadmete abil, siis ei vasta see kõnealuse mõiste kolmandale kriteeriumile, mille kohaselt asjaomast teenust peab osutama „teenusesaaja isikliku taotluse alusel“. Sellise teenuse nagu „Filmtime“ raames pakutavate filmide loendi koostab teenuse pakkuja. Seda filmide valikut pakutakse kõigile tellijaile samadel tingimustel kas ajakirjades või teleekraanil esitatava teabe vahendusel ja kõnealused filmid on kättesaadavad teenuse pakkuja poolt määratud saateaegadel. Filmidele juurdepääsu võimaldav isiklik parool on ainult telepildi, mille signaal on suunatud samaaegselt kõigile tellijatele, dekodeerimise vahend.</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Seega ei telli seda teenust isikliku taotluse alusel iseseisev subjekt, kellel on võimalus interaktiivses keskkonnas programmide seast vabalt valida. Seda tuleb käsitada tellitava videoteenusena, mida osutatakse „punktist mitme punktini“, mitte „teenusesaaja isikliku taotluse alusel“.</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Kohtuotsus, 2. veebruar 2016</w:t>
        </w:r>
      </w:hyperlink>
      <w:r>
        <w:t xml:space="preserve">, Ince, C-336/14, EU:C:2016:72, punktid 75 ja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Siseriiklikke sätteid, mis piiravad online-hasartmängude pakkumist või keelavad selliste mängude internetireklaami, võib pidada „teenuseid käsitlevateks eeskirjadeks“, kuna need puudutavad „infoühiskonna teenust“. Seevastu sätted, millega nõutakse hasartmängukorraldajatelt eelnevat luba või millega keelatakse sellise loa andmine eraettevõtjatele, on seotud ettevõtjate asutamise tingimustega ega kujuta endast seega „teenuseid käsitlevaid eeskirju“.</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mõned hasartmängulepingu sätted võib kvalifitseerida „teenuseid käsitlevateks eeskirjadeks“, kui need puudutavad „infoühiskonna teenust“ direktiivi 98/34 artikli 1 lõike 2 tähenduses. Nende sätete hulka kuulub GlüStV § 4 lõikes 4 sätestatud keeld pakkuda hasartmänge internetis, GlüStV § 25 lõikes 6 loetletud erandid sellest keelust, GlüStV § 21 lõikes 2 esitatud piirangud pakkuda spordikihlvedusid elektrooniliste sidevahendite kaudu, samuti GlüStV § 5 lõikes 3 sisalduv keeld levitada hasartmängude reklaame internetis või sidevahendite kaudu.</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Muud kui direktiivi 98/34 artikli 1 punkti 2 tähenduses „infoühiskonna teenuseid“ käsitlevad GlüStV sätted, näiteks sätted, mis kehtestavad kohustuse omandada tegevusluba spordikihlvedude korraldamise või panuste vastuvõtmisega tegelemiseks ning võimatuse anda selline tegevusluba eraettevõtjatele, ei kujuta endast seevastu „tehnilisi eeskirju“ nimetatud direktiivi artikli 1 punkti 11 tähenduses. Siseriiklikud õigusnormid, mis piirduvad ettevõtjate asutamise või teenuste osutamise tingimuste sätestamisega, näiteks sätted, mille kohaselt on tegevuseks vaja eelnevat luba, ei kujuta endast tehnilisi eeskirju selle sätte tähenduses (vt selle kohta kohtuotsus Lindberg, C-267/03, EU:C:2005:246, punkt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Kohtuotsus, Euroopa Kohus, 13. oktoober 2016</w:t>
        </w:r>
      </w:hyperlink>
      <w:r>
        <w:t xml:space="preserve">, Naczelnik Urzędu Celnego I w., C 303/15</w:t>
        <w:noBreakHyphen/>
        <w:t xml:space="preserve">, EU:C:2016:771, punkt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Säte, mis seab hasartmängudega tegelemise tingimuseks kasiino tegevusloa omamise, ei kujuta endast „teenuseid käsitlevat eeskirja“, kuna see ei puuduta „infoühiskonna teenust“.</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seda sätet ei saa liigitada „infoühiskonna teenuseid käsitlevate eeskirjade“ kategooriasse direktiivi 98/34 artikli 1 punkti 5 tähenduses, kuna see ei puuduta „infoühiskonna teenust“ selle direktiivi artikli 1 lõike 2 tähenduses.“</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t xml:space="preserve">20. detsembri 2017. aasta </w:t>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kohtuotsus</w:t>
      </w:r>
      <w:r>
        <w:rPr>
          <w:color w:val="0000FF"/>
          <w:u w:val="single"/>
        </w:rPr>
        <w:fldChar w:fldCharType="end"/>
        <w:t xml:space="preserve">Falbert jt, C 255/16</w:t>
        <w:noBreakHyphen/>
        <w:t xml:space="preserve">, EU:C:2017:983, punktid 27–29, 32 ja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Hasartmänge või reklaamiteenuseid käsitlevad siseriiklikud õigusnormid võivad kujutada endast „teenuseid käsitlevaid eeskirju“, kui need puudutavad otseselt kaugteenuseid elektroonilisel teel ja teenusesaaja isikliku taotluse alusel. Isegi kui selliste sätete sõnastus ei tee vahet internetipõhistel ja võrguvälistel teenustel, võib nende eesmärgi „infoühiskonna teenuste“ osas tuletada nende põhjendustest või </w:t>
      </w:r>
      <w:r>
        <w:rPr>
          <w:i/>
        </w:rPr>
        <w:t xml:space="preserve">ettevalmistavatest materjalidest</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Tuleb meeles pidada, et selle direktiivi artikli 1 punkti 2 kohaselt hõlmab see kategooria „tehnilisi eeskirju“ üksnes infoühiskonna teenuste eeskirju, teisisõnu kõiki vahemaa tagant elektroonilisel teel ja teenusesaaja isikliku taotluse alusel osutatavaid teenuseid (kohtuotsused, 13.10.2016, M. ja S., C-303/15, EU:C:2016:771, punkt 21, ning 1.2.2017, Município de Palmela, C-144/16, EU:C:2017:76, punkt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Sellega seoses tuleb märkida, et mängude seaduse § 10 lõike 3 punkt 3 puudutab põhimõtteliselt kahte liiki teenuseid ehk esiteks reklaamiteenused, mis on selles sättes ette nähtud sanktsioonide vahetu objekt, ja teiseks mängude teenuseid, mida reklaamikeeld hõlmab ja mis on mängude seaduse kui terviku peamine objekt.</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Nii reklaami- kui ka hasartmänguteenused, kui neid osutatakse muu hulgas elektrooniliselt (internetis), kujutavad endast „infoühiskonna teenuseid“ direktiivi 98/34 artikli 1 punkti 2 tähenduses ja nendega seotud eeskirju, mida võib seega pidada „teenuseid käsitlevateks eeskirjadeks“ direktiivi 98/34 artikli 1 punkti 5 tähenduses.“</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Sellega seoses tuleb esiteks märkida, et küsimus, kas eeskiri on suunatud konkreetselt infoühiskonna teenustele, tuleb direktiivi 98/34 artikli 1 punkti 5 esimese taande kohaselt selgeks teha, võttes arvesse nii selle eeskirja põhjendusi kui ka regulatiivosa. Pealegi ei ole sama sätte kohaselt nõutav, et kogu kõnealuse eeskirja eesmärk oleks reguleerida infoühiskonna teenuseid, mistõttu piisab, kui selle eeskirja teatavad sätted on suunatud sellele eesmärgile või objektile.</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Järelikult, kui üksnes siseriikliku õigusnormi sõnastusest ei nähtu, et selle eesmärk on vähemalt osaliselt reguleerida konkreetselt infoühiskonna teenuseid – nagu käesoleval juhul, kui sõnastuses ei tehta vahet võrguvälistel teenustel ja internetis osutatavatel teenustel –, siis võib selle eseme siiski üsna kergesti piiritleda õigusnormi esitatud põhjendustest, nagu käesoleval juhul ka asjakohaste siseriiklike tõlgendamiseeskirjade alusel, mis võimaldavad muu hulgas selle normi ettevalmistavaid materjale.“</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r>
        <w:t xml:space="preserve">20. </w:t>
      </w:r>
      <w:hyperlink r:id="rId50" w:history="1">
        <w:r>
          <w:rPr>
            <w:color w:val="0000FF"/>
            <w:u w:val="single"/>
          </w:rPr>
          <w:t xml:space="preserve">detsembri 2017. aasta kohtuotsus Asociación</w:t>
        </w:r>
      </w:hyperlink>
      <w:r>
        <w:t xml:space="preserve"> Profesional Elite Taxi, C 434/15</w:t>
        <w:noBreakHyphen/>
        <w:t xml:space="preserve">, EU:C:2017:981, punktid 37 ja 39–41.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Vahendusteenust, mis ühendab nutitelefoni rakenduse kaudu tasu eest oma sõidukeid kasutavad mittekutselised juhid linnatransporti otsivate isikutega, tuleb pidada transporditeenusega olemuslikult seotuks ja seega „transpordi valdkonna teenuseks“ (mitte „infoühiskonna teenuseks“).</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Tuleb siiski märkida, et selline teenus, nagu on kõne all põhikohtuasjas, on midagi enamat kui vahendusteenus, mis seisneb oma sõidukit kasutava mittekutselise juhi ühendamises nutitelefoni rakenduse abil isikuga, kes soovib linnasõitu teha.“</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Euroopa Kohtu käsutuses olevast teabest nähtub, et Uberi vahendusteenus põhineb oma autot kasutavate mittekutseliste juhtide valikul, kelle käsutusse annab see äriühing rakenduse, ilma milleta esiteks ei osutaks need juhid transporditeenust ja teiseks ei kasutaks linnas ühest kohast teise sõita soovivad isikud nende juhtide teenuseid. Lisaks on Uberil otsustav mõju sellele, millistel tingimustel need juhid teenust osutavad. Viimati mainitud seigaga seoses ilmneb nimelt, et Uber kehtestab samanimelise rakenduse kaudu vähemalt maksimaalse sõiduhinna, et ta võtab kliendilt sõiduhinna tasu ja kannab seejärel osa sellest tasust üle mittekutselisele autojuhile ning et tal on teatav kontroll autode ja juhtide kvaliteedi ja juhtide käitumise üle, mis võib vajaduse korral tuua kaasa juhtide väljaarvamise.</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Niisiis tuleb seda vahendusteenust pidada lahutamatuks osaks üldisest teenusest, mille põhikomponent on transporditeenus, ning järelikult ei ole see kvalifitseeritav mitte „infoühiskonna teenuseks“ direktiivi 98/34 artikli 1 punkti 2 – millele viitab direktiivi 2000/31 artikli 2 punkt a – tähenduses, vaid „transpordi valdkonna teenuseks“ direktiivi 2006/123 artikli 2 lõike 2 punkti d tähenduses.</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Seda kvalifikatsiooni kinnitab ka Euroopa Kohtu praktika, mille kohaselt hõlmab mõiste „transpordi valdkonna teenused“ mitte ainult veoteenuseid, vaid ka kõiki teenuseid, mis on olemuslikult seotud isikute või kaupade füüsilise liikumisega ühest kohast teise transpordivahendiga (vt selle kohta 15. oktoobri 2015. aasta kohtuotsus Grupo Itevelesa jt, C-168/14, EU:C:2015:685, punktid 45 ja 46, ning 16. mai 2017. aasta arvamus 2/15 (vabakaubandusleping Singapuriga), EU:C:2017:376, punkt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Aprilli 2018. aasta kohtuotsus Uber France</w:t>
        </w:r>
      </w:hyperlink>
      <w:r>
        <w:t xml:space="preserve">, C 320/16,</w:t>
        <w:noBreakHyphen/>
        <w:t xml:space="preserve">EU:C:2018:221, punktid 21 ja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Riigisisene õigusnorm, millega nähakse ette kriminaalkaristused klientide ja juhtide vahelise süsteemi korraldamise eest ilma vajaliku loata, puudutab „transpordi valdkonna teenust“ (ja mitte „infoühiskonna teenust“), kuna vahendusteenus, mille suhtes seda kohaldatakse, on lahutamatu osa üldisest teenusest, mille põhikomponent on transporditeenus.</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Euroopa Kohus leidis, et vahendusteenus, mida asjaomane äriühing osutab, oli lahutamatult seotud mitteavalike linnatransporditeenuste pakkumisega selle äriühingu poolt, arvestades esiteks asjaolu, et see äriühing esitas taotluse, ilma milleta neid juhte ei oleks veoteenuseid osutanud, ja isikud, kes soovisid linnasõitu teha, ei oleks kasutanud nende juhtide osutatavaid teenuseid, ning teiseks avaldas see äriühing otsustavat mõju tingimustele, mille alusel need juhid teenuseid osutasid, eelkõige määrates kindlaks maksimaalse piletihinna, kogudes selle kliendilt enne sõiduki mittekutselisele juhile osa maksmist ning kontrollides teataval määral sõidukite kvaliteeti, juhtidel ja nende käitumisel, mis võib teatud asjaoludel kaasa tuua nende väljaarvamise (vt selle kohta 20. detsembri 2017. aasta kohtuotsus Asociación Profesional Elite Taxi, C-434/15, EU:C:2017:981, punktid 38 ja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Nende asjaolude põhjal leidis Euroopa Kohus, et selles kohtuasjas kõne all olevat vahendusteenust tuleb pidada lahutamatuks osaks üldisest teenusest, mille põhikomponent oli transporditeenus, ning seega ei tule seda kvalifitseerida mitte „infoühiskonna teenuseks“ direktiivi 98/34 artikli 1 punkti 2 tähenduses, vaid „transpordi valdkonna teenuseks“ direktiivi 2006/123 artikli 2 punkti 2 alapunkti d tähenduses (vt selle kohta 20. detsembri 2017. aasta kohtuotsus Asociación Profesional Elite Taxi, C-434/15, EU:C:2017:981, punkt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r>
        <w:t xml:space="preserve">26. </w:t>
      </w:r>
      <w:hyperlink r:id="rId52" w:history="1">
        <w:r>
          <w:rPr>
            <w:color w:val="0000FF"/>
            <w:u w:val="single"/>
          </w:rPr>
          <w:t xml:space="preserve">septembri 2018. aasta kohtuotsus Van</w:t>
        </w:r>
      </w:hyperlink>
      <w:r>
        <w:t xml:space="preserve"> Gennip jt, C-137/17, EU:C:2018:771, punktid 42 ja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Siseriiklikud õigusnormid, mis seavad toodete turustamise sõltuvusse sellest, kas ostjal on luba, ei kuulu mõiste „teenuseid puudutav eeskiri“ alla, kuna need ei puuduta „infoühiskonna teenuseid“.</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Kolmandaks tuleb „teenuseid puudutava eeskirja“ kategooria kohta meenutada, et direktiivi 98/34 artikli 1 punkti 5 kohaselt on niisuguseks eeskirjaks üldist laadi nõuded, mis puudutavad teenuste pakkumisele juurdepääsu ning teenuste pakkumist kõnealuse direktiivi artikli 1 punkti 2 tähenduses, milles teenuste all mõistetakse „infoühiskonna iga teenust ehk kõiki vahemaa tagant elektroonilisel teel ja teenusesaaja isikliku taotluse alusel ning tavaliselt tasu eest osutatavaid teenuseid“ (4. veebruari 2016. aasta kohtuotsus Ince, C-336/14, EU:C:2016:72, punkt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Käesolevas asjas tuleb tõdeda, et nagu kohtujurist oma ettepaneku punktis 73 märkis, ei puuduta põhikohtuasjas kõne all olevad õigusnormid infoühiskonna teenuseid direktiivi 98/34 artikli 1 punkti 2 tähenduses. Seega ei saa need õigusnormid kuuluda infoühiskonna „teenuseid käsitleva eeskirja“ kategooriasse selle direktiivi artikli 1 punkti 5 tähenduses.“</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r>
        <w:t xml:space="preserve">12. </w:t>
      </w:r>
      <w:hyperlink r:id="rId53" w:history="1">
        <w:r>
          <w:rPr>
            <w:color w:val="0000FF"/>
            <w:u w:val="single"/>
          </w:rPr>
          <w:t xml:space="preserve">septembri 2019. aasta kohtuotsus VG</w:t>
        </w:r>
      </w:hyperlink>
      <w:r>
        <w:t xml:space="preserve"> Media, C-299/17, EU:C:2019:716, punktid 32, 33 ja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Siseriiklik õigusnorm, mis keelab otsingumootorite ettevõtjatel ja kommertssisuteenuste pakkujatel teha ajalehed üldsusele kättesaadavaks, kujutab endast „tehnilist eeskirja“ ja sellest tuleb komisjonile teatada.</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Õigusnormi peetakse konkreetselt „infoühiskonna teenustele“ kuuluvaks, kui teatud sätetel on see eesmärk, isegi kui see ei ole eeskirja ainus eesmärk. Selle eesmärgi saab tuletada õigusnormi esitatud põhjendustest, mis võivad sisalduda ettevalmistavates materjalides, isegi kui need ei tulene sõnaselgelt normi enda sõnastusest.</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Selles osas tuleb märkida, et selle direktiivi artikli 1 punkti 5 viienda lõigu esimese taande kohaselt peetakse eeskirja konkreetselt infoühiskonna teenustele suunatuks, kui see tuleneb eeskirja põhjendustest või regulatiivosast. Lisaks tuleneb samast sättest, et ei ole nõutav, et kogu kõnealuse eeskirja eesmärk oleks reguleerida infoühiskonna teenuseid, mistõttu piisab, kui selle eeskirja teatavad sätted on suunatud sellele eesmärgile (20. detsembri 2017. aasta kohtuotsus Falbert jt, C-255/16, EU:C:2017:983, punkt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Lisaks, isegi kui riigisisese õigusnormi sõnastusest ei tulene, et selle eesmärk ei ole vähemalt osaliselt konkreetselt infoühiskonna teenuste reguleerimine, võib see eesmärk siiski põhineda selle normi esitatud põhjendustel, nagu need nähtuvad, vastavalt asjakohastele riigisisestele tõlgendamisnormidele, eelkõige selle normi ettevalmistavatest materjalidest (vt selle kohta 20. detsembri 2017. aasta kohtuotsus Falbert jt, C-255/16, EU:C:2017:983, punkt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Kuigi eelotsusetaotluse esitanud kohus ei esita selget ülevaadet põhikohtuasjas kõne all oleva regulatsiooni konkreetsest eesmärgist, ilmneb nimelt Saksamaa valitsuse poolt Euroopa Kohtu istungil esitatud seisukohtadest, et algul oli UrhG muudatus suunatud konkreetselt interneti otsingumootori käitajatele. Peale selle märgivad põhikohtuasja pooled ja komisjon oma kirjalikes seisukohtades, et selle regulatsiooni eesmärk oli kaitsta ajakirjandusväljaannete kirjastajate õiguspäraseid huve digitaalses maailmas. Seega ilmneb, et põhikohtuasjas kõne all oleva õigusnormi peamine eesmärk oli kaitsta neid kirjastajaid veebipõhiste otsingumootorite poolt toimepandud autoriõiguste rikkumiste eest. Selles kontekstis näib, et kaitset on peetud vajalikuks üksnes juhul, kui infoühiskonna teenuste pakkujad rikuvad süstemaatiliselt veebikirjastajate teoseid.“</w:t>
      </w:r>
    </w:p>
    <w:p w14:paraId="5918FFD9" w14:textId="77777777">
      <w:pPr>
        <w:spacing w:after="0" w:line="240" w:lineRule="auto"/>
      </w:pPr>
    </w:p>
    <w:p w14:paraId="76F47905" w14:textId="651D9AB2">
      <w:pPr>
        <w:pStyle w:val="P68B1DB1-Normal13"/>
        <w:spacing w:after="0" w:line="240" w:lineRule="auto"/>
      </w:pPr>
      <w:r>
        <w:t xml:space="preserve">19. </w:t>
      </w:r>
      <w:hyperlink r:id="rId54" w:history="1">
        <w:r>
          <w:rPr>
            <w:color w:val="0000FF"/>
            <w:u w:val="single"/>
          </w:rPr>
          <w:t xml:space="preserve">detsembri 2019. aasta kohtuotsus Airbnb</w:t>
        </w:r>
      </w:hyperlink>
      <w:r>
        <w:t xml:space="preserve"> Ireland, C 390/18</w:t>
        <w:noBreakHyphen/>
        <w:t xml:space="preserve">, EU:C:2019:1112, punktid 64–68 ja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Vahendusteenus, mis ühendab kliente majutajatega, kes pakuvad lühiajalist majutust elektroonilise platvormi kaudu, pakkudes kõrvalteenuseid, kujutab endast „infoühiskonna teenust“, sest kõrvalteenused ei mõjuta oluliselt majutusteenuste osutamist.</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Selleks et teenust saaks liigitada „infoühiskonna teenuseks“, peab see kumulatiivselt vastama neljale tingimusele: see tuleb esitada tasu eest vahemaa tagant elektroonilisel teel ja saaja isikliku taotluse alusel.</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Airbnb Irelandi pakutavad ja käesoleva kohtuotsuse punktides 59–63 kirjeldatud teenused, mida saab soovi korral lisada, ei sea ka kogumis vaadelduna kahtluse alla selle äriühingu osutatava vahendusteenuse lahutatavust ja järelikult selle kvalifitseerimist „infoühiskonna teenuseks“, sest nad ei muuda oluliselt sellele teenusele omaseid tunnuseid. Seejuures oleks ka paradoksaalne, kui sellised elektroonilise platvormi poolt enda klientidele eeskätt konkurentidest eristamiseks osutatavad ja väärtust lisavad täiendavad teenused võiksid ka lisategurite puudumisel muuta sellise platvormi peamist sisu ja sellega platvormi tegevuse õiguslikku kvalifikatsiooni, nagu seda märkis kohtujurist oma ettepaneku punktis 46.</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Lisaks ei saa vastupidi AHTOP ja Prantsuse valitsuse seisukohale Airbnb Irelandi osutatava vahendusteenuse toimimist võrdsustada vahendusteenusega, mida käsitleti 20. detsembri 2017. aasta kohtuotsuses Asociación Profesional Elite Taxi (C-434/15, EU:C:2017:981, punkt 39) ja 10. aprilli 2018. aasta kohtuotsuses Uber France (C-320/16, EU:C:2018:221, punkt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Lisaks asjaolule, et need kohtuotsused puudutasid spetsiifilist linnasisest isikute transporti, millele kohaldatakse ELTL artikli 58 lõiget 1, ja et Airbnb Irelandi teenused ei ole võrreldavad eelmises punktis viidatud kohtuotsuste aluseks olnud kohtuasjades käsitletutega, ei näita käesoleva kohtuotsuse punktides 59–63 nimetatud täiendavad teenused, et tegemist oleks sellise ulatusega kontrolliga, nagu Euroopa Kohus nendes otsustes tuvastas.</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Euroopa Kohus märkis neis kohtuotsustes, et Uberil oli otsustav mõju nende mittekutseliste autojuhtide poolt transporditeenuse osutamise tingimustele, kes kasutasid neile selle äriühingu poolt kasutada antud rakendust (20. detsembri 2017. aasta kohtuotsus Asociación Profesional Elite Taxi, C-434/15, EU:C:2017:981, punkt 39, ja 10. aprilli 2018. aasta kohtuotsus Uber France, C-320/16, EU:C:2018:221, punkt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Eelotsusetaotluse esitanud kohtu mainitud asjaolud, mida on meenutatud käesoleva kohtuotsuse punktis 19, ei tõenda, et Airbnb Ireland avaldab sellist otsustavat mõju majutusteenuste osutamise tingimustele, mida tema vahendusteenus puudutab, seda enam, et Airbnb Ireland ei määra otseselt ega kaudselt kindlaks küsitavat üürihinda, nagu on tuvastatud käesoleva kohtuotsuse punktides 56 ja 62, veelgi vähem valib ta majutajad või üürile pandud majutuskohad oma platvormil.“</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Arvestades, et Prantsuse Vabariik ei teatanud Hoguet’ seadusest ja arvestades direktiivi 2000/31 artikli 3 lõikes 4 ette nähtud tingimuste kumulatiivset laadi, mida on meenutatud käesoleva kohtuotsuse punktides 84 ja 85, tuleb asuda seisukohale, et seda seadust ei saa mingil juhul kohaldada isiku suhtes, kes on sellises olukorras nagu Airbnb Ireland põhikohtuasjas, olenemata sellest, kas see seadus vastab muudele selles sättes ette nähtud tingimustele.“</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r>
        <w:t xml:space="preserve">22. </w:t>
      </w:r>
      <w:hyperlink r:id="rId55" w:history="1">
        <w:r>
          <w:rPr>
            <w:color w:val="0000FF"/>
            <w:u w:val="single"/>
          </w:rPr>
          <w:t xml:space="preserve">oktoobri 2020. aasta kohtuotsus Sportingbet</w:t>
        </w:r>
      </w:hyperlink>
      <w:r>
        <w:t xml:space="preserve"> ja Internet Opportunity Entertainment, C 275/19</w:t>
        <w:noBreakHyphen/>
        <w:t xml:space="preserve">, EU:C:2020:856, punktid 47–49.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Õigusnormid, mis annavad avalik-õiguslikule üksusele ainuõiguse korraldada teatavaid hasartmänge, sealhulgas internetis, kuuluvad mõiste „teenuseid käsitlevad eeskirjad“ alla osas, milles need puudutavad infoühiskonna teenust.</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Nimetatud direktiivi artikli 1 punkti 5 kohaselt mõistetakse „teenuseid puudutava eeskirjana“ üldist laadi nõudeid, mis puudutavad teenuste pakkumisele juurdepääsu sama direktiivi artikli 1 punkti 2 tähenduses, mille kohaselt on teenus „infoühiskonna iga teenus ehk kõik vahemaa tagant elektroonilisel teel ja teenusesaaja isikliku taotluse alusel ning tavaliselt tasu eest osutatavad teenused“.</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Sellega seoses on Euroopa Kohus juba otsustanud, et sätteid, mis puudutavad keeldu pakkuda hasartmänge internetis, erandeid sellest keelust, spordikihlvedude internetis pakkumise võimalusele seatud piiranguid ning keeldu levitada hasartmängude reklaame internetis, võib kvalifitseerida „teenuseid puudutavateks eeskirjadeks“ direktiivi 98/34 artikli 1 punkti 5 tähenduses, kuna need puudutavad „infoühiskonna teenust“ selle direktiivi artikli 1 punkti 2 tähenduses (vt analoogia alusel 4. veebruari 2016. aasta kohtuotsus Ince, C-336/14, EU:C:2016:72, punkt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Käesoleval juhul puudutavad dekreetseaduse nr 282/2003 artiklites 2 ja 3 ette nähtud eeskirjad konkreetselt infoühiskonna teenuseid. Lisaks, kuna Santa Casale anti hasartmängude internetis korraldamise ainuõigus, keelavad need sätted kõigil ettevõtjatel, välja arvatud Santa Casal, neid teenuseid osutada.“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r>
        <w:t xml:space="preserve">3. </w:t>
      </w:r>
      <w:hyperlink r:id="rId56" w:history="1">
        <w:r>
          <w:rPr>
            <w:color w:val="0000FF"/>
            <w:u w:val="single"/>
          </w:rPr>
          <w:t xml:space="preserve">detsembri 2020. aasta kohtuotsus Star</w:t>
        </w:r>
      </w:hyperlink>
      <w:r>
        <w:t xml:space="preserve"> Taxi App, C 62/19</w:t>
        <w:noBreakHyphen/>
        <w:t xml:space="preserve">, EU:C:2020:980, punktid 52–54 ja 64–66.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„Infoühiskonna teenuste“ kategooriasse kuulub vahendusteenus, mis piirdub klientide ühendamisega juba tegevusloa saanud taksojuhtidega – korraldamata transporditeenust ise, valimata juhte, kehtestamata sõiduhindu või kontrollimata sõidukeid või juhte.</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Lisaks ei saa õigusnorme, mis ei ole konkreetselt suunatud sellistele teenustele, vaid mida kohaldatakse vahet tegemata igasuguse edastamise suhtes, sealhulgas telefoni teel või rakenduse kaudu, kvalifitseerida „teenuseid käsitlevaks eeskirjaks“.</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Esiteks nähtub eelotsusetaotlusest, et erinevalt vahendusteenusest, mida käsitleti kohtuasjas, milles tehti 20. detsembri 2017. aasta kohtuotsus Asociación Profesional Elite Taxi (C-434/15, EU:C:2017:981), ning millega loodi ja tehti kättesaadavaks linnatransporditeenused, mida osutavad mittekutselised juhid, kes senini ei ole sellel turul osalenud, piirdub põhikohtuasjas kõne all olev teenus sellega, et võimaldab – nagu märkis kohtujurist oma ettepaneku punktis 49 – kontakteerida isikud, kes soovivad linnas ühest kohast teise sõita, ja juba turul tegutsevad taksoveoloaga juhid, kelle jaoks kõnealune vahendusteenus kujutab endast üksnes üht klientide leidmise viisi teiste hulgas, mida nad ei ole mingil moel kohustatud kasutama.</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Teiseks ei saa kõnealust vahendusteenust pidada sellele järgneva linnatransporditeenuse üldise toimimise korraldamiseks, kuna teenuseosutaja ei vali välja taksojuhte, ei määra kindlaks ega kogu sõiduhinda ega kontrolli sõidukite ja nende juhtide taset ega viimaste käitumist.</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Sellest järeldub, et sellist vahendusteenust, nagu pakub Star Taxi App, ei saa pidada lahutamatuks osaks üldisest teenusest, mille põhikomponent on transporditeenus, ning seega tuleb seda kvalifitseerida „infoühiskonna teenuseks“ direktiivi 2000/31 artikli 2 punkti a tähenduses.“</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Käesoleval juhul nähtub eelotsusetaotlusest, et põhikohtuasjas kõne all olevates Rumeenia õigusnormides – olgu siis tegemist seaduse nr 38/2003 või otsusega nr 178/2008 – ei ole infoühiskonna teenuseid üldse mainitud. Lisaks puudutavad otsuse nr 178/2008 1. lisa artikkel 3, artikli 21 lõiked 1 ja 3 bis ning artikli 41 lõige 2 bis vahet tegemata kõiki taksokeskuse teenuste liike, olenemata sellest, kas neid osutatakse telefoni teel või muul viisil, näiteks infotehnoloogilise rakenduse abil.</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Lisaks, nagu kohtujurist oma ettepaneku punktis 108 märkis, nõuab seadus nr 38/2003, et neil taksokeskuse teenuse osutajatel, kes tegutsevad nutitelefoni rakenduse abil, peavad olema samamoodi, nagu kõigil teistel taksokeskuse teenust pakkuvatel ettevõtjatel, olemas teatud seadmed – käesoleval juhul kahepoolse sidega raadiotelefonid-, millest ei ole selle teenuse osutamise tehniliste üksikasjade tõttu mingit kasu.</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Kuna põhikohtuasjas kõne all olevad õigusnormid ei ole suunatud konkreetselt infoühiskonna teenusele, siis puudutavad need neid teenuseid seega ainult kaudselt või juhuslikult. Sellist eeskirja ei saa seega pidada „teenuseid puudutavaks eeskirjaks“ direktiivi 2015/1535 artikli 1 lõike 1 punkti e tähenduses ega seega „tehniliseks eeskirjaks“ selle direktiivi artikli 1 lõike 1 punkti f tähenduses.“</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Kohtuotsus, 29. veebruar 2024</w:t>
        </w:r>
      </w:hyperlink>
      <w:r>
        <w:rPr>
          <w:rFonts w:ascii="Times New Roman" w:hAnsi="Times New Roman" w:cs="Times New Roman" w:eastAsia="Times New Roman"/>
          <w:b/>
          <w:i/>
          <w:szCs w:val="20"/>
        </w:rPr>
        <w:t xml:space="preserve">, Doctipharma SAS, C-606/21, EU:C:2024:179, punktid 26–30 ja 34–36,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Tasu teenuse eest, mida teenuseosutaja osutab majandustegevuse käigus, ei pea tingimata maksma teenuse saajad. See kehtib veebilehel osutatava teenuse kohta, mis seisneb proviisorite ja klientide kokkuviimises ravimite müügi eesmärgil, mille eest maksavad tasu proviisorid, kes tellisid tema platvormi kindlaksmääratud tasu eest.</w:t>
      </w:r>
    </w:p>
    <w:p w14:paraId="60E238C1" w14:textId="77777777">
      <w:pPr>
        <w:pStyle w:val="P68B1DB1-BodyText22"/>
      </w:pPr>
    </w:p>
    <w:p w14:paraId="16BCA1E5" w14:textId="5221BD03">
      <w:pPr>
        <w:pStyle w:val="P68B1DB1-BodyText22"/>
      </w:pPr>
      <w:r>
        <w:t xml:space="preserve">Selline teenus ei ole osa üldisest teenusest, mille põhielemendile kehtib muu õiguslik kvalifikatsioon kui „infoühiskonna teenusele“.</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Direktiivi 98/34 artikli 1 punktis 2 ja direktiivi 2015/1535 artikli 1 lõike 1 punktis b on mõiste „infoühiskonna teenus“ määratletud kui „kõik vahemaa tagant elektroonilisel teel ja teenusesaaja isikliku taotluse alusel tavaliselt tasu eest osutatavad teenused“.</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Käesoleval juhul tuleb seoses neis sätetes ette nähtud viimase tingimusega meenutada, et väljakujunenud kohtupraktika kohaselt ei pea teenuse eest, mida osutab teenuseosutaja majandustegevuse raames, tingimata tasuma isikud, kes on teenuse saajad (vt selle kohta 15. septembri 2016. aasta kohtuotsus Mc Fadden, C-484/14, EU:C:2016:689, punkt 41, ja 4. mai 2017. aasta kohtuotsus Vanderborght, C-339/15, EU:C:2017:335, punkt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Seega ei ole põhikohtuasjas kõne all oleva teenuse direktiivi 98/34 artikli 1 punkti 2 ja direktiivi 2015/1535 artikli 1 lõike 1 punkti b tähenduses mõistega „infoühiskonna teenus“ hõlmatuna määratlemisel oluline asjaolu, et seda teenust osutatakse käsimüügiravimi ostjale tasuta, kuivõrd selle raames on kõnealuse teenuse osutaja ja seda teenust kasutav apteeker sõlminud teenuste tasu eest osutamise lepingu.</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Samuti ei oma seoses sellega tähtsust asjaolu, et Doctipharma sõnul maksid tema platvormiga liitunud apteekrid talle müügi üldtingimuste alusel kindlasummalist tasu, või see Prantsuse valitsuse esile toodud asjaolu, et Doctipharma osutatud teenuse eest maksid Doctipharmale igakuist tellimustasu tema klientidest apteekrid ja ta pidas enda kasuks kinni platvormi kaudu toimunud müügi tulu protsentuaalse osa.</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Sellest järeldub, et kui eelotsusetaotluse esitanud kohtu kontrolli tulemusel ei ilmne vastupidist, tuleb põhikohtuasjas kõne all olevat teenust igal juhul pidada tasu eest osutatuks.“</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Seda järeldust ei sea kahtluse alla 20. detsembri 2017. aasta kohtuotsusest Asociación Profesional Elite Taxi (C-434/15, EU:C:2017:981), 19. detsembri 2019. aasta kohtuotsusest Airbnb Ireland (C-390/18, EU:C:2019:1112) ja 3. detsembri 2020. aasta kohtuotsusest Star Taxi App (C-62/19, EU:C:2020:980) tulenev Euroopa Kohtu praktika.</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Nimelt nähtub sellest kohtupraktikast, et teenus, mille eesmärk on viia omavahel kokku teist laadi teenuse kliendid ja teenuseosutajad ning mille puhul on täidetud kõik direktiivi 98/34 artikli 1 punktis 2 ja direktiivi 2015/1535 artikli 1 lõike 1 punktis b ette nähtud tingimused, tuleb kvalifitseerida „infoühiskonna teenuseks“, kui tegemist on teenusega, mis on eraldiseisev asjaomaste teenuseosutajate osutatavast teist laadi teenusest. Teistsugune järeldus tuleb aga teha siis, kui ilmneb, et kokkuviimise teenus on sellise tervikteenuse lahutamatu osa, mille põhikomponent on õigusliku kvalifikatsiooni poolest muu teenus kui „infoühiskonna teenus“ (3. detsembri 2020. aasta kohtuotsus Star Taxi App, C-62/19, EU:C:2020:980, punkt 49 ja seal viidatud kohtupraktika).</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Nagu kohtujurist oma ettepaneku punktides 28 ja 29 märkis, ei saa apteekrite ja klientide ühendamise teenus, mille eesmärk on müüa retseptita ravimeid selle teenuse tellijaks olevate apteekide veebisaitidelt, olla lahutamatu osa tervikteenusest, mille põhielement ei kvalifitseeru „infoühiskonna teenuseks“.</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r>
        <w:rPr>
          <w:rFonts w:ascii="Times New Roman" w:hAnsi="Times New Roman" w:cs="Times New Roman" w:eastAsia="Times New Roman"/>
          <w:b/>
          <w:i/>
          <w:szCs w:val="20"/>
        </w:rPr>
        <w:t xml:space="preserve">13. </w:t>
      </w:r>
      <w:hyperlink r:id="rId58" w:history="1">
        <w:r>
          <w:rPr>
            <w:rStyle w:val="Hyperlink"/>
            <w:rFonts w:ascii="Times New Roman" w:hAnsi="Times New Roman" w:cs="Times New Roman" w:eastAsia="Times New Roman"/>
            <w:b/>
            <w:i/>
            <w:color w:val="0000FF"/>
            <w:szCs w:val="20"/>
          </w:rPr>
          <w:t xml:space="preserve">märtsi 2025. aasta kohtuotsus Unigames</w:t>
        </w:r>
      </w:hyperlink>
      <w:r>
        <w:rPr>
          <w:rFonts w:ascii="Times New Roman" w:hAnsi="Times New Roman" w:cs="Times New Roman" w:eastAsia="Times New Roman"/>
          <w:b/>
          <w:i/>
          <w:szCs w:val="20"/>
        </w:rPr>
        <w:t xml:space="preserve"> UAB, C 120/24</w:t>
        <w:noBreakHyphen/>
        <w:t xml:space="preserve">, EU:C:2025:174, punktid 38–42.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Hasartmängude veebisaitidel reklaamimise keeld ei puuduta hasartmänguteenusest sõltumatut reklaamiteenust, vaid interneti hasartmänguteenusest lahutamatut teenust. Järelikult tuleb selleks, et teha kindlaks, kas tegemist on „teenuseid puudutava eeskirjaga“, kõigepealt käsitleda interneti hasartmänguteenuste kvalifitseerimist „infoühiskonna teenusteks“.</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Käesoleva kohtuotsuse punktides 36 ja 37 esitatud kaalutlusi</w:t>
      </w:r>
      <w:r>
        <w:rPr>
          <w:i w:val="0"/>
        </w:rPr>
        <w:t xml:space="preserve"> [mille kohaselt tuleb interneti hasartmänguteenuseid pidada „infoühiskonna teenusteks“] </w:t>
      </w:r>
      <w:r>
        <w:t xml:space="preserve">ei sea kahtluse alla asjaolu, et hasartmängukorraldaja poolt tema veebisaidil avaldatud teavet hasartmängude kohta ei esitata tingimata „teenusesaaja isikliku taotluse alusel“. Sellist teabe avaldamist ei saa sellistel asjaoludel, nagu on kõne all põhikohtuasjas, pidada reklaamiteenuseks või muuks teenuseks, mida osutatakse kaughasartmänguteenuste saajatele, vaid see kujutab endast tegevust, mis on seotud asjaomaste kaughasartmänguteenustega, millest tuleneb kogu selle majanduslik tähendus (vt analoogia alusel 1. oktoobri 2020. aasta kohtuotsus A (ravimireklaam ja -müük internetis), C-649/18, EU:C:2020:764, punkt 56). Seega peavad üksnes hasartmänguteenused ise vastama asjakohastele tingimustele, et need kuuluksid mõiste „teenus“ alla direktiivi 2015/1535 artikli 1 lõike 1 punkti b tähenduses, ja põhikohtuasjas kõne all olev keeld, mis puudutab sellist teabe avaldamist, peavad omalt poolt vastama selle direktiivi artikli 1 lõike 1 punktis e ette nähtud konkreetsetele kriteeriumidele, et neid saaks pidada neid teenuseid puudutavaks eeskirjaks viimati nimetatud sätte tähenduses.</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Viimasega seoses tuleb märkida, et kuigi on selge, et põhikohtuasjas käsitletav keeld on „üldine nõue“ direktiivi 2015/1535 artikli 1 lõike 1 punkti e tähenduses, tuleb veel analüüsida esiteks seda, kas seda võib pidada „teenuste osutamise alustamise ja jätkamisega seonduvaks“, kusjuures selles sättes on täpsustatud, et see on nii eelkõige teenuseosutajat, teenuseid ja teenusesaajat käsitlevate sätete puhul.</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Sellega seoses tuleb tõdeda, et hasartmänguseaduse artikli 10 lõige 19 võib kuuluda mõiste „teenuseid käsitlev eeskiri“ alla, kuna selles on sätestatud keeld soodustada muu hulgas kaughasartmängudes osalemist ja eelkõige avaldada hasartmängukorraldaja veebisaidil hasartmänguga seotud teavet või teha toiminguid, mis soodustavad hasartmängus osalemist (vt selle kohta 22. oktoobri 2020. aasta kohtuotsus Sportingbet ja Internet Opportunity Entertainment, C-275/19, EU:C:2020:856, punkt 48 ja seal viidatud kohtupraktika).</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Teiseks, nagu nähtub direktiivi 2015/1535 artikli 1 lõike 1 punkti e sõnastusest, peab põhikohtuasjas kõne all olev keeld selleks, et seda saaks kvalifitseerida „teenuseid puudutavaks eeskirjaks“, olema „konkreetselt“ suunatud infoühiskonna teenustele (vt selle kohta 12. septembri 2019. aasta kohtuotsus VG Media, C-299/17, EU:C:2019:716, punkt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Sellega seoses tuleneb direktiivi 2015/1535 artikli 1 lõike 1 punkti e teise lõigu punktist i, et selle kontrollimine, kas eeskiri on konkreetselt suunatud infoühiskonna teenustele, tuleb läbi viia nii selle sätte sõnastust kui ka sellega taotletavat eesmärki arvestades. Lisaks ei nõua see säte, et kogu kõnealuse eeskirja „konkreetne eesmärk ja eesmärk“ oleks infoühiskonna teenuste reguleerimine, vaid piisab, kui see eesmärk või eesmärk saavutatakse mõne õigusnormiga (vt selle kohta 12. septembri 2019. aasta kohtuotsus VG Media, C-299/17, EU:C:2019:716, punkt 32 ja seal viidatud kohtupraktika). Lõpuks tuleb märkida, et vastavalt selle direktiivi artikli 1 lõike 1 punkti e teise lõigu punktile ii ei saa õigusnormi pidada konkreetselt infoühiskonna teenustele suunatud normiks, kui see mõjutab neid teenuseid üksnes kaudselt või juhuslikult.“</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Keelustavad sätted</w:t>
      </w:r>
      <w:bookmarkEnd w:id="98"/>
      <w:bookmarkEnd w:id="99"/>
    </w:p>
    <w:p w14:paraId="11A12362" w14:textId="77777777">
      <w:pPr>
        <w:pStyle w:val="BodyText"/>
      </w:pPr>
    </w:p>
    <w:p w14:paraId="6DD7108F" w14:textId="22E84863">
      <w:pPr>
        <w:pStyle w:val="P68B1DB1-BodyText11"/>
        <w:ind w:left="567"/>
        <w:rPr>
          <w:iCs/>
        </w:rPr>
      </w:pPr>
      <w:r>
        <w:t xml:space="preserve">„tehnilised eeskirjad – liikmesriikide õigus- ja haldusnormid, välja arvatud artiklis 7 sätestatud sätted, millega keelatakse toote valmistamine, import, turustamine või kasutamine või keelatakse teenuse osutamine või kasutamine või asutamine teenuseosutajana.“</w:t>
      </w:r>
    </w:p>
    <w:p w14:paraId="6EA3335C" w14:textId="77777777">
      <w:pPr>
        <w:pStyle w:val="BodyText"/>
        <w:ind w:left="567"/>
        <w:rPr>
          <w:i/>
          <w:iCs/>
        </w:rPr>
      </w:pPr>
    </w:p>
    <w:p w14:paraId="05F6428B" w14:textId="3C27EE7A">
      <w:pPr>
        <w:pStyle w:val="BodyText"/>
        <w:ind w:left="1440"/>
        <w:jc w:val="right"/>
      </w:pPr>
      <w:r>
        <w:t xml:space="preserve">(direktiivi (EL) 2015/1535 artikli 1 lõike 1 punkti f esimene lause)</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r>
        <w:t xml:space="preserve">16. </w:t>
      </w:r>
      <w:hyperlink r:id="rId59" w:history="1">
        <w:r>
          <w:rPr>
            <w:color w:val="0000FF"/>
            <w:u w:val="single"/>
          </w:rPr>
          <w:t xml:space="preserve">septembri 1996. aasta kohtuotsus</w:t>
        </w:r>
      </w:hyperlink>
      <w:r>
        <w:t xml:space="preserve"> komisjon vs. Itaalia, C-279/94, EU:C:1997:396, punkt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Asbesti turuleviimise ja kasutamise keeld on teatamisele kuuluv „tehniline eeskiri“, millest tuleb teatada, sest sellega keelatakse toote turustamine ja kasutamine.</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Mis puudutab seaduse nr 257/92 artikli 1 lõiget 2, siis keelab see säte asbesti, asbestitoodete ja asbesti sisaldavate toodete kaevandamise, impordi, ekspordi, turustamise ja tootmise ühe aasta möödumisel seaduse jõustumisest. Selline säte, mis keelab asbesti turustamise ja kasutamise, kujutab endast tehnilist eeskirja, millest Itaalia valitsus oleks pidanud direktiivi artikli 8 lõike 1 esimese lõigu kohaselt teatama.“</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Aprilli 2005. aasta kohtuotsus Lindberg,</w:t>
        </w:r>
      </w:hyperlink>
      <w:r>
        <w:t xml:space="preserve"> C-267/03, EU:C:2005:246, punktid 75–77.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Siseriikliku keelu, mis puudutab teatavaid hasartmänge, võib kvalifitseerida keelavaks sätteks, kui see ei jäta asjaomase toote mõistlikul viisil kasutamiseks muid võimalusi peale puht marginaalse kasutamise. Seevastu keeluks kvalifitseerimine ei sõltu keelu mõjust asjaomaste toodete koostisele, laadile või turustamisele.</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Siin on oluline see, et kolmas tehniliste eeskirjade kategooria, mis on määratletud direktiivi 83/189 artikli 1 punktis 9, ei sisalda erinevalt sama artikli punktis 3 sätestatud teisest kategooriast „muud nõuded“ tingimust, mille kohaselt asjaomane keeld võib oluliselt mõjutada toote koostist, olemust või turustamist.</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See kolmas tehniliste reeglite kategooria, mis näeb ette just kasutamise keelu, peab olema meede, mille mõju ulatub selgesti kaugemale asjaomase toote võimalike kasutusviiside piirangust ning seega ei piirdu meede toote kasutamise lihtsa piiramisega.</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Nagu kohtujurist on oma ettepaneku punktis 70 maininud, peab see tehniliste eeskirjade kategooria täpsemalt silmas siseriiklikke meetmeid, mis ei jäta ruumi ühelegi muule kasutamisele kui puhtalt marginaalsele kasutamisele, mida võiks mõistlikult asjaomase tootega seoses oodata. Eelotsusetaotluse esitanud kohtu ülesanne on kontrollida, kas põhikohtuasjas kõne all olevast siseriiklikust õigusnormist tulenev keeld on selline meede.“</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r>
        <w:t xml:space="preserve">8. </w:t>
      </w:r>
      <w:hyperlink r:id="rId61" w:history="1">
        <w:r>
          <w:rPr>
            <w:color w:val="0000FF"/>
            <w:u w:val="single"/>
          </w:rPr>
          <w:t xml:space="preserve">septembri 2005. aasta kohtuotsus Lidl</w:t>
        </w:r>
      </w:hyperlink>
      <w:r>
        <w:t xml:space="preserve"> Italia, C-303/04, EU:C:2005:528, punktid 12 ja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Siseriiklik keeld turustada tooteid, mis ei ole valmistatud teatavatest materjalidest, kujutab endast sätet, mis keelab toodete valmistamise ja turustamise.</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direktiivi 98/34 artikli 1 punkti 11 kohaselt tuleb liikmesriigi siseriiklikku sätet, mis keelab toote valmistamise, impordi, turustamise või kasutamise, käsitada tehniliste eeskirjade kategooriana (vt 13. juuli 2005. aasta otsus kohtuasjas C-267/03: Lindberg, kohtulahendite kogumikus veel avaldamata, punkt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Antud juhul piisab kui tõdeda, et seaduse nr 93/2001 artikli 19 lõike 2 puhul on tegemist sellise sättega. Selle sätte kohaselt on selliste puuvillapungade valmistamine ja turustamine, millel puuduvad nimetatud omadused, nimelt need, mis ei ole valmistatud täielikult biolagunevatest materjalidest vastavalt UNI 10785 standarditele, rikkumised, mille eest määratakse halduskaristus.“</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r>
        <w:t xml:space="preserve">26. </w:t>
      </w:r>
      <w:hyperlink r:id="rId62" w:history="1">
        <w:r>
          <w:rPr>
            <w:color w:val="0000FF"/>
            <w:u w:val="single"/>
          </w:rPr>
          <w:t xml:space="preserve">oktoobri 2006. aasta kohtuotsus komisjon</w:t>
        </w:r>
      </w:hyperlink>
      <w:r>
        <w:t xml:space="preserve"> vs. Kreeka, C-65/05, EU:C:2006:673, punkt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Tehnilisteks eeskirjadeks tuleb pidada meetmeid, mis keelavad väljaspool kasiinosid paigaldada kõik elektrilised või elektroonilised mänguseadmed ja kasutada arvutimänge internetiteenuseid osutavates ettevõtjates ning seavad nende ettevõtjate tegutsemise sõltuvusse eriloa väljastamisest.</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seaduse nr 3037/2002 artikli 2 lõikes 1 ja artiklis 3 ette nähtud meetmeid, mis keelavad Kreekas kõikide elektri-, elektromehaaniliste ja elektrooniliste mängude, sealhulgas arvutimängude paigaldamise kõikidesse avalikesse ja eraruumidesse, välja arvatud kasiinod, ja mänge arvutites kasutada internetiteenuseid osutavates ettevõtetes, ning seavad selliste ettevõtjate tegutsemise sõltuvusse eriloa väljastamisest, tuleb pidada tehnilisteks eeskirjadeks direktiivi 98/34 artikli 1 punkti 11 tähenduses (vt selle kohta Euroopa Kohtu 14. juuli 2005. aasta otsus kohtuasjas C 267/03:</w:t>
        <w:noBreakHyphen/>
        <w:t xml:space="preserve">Lindberg, EKL 2005, lk I</w:t>
        <w:noBreakHyphen/>
        <w:t>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r>
        <w:t xml:space="preserve">19. </w:t>
      </w:r>
      <w:hyperlink r:id="rId63" w:history="1">
        <w:r>
          <w:rPr>
            <w:color w:val="0000FF"/>
            <w:u w:val="single"/>
          </w:rPr>
          <w:t xml:space="preserve">juuli 2012. aasta kohtuotsus Fortuna</w:t>
        </w:r>
      </w:hyperlink>
      <w:r>
        <w:t xml:space="preserve"> jt, C-213/11, C-214/11 ja C-217/11, EU:C:2012:495, punktid 24 ja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Meede, mis keelab mänguautomaatide kasutamise väljaspool kasiinosid, tuleb kvalifitseerida „tehniliseks eeskirjaks“.</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Euroopa Kohus on juba otsustanud, et meetmeid, mis keelavad kõigi elektri-, elektromehaaniliste ja elektrooniliste mängude kasutamise kõigis avalikes ja eraruumides, välja arvatud kasiinod, tuleb pidada tehnilisteks eeskirjadeks direktiivi 98/34 artikli 1 punkti 11 tähenduses (Euroopa Kohtu 12. detsembri 2006. aasta otsus kohtuasjas C-65/05: komisjon vs. Kreeka, EKL 2006, lk I-10341, punkt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Järelikult tuleb selline meede nagu hasartmänguseaduse artikli 14 lõige 1, mis lubab mänguautomaatidel hasartmänge korraldada ainult kasiinodel, kvalifitseerida „tehniliseks eeskirjaks“ direktiivi 98/34 artikli 1 punkti 11 tähenduses.“</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r>
        <w:t xml:space="preserve">27. </w:t>
      </w:r>
      <w:hyperlink r:id="rId64" w:history="1">
        <w:r>
          <w:rPr>
            <w:color w:val="0000FF"/>
            <w:u w:val="single"/>
          </w:rPr>
          <w:t xml:space="preserve">oktoobri 2016. aasta kohtuotsus James</w:t>
        </w:r>
      </w:hyperlink>
      <w:r>
        <w:t xml:space="preserve"> Elliott Construction, C-613/14, EU:C:2016:821, punkt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Siseriiklikud õigusnormid, mis näevad ette kaudsed lepingutingimused müüdavate toodete turustuskvaliteedi, kasutuskõlblikkuse või üldise kvaliteedi kohta, ei kujuta endast keelavaid sätteid.</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põhikohtuasjas kõne all olevad õigusnormid ei kuulu direktiivi 98/34 artikli 1 punktis 11 nimetatud tehniliste eeskirjade kohaldamisalasse, kuna need ei sisalda pelgalt kaudseid lepingulisi nõudeid sätestades mingit keeldu selle direktiivi tähenduses toota, importida, turustada või kasutada toodet, osutada või kasutada teenust või asuda teenuseosutajana tegutsema.“</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r>
        <w:t xml:space="preserve">28. </w:t>
      </w:r>
      <w:hyperlink r:id="rId65" w:anchor="ctx1" w:history="1">
        <w:r>
          <w:rPr>
            <w:color w:val="0000FF"/>
            <w:u w:val="single"/>
          </w:rPr>
          <w:t xml:space="preserve">mai 2020. aasta kohtuotsus ECO</w:t>
        </w:r>
      </w:hyperlink>
      <w:r>
        <w:t xml:space="preserve"> -WIND Construction, C-727/17, EU:C:2020:393, punktid 45–47.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Õigusnormid, millega kehtestatakse tuuleturbiinide paigaldamiseks minimaalne vahemaa, ei kujuta endast toote tootmise, impordi, turustamise või kasutamise keeldu, välja arvatud juhul, kui need toovad kaasa tuuleturbiinide turustamise de facto keelu, jättes tuuleturbiinidele üksnes üksnes marginaalse kasutamise ruumi.</w:t>
      </w:r>
    </w:p>
    <w:p w14:paraId="57350EE4" w14:textId="77777777">
      <w:pPr>
        <w:pStyle w:val="BodyText"/>
        <w:jc w:val="left"/>
      </w:pPr>
    </w:p>
    <w:p w14:paraId="671DACC6" w14:textId="1CB89713">
      <w:pPr>
        <w:pStyle w:val="P68B1DB1-BodyText19"/>
        <w:ind w:left="567"/>
        <w:rPr>
          <w:iCs/>
        </w:rPr>
      </w:pPr>
      <w:r>
        <w:t xml:space="preserve">„45. See kategooria eeldab, et kõnealuse meetme mõju on asjaomase toote mõne võimaliku kasutusviisi piiramisest selgelt laiem ning seega ei piirdu meede toote kasutamise lihtsa piiramisega (21. aprilli 2005. aasta kohtuotsus Lindberg, C-267/03, EU:C:2005:246, punkt 76, ning 19. juuli 2012. aasta kohtuotsus Fortuna jt, C-213/11, C-214/11 ja C-217/11, EU:C:2012:495, punkt 31).</w:t>
      </w:r>
    </w:p>
    <w:p w14:paraId="787A0A4F" w14:textId="77777777">
      <w:pPr>
        <w:pStyle w:val="P68B1DB1-BodyText19"/>
        <w:ind w:left="567"/>
        <w:rPr>
          <w:iCs/>
        </w:rPr>
      </w:pPr>
    </w:p>
    <w:p w14:paraId="7CEA657E" w14:textId="35F61E5B">
      <w:pPr>
        <w:pStyle w:val="P68B1DB1-BodyText19"/>
        <w:ind w:left="567"/>
        <w:rPr>
          <w:iCs/>
        </w:rPr>
      </w:pPr>
      <w:r>
        <w:t xml:space="preserve">46. Nimelt hõlmab see kategooria täpsemalt liikmesriigi meetmeid, mis ei jäta peale puhtmarginaalse kasutuse ruumi ühelegi muule kasutusele, mida võiks mõistlikult asjaomase tootega seoses oodata (21. aprilli 2005. aasta kohtuotsus Lindberg, C-267/03, EU:C:2005:246, punkt 77, ning 19. juuli 2012. aasta kohtuotsus Fortuna jt, C-213/11, C-214/11 ja C-217/11, EU:C:2012:495, punkt 32).</w:t>
      </w:r>
    </w:p>
    <w:p w14:paraId="47448916" w14:textId="77777777">
      <w:pPr>
        <w:pStyle w:val="P68B1DB1-BodyText19"/>
        <w:ind w:left="567"/>
        <w:rPr>
          <w:iCs/>
        </w:rPr>
      </w:pPr>
    </w:p>
    <w:p w14:paraId="6508CA59" w14:textId="00D7F268">
      <w:pPr>
        <w:pStyle w:val="P68B1DB1-BodyText19"/>
        <w:ind w:left="567"/>
        <w:rPr>
          <w:iCs/>
        </w:rPr>
      </w:pPr>
      <w:r>
        <w:t xml:space="preserve">47. Käesoleval juhul, kuigi põhikohtuasjas kõne all olevate riigisiseste õigusnormidega kehtestatud nõue, mille kohaselt peab tuulegeneraatori paigaldamisel olema täidetud tingimus, et tuuleturbiini ja elamute vahel peab olema minimaalne vahemaa, sisaldab küll keeldu paigaldada tuulegeneraatorit vähemalt kümnekordsele kavandatud rajatise kogukõrgusele mis tahes hoonest, millel on elamu funktsioon, tuleb siiski märkida, et need õigusnormid ei keela ettevõtjatel jätkata tuulegeneraatorite paigaldamist ning seega tuulegeneraatorite kasutamist ja turustamist.“</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De Facto tehnilised eeskirjad</w:t>
      </w:r>
      <w:bookmarkEnd w:id="109"/>
      <w:bookmarkEnd w:id="110"/>
    </w:p>
    <w:p w14:paraId="297F85EC" w14:textId="77777777">
      <w:pPr>
        <w:pStyle w:val="BodyText"/>
      </w:pPr>
    </w:p>
    <w:p w14:paraId="6C908457" w14:textId="3B825828">
      <w:pPr>
        <w:pStyle w:val="P68B1DB1-BodyText11"/>
        <w:ind w:left="567"/>
        <w:rPr>
          <w:i/>
        </w:rPr>
      </w:pPr>
      <w:r>
        <w:t xml:space="preserve">„De facto tehnilised eeskirjad hõlmavad järgmist: </w:t>
      </w:r>
    </w:p>
    <w:p w14:paraId="277715A6" w14:textId="77777777">
      <w:pPr>
        <w:pStyle w:val="BodyText"/>
        <w:ind w:left="567"/>
        <w:rPr>
          <w:i/>
        </w:rPr>
      </w:pPr>
    </w:p>
    <w:p w14:paraId="28BCD2BD" w14:textId="757EEC79">
      <w:pPr>
        <w:pStyle w:val="P68B1DB1-BodyText11"/>
        <w:numPr>
          <w:ilvl w:val="0"/>
          <w:numId w:val="31"/>
        </w:numPr>
        <w:rPr>
          <w:i/>
        </w:rPr>
      </w:pPr>
      <w:r>
        <w:t xml:space="preserve">liikmesriigi õigus- ja haldusnormid, milles osutatakse kas tehnilistele spetsifikatsioonidele, muudele nõuetele või teenuseid puudutavatele eeskirjadele või ametiala- või tegevusjuhistele, milles omakorda osutatakse tehnilistele spetsifikatsioonidele, muudele nõuetele või teenuseid puudutavatele eeskirjadele ning mille järgimine lubab oletada vastavust eespool nimetatud õigus- ja haldusnormidega kehtestatud kohustustele, </w:t>
      </w:r>
    </w:p>
    <w:p w14:paraId="32E4257D" w14:textId="77777777">
      <w:pPr>
        <w:pStyle w:val="BodyText"/>
        <w:ind w:left="1287"/>
        <w:rPr>
          <w:i/>
        </w:rPr>
      </w:pPr>
    </w:p>
    <w:p w14:paraId="5E0B6B62" w14:textId="2D5EF06C">
      <w:pPr>
        <w:pStyle w:val="P68B1DB1-BodyText11"/>
        <w:numPr>
          <w:ilvl w:val="0"/>
          <w:numId w:val="31"/>
        </w:numPr>
        <w:rPr>
          <w:i/>
        </w:rPr>
      </w:pPr>
      <w:r>
        <w:t xml:space="preserve">vabatahtlikud kokkulepped, mille puhul ametiasutus on üks lepinguosaline ja mis üldistes huvides näevad ette tehniliste spetsifikatsioonide, muude nõuete või teenuseid puudutavate eeskirjade järgimise, välja arvatud riigihangete pakkumistingimused, </w:t>
      </w:r>
    </w:p>
    <w:p w14:paraId="4BEF10A9" w14:textId="77777777">
      <w:pPr>
        <w:pStyle w:val="BodyText"/>
        <w:rPr>
          <w:i/>
        </w:rPr>
      </w:pPr>
    </w:p>
    <w:p w14:paraId="5C79F6B1" w14:textId="7967F579">
      <w:pPr>
        <w:pStyle w:val="P68B1DB1-BodyText11"/>
        <w:numPr>
          <w:ilvl w:val="0"/>
          <w:numId w:val="31"/>
        </w:numPr>
        <w:rPr>
          <w:i/>
        </w:rPr>
      </w:pPr>
      <w:r>
        <w:t xml:space="preserve">tehnilised spetsifikatsioonid, muud nõuded või teenuseid käsitlevad eeskirjad, mis on seotud toodete või teenuste tarbimist mõjutavate fiskaal- või finantsmeetmetega, soodustades selliste tehniliste spetsifikatsioonide, muude nõuete või teenuseid käsitlevate eeskirjade järgimist; siia ei kuulu siseriiklike sotsiaalkindlustussüsteemidega seotud tehnilised spetsifikatsioonid või muud nõuded. </w:t>
      </w:r>
    </w:p>
    <w:p w14:paraId="712A28B1" w14:textId="77777777">
      <w:pPr>
        <w:pStyle w:val="BodyText"/>
        <w:rPr>
          <w:i/>
        </w:rPr>
      </w:pPr>
    </w:p>
    <w:p w14:paraId="24545D3F" w14:textId="615DFC82">
      <w:pPr>
        <w:pStyle w:val="P68B1DB1-BodyText11"/>
        <w:ind w:left="567"/>
        <w:rPr>
          <w:i/>
        </w:rPr>
      </w:pPr>
      <w:r>
        <w:t xml:space="preserve">See hõlmab liikmesriikide määratud asutuste kehtestatud tehnilisi eeskirju, mis sisalduvad nimekirjas, mille koostab ja mida vajaduse korral ajakohastab komisjon artiklis 2 osutatud komitee raames.“</w:t>
      </w:r>
    </w:p>
    <w:p w14:paraId="5E87FB40" w14:textId="77777777">
      <w:pPr>
        <w:pStyle w:val="BodyText"/>
        <w:ind w:left="567"/>
        <w:rPr>
          <w:i/>
        </w:rPr>
      </w:pPr>
    </w:p>
    <w:p w14:paraId="5389ED96" w14:textId="0CBC1966">
      <w:pPr>
        <w:pStyle w:val="BodyText"/>
        <w:jc w:val="right"/>
      </w:pPr>
      <w:r>
        <w:t xml:space="preserve">(direktiivi (EL) 2015/1535 artikli 1 lõike 1 punkti f teine ja kolmas lause)</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Kohtuotsus, 20. märts 1997</w:t>
        </w:r>
      </w:hyperlink>
      <w:r>
        <w:t xml:space="preserve">, Bic Benelux, C-13/96, EU:C:1997:173, punktid 23–25.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Märgistamisnõue, mille eesmärk on teavitada tarbijat teatavate toodete keskkonnajalajäljest ja mis on seotud maksuga, kuid kujutab endast tehnilist kirjeldust. Seda ei saa pidada üksnes „maksumeetmega seotuks“ ja seega ei kuulu see mõiste „de facto tehnilised eeskirjad“ alla.</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esiteks kujutab põhikohtuasjas kõne all olev märgistamisnõue endast direktiivi 83/189 artikli 1 lõikes 5 esitatud määratluse kohaselt de jure tehnilist eeskirja, kuna selle „järgimine on turustamisel kohustuslik“ ning et artikli 1 lõikes 1 esitatud määratluse kohaselt on tegemist tehnilise kirjeldusega, kuna selles on määratletud „toote nõutavad omadused, nagu [...] toote suhtes kohaldatavad [...] märgistamise või märgistamise nõuded“.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Teiseks on vaidlusaluse märgistuse eesmärk teavitada avalikkust muu hulgas toodete mõjust keskkonnale ning Belgia valitsus on kinnitanud, kui oluline on märgistamiseeskirjade see aspekt. Keskkonnamaksu eesmärki, milleks on keskkonna kaitsmine, tugevdab seega märgistus, mis sarnaselt muu keskkonnamärgisega, olenemata sellest, kas see on seotud keskkonnamaksuga või mitte, tuletab tarbijatele meelde kõnealuste toodete kahjulikku mõju keskkonnale.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Kuna vaidlusalust märgistamisnõuet ei saa mingil juhul pidada üksnes maksualaseks täiendavaks meetmeks, ei ole see maksumeetmega seotud nõue direktiivi 83/189 (muudetud direktiiviga 94/10) artikli 1 lõike 9 teise lõigu kolmanda taande tähenduses.“</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r>
        <w:rPr>
          <w:sz w:val="25"/>
        </w:rPr>
        <w:t xml:space="preserve">10. </w:t>
      </w:r>
      <w:hyperlink r:id="rId67" w:history="1">
        <w:r>
          <w:rPr>
            <w:b/>
            <w:i/>
            <w:color w:val="0000FF"/>
            <w:u w:val="single"/>
          </w:rPr>
          <w:t xml:space="preserve">juuli 2014. aasta kohtuotsus</w:t>
        </w:r>
        <w:r>
          <w:rPr>
            <w:b/>
            <w:i/>
          </w:rPr>
          <w:t xml:space="preserve"> Ivansson jt</w:t>
        </w:r>
        <w:r>
          <w:rPr>
            <w:b/>
            <w:i/>
            <w:color w:val="0000FF"/>
            <w:u w:val="single"/>
          </w:rPr>
          <w:t>,</w:t>
        </w:r>
      </w:hyperlink>
      <w:r>
        <w:rPr>
          <w:b/>
          <w:i/>
        </w:rPr>
        <w:t xml:space="preserve"> C-307/13, EU:C:2014:2058, punktid 30 ja 31.</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Viide üksikasjalikele halduseeskirjadele, mis sisaldavad „tehnilisi spetsifikatsioone“ või „muid nõudeid“, võib anda eelnõule „de facto tehnilise eeskirja“ staatuse.</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tuleb tõdeda, et kuigi </w:t>
      </w:r>
      <w:r>
        <w:rPr>
          <w:i w:val="0"/>
        </w:rPr>
        <w:t xml:space="preserve">[siseriikliku õiguse]</w:t>
      </w:r>
      <w:r>
        <w:t xml:space="preserve"> lõige ise ei kujuta endast tehnilist eeskirja, viitab see teises lõigus kanade pidamist käsitlevatele lisasätetele, millest põllumajandusamet teatab hiljem.</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Selline viide üksikasjalikumatele halduseeskirjadele annab tõenäoliselt direktiivi 98/34 artikli 1 punkti 11 esimese taande tähenduses „de facto tehnilise eeskirja“ staatuse, kui neid eeskirju võib pidada „tehnilisteks spetsifikatsioonideks“ või „muudeks nõueteks“.</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Kohtuotsus, 11. juuni 2015</w:t>
        </w:r>
      </w:hyperlink>
      <w:r>
        <w:t xml:space="preserve">, Berlington Hungary jt, C-98/14, EU:C:2015:386, punktid 95–97.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Siseriiklikud õigusnormid, mis korrutavad mängusaalides käitatavatelt mänguautomaatidelt tasumisele kuuluva maksu viiega ja kehtestavad ka selle tegevuse suhtes proportsionaalse maksu, ei kujuta endast „de facto tehnilisi eeskirju“, kuna tegemist on maksusätetega, mitte „maksueeskirjaga seotud tehniliste kirjeldustega“ direktiivi tähenduses.</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Selle direktiivi artikli 1 lõike 11 kolmanda taande kohaselt koosnevad „de facto tehnilised eeskirjad“ selle sätte tähenduses „tehnilistest kirjeldustest või muudest nõuetest või teenuste eeskirjadest, mis on seotud toodete või teenuste tarbimist mõjutavate maksu- või finantsmeetmetega, soodustades selliste tehniliste spetsifikatsioonide või muude nõuete või teenuseid käsitlevate eeskirjade järgimist“.</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Sellest sõnastusest tuleneb, et mõiste „de facto tehnilised eeskirjad“ ei tähenda mitte maksumeetmeid, vaid tehnilisi kirjeldusi või muid sellega seotud nõudeid.</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Seega ei saa selliseid maksuõigusnorme, nagu on kõne all põhikohtuasjas ja millele ei ole lisatud ühtegi tehnilist kirjeldust ega muud nõuet, mille järgimise tagamine on väidetavalt ette nähtud, kvalifitseerida „de facto tehnilisteks eeskirjadeks“.</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r>
        <w:t xml:space="preserve">8. </w:t>
      </w:r>
      <w:hyperlink r:id="rId69" w:history="1">
        <w:r>
          <w:rPr>
            <w:color w:val="0000FF"/>
            <w:u w:val="single"/>
          </w:rPr>
          <w:t xml:space="preserve">oktoobri 2020. aasta kohtuotsus Admiral</w:t>
        </w:r>
      </w:hyperlink>
      <w:r>
        <w:t xml:space="preserve"> Sportwetten jt, EU:C:2020:812, punktid 38 ja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Maksuõigusnorme, millele ei ole lisatud ühtegi „tehnilist spetsifikatsiooni“ ega muud nõuet, mille järgimise tagamine on ette nähtud, ei saa kvalifitseerida „de facto tehnilisteks eeskirjadeks“. Siseriiklikud maksuõigusnormid, mis näevad ette spordikihlvedude korraldamise maksustamise, ei kujuta endast seega „tehnilist eeskirja“.</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mis puudutab de facto tehnilisi eeskirju direktiivi 2015/1535 artikli 1 lõike 1 punkti f alapunkti iii tähenduses, siis on Euroopa Kohus juba otsustanud, et maksuõigusnorme, millele ei ole lisatud ühtegi tehnilist kirjeldust ega muud nõuet, mille järgimise tagamine on väidetavalt ette nähtud, ei saa kvalifitseerida „de facto tehnilisteks eeskirjadeks“ (vt selle kohta 11. juuni 2015. aasta kohtuotsus Berlington Hungary jt, C 98/14</w:t>
        <w:noBreakHyphen/>
        <w:t xml:space="preserve">, EU:C:2015:386, punkt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Järelikult tuleb kõiki eeltoodud kaalutlusi arvestades esimesele küsimusele vastata, et direktiivi 2015/1535 artiklit 1 tuleb tõlgendada nii, et riigisisene maksueeskiri, mis näeb ette kihlveoterminalide käitamise maksustamise, ei ole „tehniline eeskiri“ selle artikli tähenduses.“</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r>
        <w:rPr>
          <w:rFonts w:ascii="Times New Roman" w:hAnsi="Times New Roman" w:cs="Times New Roman" w:eastAsia="Times New Roman"/>
          <w:b/>
          <w:i/>
          <w:szCs w:val="20"/>
        </w:rPr>
        <w:t xml:space="preserve">22. </w:t>
      </w:r>
      <w:hyperlink r:id="rId70" w:history="1">
        <w:r>
          <w:rPr>
            <w:rStyle w:val="Hyperlink"/>
            <w:rFonts w:ascii="Times New Roman" w:hAnsi="Times New Roman" w:cs="Times New Roman" w:eastAsia="Times New Roman"/>
            <w:b/>
            <w:i/>
            <w:color w:val="0000FF"/>
            <w:szCs w:val="20"/>
          </w:rPr>
          <w:t xml:space="preserve">detsembri 2022. aasta kohtuotsus Airbnb Ireland</w:t>
        </w:r>
      </w:hyperlink>
      <w:r>
        <w:rPr>
          <w:rFonts w:ascii="Times New Roman" w:hAnsi="Times New Roman" w:cs="Times New Roman" w:eastAsia="Times New Roman"/>
          <w:b/>
          <w:i/>
          <w:szCs w:val="20"/>
        </w:rPr>
        <w:t xml:space="preserve"> ja Airbnb Payments UK, C 83/21</w:t>
        <w:noBreakHyphen/>
        <w:t xml:space="preserve">, EU:C:2022:1018, punktid 29 ja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Maksuõigusnorme kui selliseid ei saa kvalifitseerida „de facto tehnilisteks eeskirjadeks“.</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Kolmandana, mis puudutab direktiivi 2015/1535, siis tuleb märkida, et selles on võetud arvesse „[EL] toimimise lepingut, eriti selle artikleid 114, 337 ja 43“. Seega tuleb kõigepealt märkida, et ELTL artikli 114 lõikes 2 sätestatud „maksusätete“ väljajätmine on kohaldatav ka seoses osutatud direktiiviga põhjustel, mis on välja toodud käesoleva kohtuotsuse punktis 25.</w:t>
      </w:r>
    </w:p>
    <w:p w14:paraId="5619063A" w14:textId="77777777">
      <w:pPr>
        <w:pStyle w:val="P68B1DB1-BodyText19"/>
        <w:ind w:left="567"/>
      </w:pPr>
    </w:p>
    <w:p w14:paraId="43BD732D" w14:textId="6B6E6B11">
      <w:pPr>
        <w:pStyle w:val="P68B1DB1-BodyText19"/>
        <w:ind w:left="567"/>
        <w:rPr>
          <w:iCs/>
        </w:rPr>
      </w:pPr>
      <w:r>
        <w:t xml:space="preserve">30. Lisaks kinnitab seda, et „maksusätted“ on direktiivi 2015/1535 kohaldamisalast välja jäetud, kaudselt ka selle direktiivi sisu, kuna selle direktiivi artikli 1 lõike 1 punkti f alapunktis iii on de facto tehniliste eeskirjade hulgas nimetatud tehnilisi spetsifikatsioone, muid nõudeid või teenuseid puudutavaid eeskirju, mis „on seotud fiskaal- või finantsmeetmetega“. Need ei ole seega tegelikud maksumeetmed, vaid üksnes maksumeetmetega seotud meetmed (vt selle kohta 8. oktoobri 2020. aasta kohtuotsus Admiral Sportwetten jt, C-711/19, EU:C:2020:812, punkt 38); seega jäävad viimati nimetatud direktiivi kohaldamisalast välja.“</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Välja jäetud küsimused</w:t>
      </w:r>
      <w:bookmarkEnd w:id="117"/>
      <w:bookmarkEnd w:id="118"/>
      <w:bookmarkEnd w:id="119"/>
    </w:p>
    <w:p w14:paraId="1278603B" w14:textId="77777777">
      <w:pPr>
        <w:pStyle w:val="BodyText"/>
        <w:rPr>
          <w:b/>
          <w:bCs/>
        </w:rPr>
      </w:pPr>
    </w:p>
    <w:p w14:paraId="1B32B976" w14:textId="77777777">
      <w:pPr>
        <w:pStyle w:val="P68B1DB1-BodyText11"/>
        <w:ind w:left="567"/>
      </w:pPr>
      <w:r>
        <w:t xml:space="preserve">„2. Käesolevat direktiivi ei kohaldata järgmise suhtes: </w:t>
      </w:r>
    </w:p>
    <w:p w14:paraId="04019AF2" w14:textId="77777777">
      <w:pPr>
        <w:pStyle w:val="P68B1DB1-BodyText11"/>
        <w:ind w:left="1287" w:firstLine="153"/>
      </w:pPr>
      <w:r>
        <w:t xml:space="preserve">a) raadioringhäälinguteenused; </w:t>
      </w:r>
    </w:p>
    <w:p w14:paraId="1EADA741" w14:textId="108B47F0">
      <w:pPr>
        <w:pStyle w:val="P68B1DB1-BodyText11"/>
        <w:ind w:left="1440"/>
      </w:pPr>
      <w:r>
        <w:t xml:space="preserve">b) Euroopa Parlamendi ja nõukogu direktiivi 2010/13/EL (1) artikli 1 lõike 1 punktiga e hõlmatud teleringhäälinguteenused. </w:t>
      </w:r>
    </w:p>
    <w:p w14:paraId="7DD31811" w14:textId="77777777">
      <w:pPr>
        <w:pStyle w:val="P68B1DB1-BodyText11"/>
        <w:ind w:left="567"/>
      </w:pPr>
    </w:p>
    <w:p w14:paraId="21C04911" w14:textId="0885ED27">
      <w:pPr>
        <w:pStyle w:val="P68B1DB1-BodyText11"/>
        <w:ind w:left="567"/>
      </w:pPr>
      <w:r>
        <w:t xml:space="preserve">3. Käesolevat direktiivi ei kohaldata eeskirjade suhtes, mis on seotud Euroopa Parlamendi ja nõukogu direktiiviga 2002/21/EÜ [2] reguleeritud telekommunikatsiooniteenuseid käsitlevate liidu õigusaktidega. </w:t>
      </w:r>
    </w:p>
    <w:p w14:paraId="14E66827" w14:textId="77777777">
      <w:pPr>
        <w:pStyle w:val="P68B1DB1-BodyText11"/>
        <w:ind w:left="567"/>
      </w:pPr>
    </w:p>
    <w:p w14:paraId="21D3AD3B" w14:textId="663656A4">
      <w:pPr>
        <w:pStyle w:val="P68B1DB1-BodyText11"/>
        <w:ind w:left="567"/>
      </w:pPr>
      <w:r>
        <w:t xml:space="preserve">4. Käesolevat direktiivi ei kohaldata finantsteenuste valdkonna liidu õigusaktidega hõlmatud küsimustega seotud eeskirjade suhtes, mis on loetletud mitteammendavalt käesoleva direktiivi II lisas. </w:t>
      </w:r>
    </w:p>
    <w:p w14:paraId="0E58960E" w14:textId="77777777">
      <w:pPr>
        <w:pStyle w:val="P68B1DB1-BodyText11"/>
        <w:ind w:left="567"/>
      </w:pPr>
    </w:p>
    <w:p w14:paraId="66AEA247" w14:textId="77777777">
      <w:pPr>
        <w:pStyle w:val="P68B1DB1-BodyText11"/>
        <w:ind w:left="567"/>
      </w:pPr>
      <w:r>
        <w:t xml:space="preserve">5. Käesolevat direktiivi, välja arvatud artikli 5 lõiget 3, ei kohaldata eeskirjade suhtes, mis on kehtestatud Euroopa Parlamendi ja nõukogu direktiivi 2004/39/EÜ[3] tähenduses reguleeritud turgude poolt või nende jaoks või muude turgude või nende turgude jaoks kliiringu- või arveldusülesandeid täitvate organite poolt.</w:t>
      </w:r>
    </w:p>
    <w:p w14:paraId="5D510CB9" w14:textId="77777777">
      <w:pPr>
        <w:pStyle w:val="P68B1DB1-BodyText11"/>
        <w:ind w:left="567"/>
      </w:pPr>
    </w:p>
    <w:p w14:paraId="70E3F74F" w14:textId="117D7E99">
      <w:pPr>
        <w:pStyle w:val="P68B1DB1-BodyText11"/>
        <w:ind w:left="567"/>
      </w:pPr>
      <w:r>
        <w:t xml:space="preserve">6. Käesolevat direktiivi ei kohaldata nende meetmete suhtes, mida liikmesriigid peavad asutamislepingute alusel vajalikuks isikute, eelkõige töötajate kaitse tagamiseks toodete kasutamisel, eeldades, et need meetmed ei avalda mõju toodetele.</w:t>
      </w:r>
    </w:p>
    <w:p w14:paraId="24FE75EA" w14:textId="77777777">
      <w:pPr>
        <w:pStyle w:val="P68B1DB1-BodyText11"/>
        <w:ind w:left="567"/>
      </w:pPr>
    </w:p>
    <w:p w14:paraId="74938EC0" w14:textId="5965F3C9">
      <w:pPr>
        <w:pStyle w:val="BodyText"/>
        <w:ind w:left="1080"/>
        <w:jc w:val="right"/>
      </w:pPr>
      <w:r>
        <w:t xml:space="preserve">(Direktiivi (EL) 2015/1535 artikli 1 lõiked 2–6)</w:t>
      </w:r>
    </w:p>
    <w:p w14:paraId="2BAD670C" w14:textId="77777777">
      <w:pPr>
        <w:pStyle w:val="BodyText"/>
        <w:rPr>
          <w:i/>
          <w:iCs/>
          <w:sz w:val="20"/>
        </w:rPr>
      </w:pPr>
    </w:p>
    <w:p w14:paraId="0C974BBF" w14:textId="3B58908A">
      <w:pPr>
        <w:pStyle w:val="P68B1DB1-BodyText23"/>
        <w:ind w:left="567"/>
        <w:rPr>
          <w:iCs/>
        </w:rPr>
      </w:pPr>
      <w:r>
        <w:t xml:space="preserve">„„teleringhääling“ või „teleülekanne“ (st lineaarne audiovisuaalmeedia teenus) – audiovisuaalmeedia teenus, mida osutab meediateenuse osutaja saadete samaaegseks vaatamiseks saatekava alusel;“</w:t>
      </w:r>
    </w:p>
    <w:p w14:paraId="68D48BC5" w14:textId="77777777">
      <w:pPr>
        <w:pStyle w:val="BodyText"/>
        <w:ind w:left="567"/>
        <w:rPr>
          <w:i/>
          <w:iCs/>
          <w:szCs w:val="24"/>
        </w:rPr>
      </w:pPr>
    </w:p>
    <w:p w14:paraId="1E9F9AD6" w14:textId="648E8643">
      <w:pPr>
        <w:pStyle w:val="BodyText"/>
        <w:ind w:left="1080"/>
        <w:jc w:val="right"/>
      </w:pPr>
      <w:r>
        <w:t xml:space="preserve">(Direktiivi 2010/13/EL artikli 1 lõike 1 punkt e)</w:t>
      </w:r>
    </w:p>
    <w:p w14:paraId="13E3D11F" w14:textId="77777777">
      <w:pPr>
        <w:pStyle w:val="BodyText"/>
        <w:ind w:left="1080"/>
        <w:jc w:val="right"/>
      </w:pPr>
    </w:p>
    <w:p w14:paraId="6E0ADBB8" w14:textId="55100584">
      <w:pPr>
        <w:pStyle w:val="P68B1DB1-BodyText11"/>
        <w:jc w:val="center"/>
        <w:rPr>
          <w:i/>
        </w:rPr>
      </w:pPr>
      <w:r>
        <w:t xml:space="preserve">Artikli 1 lõikega 4 hõlmatud finantsteenuste näidisloetelu</w:t>
      </w:r>
    </w:p>
    <w:p w14:paraId="25F72A02" w14:textId="77777777">
      <w:pPr>
        <w:pStyle w:val="BodyText"/>
        <w:jc w:val="center"/>
        <w:rPr>
          <w:i/>
        </w:rPr>
      </w:pPr>
    </w:p>
    <w:p w14:paraId="319C26B1" w14:textId="77777777">
      <w:pPr>
        <w:pStyle w:val="P68B1DB1-BodyText11"/>
        <w:ind w:left="567"/>
        <w:rPr>
          <w:i/>
        </w:rPr>
      </w:pPr>
      <w:r>
        <w:t xml:space="preserve">– Investeerimisteenused, </w:t>
      </w:r>
    </w:p>
    <w:p w14:paraId="4E853016" w14:textId="77777777">
      <w:pPr>
        <w:pStyle w:val="P68B1DB1-BodyText11"/>
        <w:ind w:left="567"/>
        <w:rPr>
          <w:i/>
        </w:rPr>
      </w:pPr>
      <w:r>
        <w:t xml:space="preserve">– kindlustus- ja edasikindlustustegevus, </w:t>
      </w:r>
    </w:p>
    <w:p w14:paraId="6692A963" w14:textId="77777777">
      <w:pPr>
        <w:pStyle w:val="P68B1DB1-BodyText11"/>
        <w:ind w:left="567"/>
        <w:rPr>
          <w:i/>
        </w:rPr>
      </w:pPr>
      <w:r>
        <w:t xml:space="preserve">– pangandusteenused, </w:t>
      </w:r>
    </w:p>
    <w:p w14:paraId="23791C4C" w14:textId="77777777">
      <w:pPr>
        <w:pStyle w:val="P68B1DB1-BodyText11"/>
        <w:ind w:left="567"/>
        <w:rPr>
          <w:i/>
        </w:rPr>
      </w:pPr>
      <w:r>
        <w:t xml:space="preserve">– pensionifondidega seotud toimingud, </w:t>
      </w:r>
    </w:p>
    <w:p w14:paraId="783F6792" w14:textId="77777777">
      <w:pPr>
        <w:pStyle w:val="P68B1DB1-BodyText11"/>
        <w:ind w:left="567"/>
        <w:rPr>
          <w:i/>
        </w:rPr>
      </w:pPr>
      <w:r>
        <w:t xml:space="preserve">– futuuri- või optsioonitehingutega seotud teenused. </w:t>
      </w:r>
    </w:p>
    <w:p w14:paraId="2DCD1B55" w14:textId="77777777">
      <w:pPr>
        <w:pStyle w:val="BodyText"/>
        <w:ind w:left="567"/>
        <w:rPr>
          <w:i/>
        </w:rPr>
      </w:pPr>
    </w:p>
    <w:p w14:paraId="337555AF" w14:textId="77777777">
      <w:pPr>
        <w:pStyle w:val="P68B1DB1-BodyText11"/>
        <w:ind w:left="567"/>
        <w:rPr>
          <w:i/>
        </w:rPr>
      </w:pPr>
      <w:r>
        <w:t xml:space="preserve">Selliste teenuste hulka kuuluvad eelkõige: </w:t>
      </w:r>
    </w:p>
    <w:p w14:paraId="3764E7FA" w14:textId="7CA8CD82">
      <w:pPr>
        <w:pStyle w:val="P68B1DB1-BodyText11"/>
        <w:ind w:left="567"/>
        <w:rPr>
          <w:i/>
        </w:rPr>
      </w:pPr>
      <w:r>
        <w:t xml:space="preserve">a) direktiivi 2004/39/EÜ lisas osutatud investeerimisteenused; ühisinvesteerimisettevõtjate teenused; </w:t>
      </w:r>
    </w:p>
    <w:p w14:paraId="5E0AD7FB" w14:textId="67C20460">
      <w:pPr>
        <w:pStyle w:val="P68B1DB1-BodyText11"/>
        <w:ind w:left="567"/>
        <w:rPr>
          <w:i/>
        </w:rPr>
      </w:pPr>
      <w:r>
        <w:t xml:space="preserve">b) teenused, mis on hõlmatud Euroopa Parlamendi ja nõukogu direktiivi 2013/36/EL (1) I lisas osutatud vastastikuse tunnustamise alla kuuluvate tegevustega; </w:t>
      </w:r>
    </w:p>
    <w:p w14:paraId="48C2F22B" w14:textId="3B1B8A48">
      <w:pPr>
        <w:pStyle w:val="P68B1DB1-BodyText11"/>
        <w:ind w:left="567"/>
        <w:rPr>
          <w:i/>
        </w:rPr>
      </w:pPr>
      <w:r>
        <w:t xml:space="preserve">C) Euroopa Parlamendi ja nõukogu direktiivis 2009/138/EÜ (2) osutatud kindlustus- ja edasikindlustustegevusega hõlmatud tegevused.</w:t>
      </w:r>
    </w:p>
    <w:p w14:paraId="29E9A8E3" w14:textId="77777777">
      <w:pPr>
        <w:pStyle w:val="BodyText"/>
        <w:ind w:left="720"/>
        <w:rPr>
          <w:i/>
        </w:rPr>
      </w:pPr>
    </w:p>
    <w:p w14:paraId="79D13F1F" w14:textId="142C9AC5">
      <w:pPr>
        <w:pStyle w:val="BodyText"/>
        <w:ind w:left="1080"/>
        <w:jc w:val="right"/>
      </w:pPr>
      <w:r>
        <w:t xml:space="preserve">(Direktiivi (EL) 2015/1535 II lisa)</w:t>
      </w:r>
    </w:p>
    <w:p w14:paraId="0C95D790" w14:textId="77777777">
      <w:pPr>
        <w:pStyle w:val="BodyText"/>
        <w:ind w:left="567"/>
        <w:rPr>
          <w:i/>
          <w:iCs/>
          <w:szCs w:val="24"/>
        </w:rPr>
      </w:pPr>
    </w:p>
    <w:p w14:paraId="7A47117F" w14:textId="7E196DE2">
      <w:pPr>
        <w:pStyle w:val="P68B1DB1-BodyText23"/>
        <w:ind w:left="567"/>
        <w:rPr>
          <w:iCs/>
        </w:rPr>
      </w:pPr>
      <w:r>
        <w:t xml:space="preserve">„reguleeritud turg – mitmepoolne süsteem, mida käitab ja/või juhib turu korraldaja ja mis koondab või hõlbustab mitme kolmanda isiku finantsinstrumentide ostu- ja müügihuvi kokkuviimist süsteemis ja selle mittediskretsionaarsete eeskirjade kohaselt viisil, mille tulemuseks on leping seoses finantsinstrumentidega, mis on lubatud kauplemisele selle eeskirjade ja/või süsteemide alusel, ning mis on volitatud ja toimib korrapäraselt ja kooskõlas käesoleva direktiivi III jaotisega;“</w:t>
      </w:r>
    </w:p>
    <w:p w14:paraId="326B89D5" w14:textId="77777777">
      <w:pPr>
        <w:pStyle w:val="BodyText"/>
        <w:ind w:left="567"/>
        <w:rPr>
          <w:i/>
          <w:iCs/>
          <w:szCs w:val="24"/>
        </w:rPr>
      </w:pPr>
    </w:p>
    <w:p w14:paraId="2EE59DAD" w14:textId="7FE2F68F">
      <w:pPr>
        <w:pStyle w:val="P68B1DB1-BodyText24"/>
        <w:ind w:left="567"/>
        <w:jc w:val="right"/>
      </w:pPr>
      <w:r>
        <w:t xml:space="preserve">(Direktiivi (EL) 2014/65 artikli 4 punkt 21, </w:t>
      </w:r>
    </w:p>
    <w:p w14:paraId="510D994F" w14:textId="6EE676DC">
      <w:pPr>
        <w:pStyle w:val="P68B1DB1-BodyText24"/>
        <w:ind w:left="567"/>
        <w:jc w:val="right"/>
      </w:pPr>
      <w:r>
        <w:t xml:space="preserve">direktiivi 2004/39/EÜ uuesti sõnastamine)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Kohtuotsus, 2. juuni 2005</w:t>
        </w:r>
      </w:hyperlink>
      <w:r>
        <w:rPr>
          <w:rFonts w:ascii="Times New Roman" w:hAnsi="Times New Roman" w:cs="Times New Roman" w:eastAsia="Times New Roman"/>
          <w:b/>
          <w:i/>
          <w:szCs w:val="20"/>
        </w:rPr>
        <w:t xml:space="preserve">, Mediakabel BV, C-89/04, EU:C:2005:348, punktid 22 ja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Abonendi tellimusel kättesaadav teleringhäälinguteenus, mis koosneb filmidest, mille sageduse ja ajastuse määrab kindlaks teenuseosutaja, kujutab endast „tellitavate videoteenuste“ teenust, mis kuulub mõiste „teleringhäälinguteenused“ alla. See mõiste on direktiivis 2010/13/EL (endine direktiiv 89/552/EMÜ) autonoomselt määratletud, sõltumata mõistest „infoühiskonna teenus“.</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kindlasti ei saa mõiste „teleringhääling“ ulatust tuletada mõistest „infoühiskonna teenus“ väljajätmisega. Direktiivi 98/34 artikli 1 punktis 2 ning ka direktiivi V lisas mainitakse teenuseid, mis ei ole hõlmatud infoühiskonna teenuse mõistega ja mis samuti ei kujuta endast teleringhäälingu teenuseid. See käib eelkõige raadioringhäälingu teenuste kohta. Samas ei saa teleringhäälingu teenused piirduda direktiivi 98/34 V lisa punktis 3 ette nähtud teenustega, „mida osutatakse, edastades andmeid üksikisiku nõudeta, ning mis on mõeldud samaaegselt piiramatule arvule vastuvõtjatele“. Kui toetada sellist tõlgendust, siis oleksid sellised teenused, nagu tellimuse alusel televisiooniteenused, mida levitatakse piiratud arvule vastuvõtjatele, „teleringhäälingu teenuse“ mõistest välistatud, samas kui direktiivi 89/552 artikli 1 punktis a ettenähtud kriteeriumide alusel on nad selle mõistega hõlmatud.</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Lõpuks ei olnud ühenduse seadusandja eesmärgiks direktiive 98/34 ja 98/48 vastu võttes muuta direktiivi 89/552, mida oli vähem kui aasta enne seda muudetud direktiiviga 97/36. Direktiivi 98/48, millega muudeti direktiivi 98/34, põhjenduses 20 on märgitud, et direktiiv 98/48 „ei piira [...] direktiivi 89/552 reguleerimisala“.</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r>
        <w:t xml:space="preserve">12. </w:t>
      </w:r>
      <w:hyperlink r:id="rId72" w:history="1">
        <w:r>
          <w:rPr>
            <w:color w:val="0000FF"/>
            <w:u w:val="single"/>
          </w:rPr>
          <w:t xml:space="preserve">septembri 2019. aasta kohtuotsus VG</w:t>
        </w:r>
      </w:hyperlink>
      <w:r>
        <w:t xml:space="preserve"> Media, C-299/17, EU:C:2019:716, punkt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Erinevalt telekommunikatsiooni- ja finantsteenustega seotud eeskirjadest ei ole intellektuaalomandi valdkonna tehnilised eeskirjad direktiivi kohaldamisalast välja jäetud.</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asjaolu, et UrhG § 87 g lõige 4 kuulub autoriõigust või autoriõigusega kaasnevaid õigusi käsitlevatesse siseriiklikesse õigusnormidesse, ei sea seda hinnangut kahtluse alla. Intellektuaalomandit käsitlevad tehnilised eeskirjad ei ole nimelt direktiivi 98/34 artikli 1 punkti 5 kohaldamisalast sõnaselgelt välistatud, erinevalt eeskirjadest, mis kuuluvad telekommunikatsiooniteenuseid või finantsteenuseid käsitlevate liidu õigusaktide reguleerimisalasse. Lisaks nähtub 8. novembri 2007. aasta kohtuotsusest Schwibbert (C 20/05</w:t>
        <w:noBreakHyphen/>
        <w:t xml:space="preserve">, EU:C:2007:652), et siseriiklike intellektuaalomandi õigusnormide sätted võivad kujutada endast „tehnilist eeskirja“, millest tuleb direktiivi artikli 8 lõike 1 kohaselt teatada.“</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Teatamiskohustus</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Teade esialgses etapis</w:t>
      </w:r>
      <w:bookmarkEnd w:id="123"/>
      <w:bookmarkEnd w:id="124"/>
    </w:p>
    <w:p w14:paraId="27EBED2C" w14:textId="3CCBF668">
      <w:pPr>
        <w:pStyle w:val="BodyText"/>
        <w:rPr>
          <w:b/>
          <w:bCs/>
        </w:rPr>
      </w:pPr>
    </w:p>
    <w:p w14:paraId="58135D0C" w14:textId="021350D1">
      <w:pPr>
        <w:pStyle w:val="P68B1DB1-BodyText11"/>
        <w:ind w:left="567"/>
        <w:rPr>
          <w:iCs/>
        </w:rPr>
      </w:pPr>
      <w:r>
        <w:t xml:space="preserve">„Kui artiklist 7 ei tulene teisiti, edastavad liikmesriigid komisjonile viivitamata kõik tehniliste eeskirjade eelnõud, välja arvatud juhul, kui sellega üksnes võetakse üle rahvusvahelise või Euroopa standardi terviktekst, millisel juhul piisab asjakohase standardiga seotud teabest; samuti teatavad nad komisjonile põhjused, miks selliste tehniliste eeskirjade jõustamine on vajalik, kui neid põhjusi ei ole eelnõus juba selgitatud.“</w:t>
      </w:r>
    </w:p>
    <w:p w14:paraId="79E57C28" w14:textId="77777777">
      <w:pPr>
        <w:pStyle w:val="BodyText"/>
        <w:ind w:left="567"/>
        <w:rPr>
          <w:i/>
          <w:iCs/>
        </w:rPr>
      </w:pPr>
    </w:p>
    <w:p w14:paraId="4348B9F9" w14:textId="1F348A6E">
      <w:pPr>
        <w:pStyle w:val="BodyText"/>
        <w:jc w:val="right"/>
      </w:pPr>
      <w:r>
        <w:t xml:space="preserve">(direktiivi (EL) 2015/1535 artikli 5 lõike 1 esimene lause)</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r>
        <w:t xml:space="preserve">2. </w:t>
      </w:r>
      <w:hyperlink r:id="rId73" w:history="1">
        <w:r>
          <w:rPr>
            <w:color w:val="0000FF"/>
            <w:u w:val="single"/>
          </w:rPr>
          <w:t xml:space="preserve">augusti 1993. aasta kohtuotsus komisjon</w:t>
        </w:r>
      </w:hyperlink>
      <w:r>
        <w:t xml:space="preserve"> vs. Itaalia, C-139/92, EU:C:1993:346, punktid 8 ja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Kuna Itaalia ei teatanud eelnõu etapis ministri dekreedist, mis käsitleb maksimaalse võimsuse määratlemist ja kontrollimist ning lõbusõidulaevade mootorite ehitamist ja paigaldamist, siis on Itaalia rikkunud tehniliste eeskirjade eelnõudest teatamise kohustust.</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Itaalia valitsus ei vaidle vastu sellele, et ta ei edastanud kõnealust ministri määrust komisjonile eelnõu staadiumis.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Kuna on tuvastatud, et direktiivi artikleid 8 ja 9 on rikutud, tuleb komisjoni nõutud viisil tuvastada liikmesriigi kohustuste rikkumine.“</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Kohtuotsus, 14. juuli 1994</w:t>
        </w:r>
      </w:hyperlink>
      <w:r>
        <w:t xml:space="preserve">, komisjon vs. Madalmaad, C-61/93, EU:C:1994:302, punktid 6 ja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Kuna Madalmaad võtsid vastu dekreedid, mis käsitlevad karastusjookide resistentsuse nõudeid ning pestitsiidide koostist, klassifitseerimist, pakendamist ja märgistamist, teavitamata neist eelnõudest komisjoni, siis on Madalmaad rikkunud tehniliste eeskirjade eelnõudest teatamise kohustust.</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Madalmaade ametiasutused tunnistasid 17. novembri 1989. aasta kirjas, et 16. jaanuari 1989. aasta dekreet sisaldas direktiivi 83/189 kohaldamisalasse kuuluvaid tehnilisi standardeid ning et nad ei ole komisjonile muudatuse eelnõust teatanud. Nad märkisid siiski, et dekreet saadeti komisjonile, mis on lisatud 22. mai 1989. aasta kirjale, milles anti komisjonile teavet kaalude ja meetmete võtmisega tegelevate ametiasutuste erastamise kohta.“</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Vaidlust ei ole selle üle, et direktiivi artikli 8 kohaselt oleks 16. jaanuari 1989. aasta, 24. augusti 1988. aasta ja 21. oktoobri 1988. aasta dekreetide eelnõudest tulnud komisjonile nende koostamise etapis viivitamata teatada ning et sellist teatamist ei toimunud.“</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Kohtuotsus, 14. juuli 1994</w:t>
        </w:r>
      </w:hyperlink>
      <w:r>
        <w:t xml:space="preserve">, komisjon vs. Madalmaad, C-52/93, EU:C:1994:301, punktid 6 ja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Muutes lillesibulate kvaliteedistandardeid käsitlevat määrust, teavitamata sellest eelnõust komisjoni, on Madalmaad rikkunud tehniliste eeskirjade eelnõudest teatamise kohustust.</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Madalmaade ametiasutused tunnistasid 4. novembri 1991. aasta kirjas, et kõnealune määrus on tehniline eeskiri direktiivi 83/189 tähenduses ja et nad ei ole komisjonile muudatuse eelnõust teatanud.“</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Vaidlust ei ole selles, et vastavalt direktiivi XIII muudatuse eelnõu artiklile 8 oleks tulnud komisjoni viivitamata teavitada ja et sellist teadet ei esitatud.“</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r>
        <w:t xml:space="preserve">8. </w:t>
      </w:r>
      <w:hyperlink r:id="rId76" w:history="1">
        <w:r>
          <w:rPr>
            <w:color w:val="0000FF"/>
            <w:u w:val="single"/>
          </w:rPr>
          <w:t xml:space="preserve">septembri 2005. aasta kohtuotsus komisjon</w:t>
        </w:r>
      </w:hyperlink>
      <w:r>
        <w:t xml:space="preserve"> vs. Portugal, C-500/03, EU:C:2005:515, punktid 39–41.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Direktiiviga nõutakse, et liikmesriigid teavitaksid komisjoni viivitamata kõigist tehniliste eeskirjade eelnõudest. Kuna Portugal võttis vastu tehnilise eeskirja, teavitamata sellest komisjoni, siis on ta rikkunud tehniliste eeskirjade eelnõudest teatamise kohustust.</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(Kuna kohtuotsus on kättesaadav ainult prantsuse ja portugali keeles, on järgmine tekst tõlge.)</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Kuna käesolev liikmesriigi kohustuste rikkumise hagi piirdub ametliku eelneva teatamise menetluse rikkumise tuvastamise nõudega, siis piisab, kui märkida, ilma et oleks vaja vastata poolte teistele argumentidele, et Euroopa Kohus on juba otsustanud, et direktiivi 98/34 artikli 8 lõige 1 kohustab liikmesriike viivitamata edastama komisjonile kõik tehniliste eeskirjade eelnõud (vt selle kohta eelkõige selle direktiivi sätetega analoogsete sätete kohta 2. augusti 1993. aasta otsus kohtuasjas 139/92: komisjon vs. Itaalia, EKL 1993, lk</w:t>
        <w:noBreakHyphen/>
        <w:t xml:space="preserve">I 3, punkt</w:t>
        <w:noBreakHyphen/>
        <w:t xml:space="preserve">31, ja 11. jaanuari 1996. aasta otsus kohtuasjas 273/94: komisjon vs. Madalmaad, EKL [15] lk I-</w:t>
        <w:noBreakHyphen/>
        <w:t xml:space="preserve">, punkt).</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Kuna dekreedi nr 783/98 asjakohased sätted kujutavad endast tehnilisi eeskirju direktiivi 98/34 tähenduses, nagu on märgitud käesoleva kohtuotsuse punktis 31, pidi Portugali Vabariik nendest direktiivi 98/34 artikli 8 lõike 1 alusel eelnõust teatama (vt selle kohta eelkõige direktiivi 98/34 sätetega analoogsete sätete kohta 7. mai 1998. aasta otsus kohtuasjas 145/97: komisjon vs. Belgia, EKL 19643,</w:t>
        <w:noBreakHyphen/>
        <w:t>lk</w:t>
        <w:noBreakHyphen/>
        <w:t xml:space="preserve">I-13, punkt 43, ja 21. aprilli 2005. aasta otsus kohtuasjas 267/03: Lindberg, </w:t>
        <w:noBreakHyphen/>
        <w:t xml:space="preserve">EKL 2005, lk I-, punkt 43).</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Järelikult tuleb asuda seisukohale, et kuna Portugali Vabariik võttis vastu määruse nr 783/98, teavitamata sellest eelnõu staadiumis komisjoni, siis on ta rikkunud direktiivi 98/34 artiklist 8 tulenevaid kohustusi.“</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r>
        <w:t xml:space="preserve">26. </w:t>
      </w:r>
      <w:hyperlink r:id="rId77" w:history="1">
        <w:r>
          <w:rPr>
            <w:rStyle w:val="Hyperlink"/>
            <w:color w:val="0000FF"/>
          </w:rPr>
          <w:t xml:space="preserve">oktoobri 2006. aasta kohtuotsus komisjon</w:t>
        </w:r>
      </w:hyperlink>
      <w:r>
        <w:t xml:space="preserve"> vs. Kreeka, C-65/05, EU:C:2006:673, punktid 60–62.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Direktiiviga nõutakse, et liikmesriigid teavitaksid komisjoni viivitamata kõigist tehniliste eeskirjade eelnõudest. Kuna Kreeka ei teatanud sellest enne tehniliste eeskirjade vastuvõtmist, ei ole ta täitnud käesolevast direktiivist tulenevaid kohustusi.</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miski määruses nr 1367/2006 ei võimalda asuda seisukohale, et mõiste „keskkonda sattuvad heitmed“ selle määruse artikli 6 lõike 1 esimese lause tähenduses peab piirduma heidetega, mis pärinevad teatavatest tööstuskäitistest, näiteks tehastest ja elektrijaamadest.</w:t>
      </w:r>
    </w:p>
    <w:p w14:paraId="4BFB9A72" w14:textId="77777777">
      <w:pPr>
        <w:pStyle w:val="P68B1DB1-BodyText25"/>
        <w:ind w:left="510"/>
      </w:pPr>
    </w:p>
    <w:p w14:paraId="0E60EA19" w14:textId="5C6F09B6">
      <w:pPr>
        <w:pStyle w:val="P68B1DB1-BodyText25"/>
        <w:ind w:left="510"/>
      </w:pPr>
      <w:r>
        <w:t xml:space="preserve">61. Samuti ei anna niisuguseks piiranguks alust Århusi konventsioon, mida tuleb määruse nr 1367/2006 tõlgendamisel arvestada, sest nagu määruse artiklis 1 on sätestatud, on määruse eesmärk aidata kaasa Århusi konventsioonist tulenevate kohustuste rakendamisele, kehtestades eeskirjad konventsiooni sätete kohaldamiseks liidu institutsioonide ja organite suhtes.</w:t>
      </w:r>
    </w:p>
    <w:p w14:paraId="37017D07" w14:textId="77777777">
      <w:pPr>
        <w:pStyle w:val="P68B1DB1-BodyText25"/>
        <w:ind w:left="510"/>
      </w:pPr>
    </w:p>
    <w:p w14:paraId="36CD38D8" w14:textId="043FC15A">
      <w:pPr>
        <w:pStyle w:val="P68B1DB1-BodyText25"/>
        <w:ind w:left="510"/>
        <w:rPr>
          <w:iCs/>
        </w:rPr>
      </w:pPr>
      <w:r>
        <w:t xml:space="preserve">62. Nagu Euroopa Kohus tänase kuupäevaga kohtuotsuses Bayer CropScience ja Stichting De Bijenstichting (C-442/14) rõhutas, oleks niisugune piirang aga vastuolus Århusi konventsiooni artikli 4 lõike 4 esimese lõigu punkti d enda sõnastusega. Nimelt tuleb selle sätte kohaselt keskkonna kaitseks avalikustada oluline teave heitmete kohta. Teave heidete kohta, mis pärinevad muudest allikatest kui tööstuskäitistest, näiteks taimekaitsevahendite kasutamisest taimedel või pinnasel, on keskkonnakaitse seisukohast sama oluline kui teave tööstusliku päritoluga heitmete kohta.“</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Teated uute tehniliste normide kohta</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Kohtuotsus, 1. juuni 1994</w:t>
        </w:r>
      </w:hyperlink>
      <w:r>
        <w:t xml:space="preserve">, komisjon vs. Saksamaa, C-317/92, EU:C:1994:212, punktid 25 ja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Olemasolevate tehniliste eeskirjade laiendamine uutele toodetele kuulub teatamiskohustuse alla, kuigi esialgsest tehnilisest eeskirjast, mille kohaldamisala laiendatakse, on juba komisjonile teatatud.</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Selle väitega ei saa nõustuda. Kõnealune Saksa määrus kujutab endast uut tehnilist kirjeldust eespool viidatud artikli 1 tähenduses, kuna ühekordselt kasutatavaid steriilseid meditsiinivahendeid võib edaspidi Saksamaal turustada või kasutada ainult siis, kui on täidetud teatavad kohustused, mille kohaldamine varem piirdus ravimite märgistamisega. Sellise õigusnormi kohaldamine teatud toodetele, mis varem mõjutas ainult teisi tooteid, kujutab endast esimesena nimetatud toodete suhtes uut määrust ja sellest tuleb seega vastavalt direktiivile teatada.</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Seda järeldust ei sea kahtluse alla asjaolu, et nagu väidab Saksamaa valitsus, põhineb normi kohaldamisala laiendamine volitusnormil, millest on komisjonile eelnevalt teatatud. Sellest toetavast meetmest kui sellisest ei ole vaja teatada eespool nimetatud artikli 8 alusel, kuna see ei kujuta endast uut täpsustust. Olukord on teistsugune seoses selle meetme rakendamisega, mis kujutab endast uut täpsustust, millest tuleb teatada.“</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Kohtuotsus, 3. juuni 1999</w:t>
        </w:r>
      </w:hyperlink>
      <w:r>
        <w:rPr>
          <w:b/>
          <w:i/>
          <w:sz w:val="22"/>
          <w:szCs w:val="22"/>
        </w:rPr>
        <w:t xml:space="preserve">, Colim NV, C-33/189, EU:C:1999:274, punkt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Siseriiklik meede, milles korratakse või asendatakse olemasolevad „tehnilised eeskirjad“, millest on komisjonile juba teatatud, ilma uusi spetsifikatsioone lisamata, ei kujuta endast „tehniliste eeskirjade“ eelnõu.</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direktiivi 83/189 eesmärk on ennetava kontrolli abil kaitsta kaupade vaba liikumist, mis on üks ühenduse alustalasid (20. juuli 1997. aasta otsus kohtuasjas C-13/96: Bic Benelux ν Belgia riik, EKL 1997, lk I-1753, punkt 19). Selle järelevalve eesmärk on kõrvaldada või vähendada kaupade vaba liikumise tõkkeid, mis võivad tuleneda tehnilistest eeskirjadest, mida liikmesriigid kavatsevad vastu võtta. Siseriiklikku meedet, millega korratakse või asendatakse uusi või täiendavaid spetsifikatsioone lisamata olemasolevad tehnilised eeskirjad, mis on vastu võetud pärast direktiivi 83/189 jõustumist ja millest on komisjonile nõuetekohaselt teatatud, ei saa pidada tehniliste eeskirjade eelnõuks direktiivi 83/189 artikli 1 lõike 6 tähenduses ega sellest tulenevalt teatamiskohustuseks.“</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Aprilli 2005. aasta kohtuotsus Lindberg,</w:t>
        </w:r>
      </w:hyperlink>
      <w:r>
        <w:t xml:space="preserve"> C-267/03, EU:C:2005:246, punktid 82 ja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Eeskirjast, mis üksnes kordab või asendab eeskirju, millest on juba teatatud ilma uusi tehnilisi eeskirju lisamata, ei ole vaja teatada.</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kõigepealt tuleb märkida, et siseriiklikku meedet, millega korratakse või asendatakse uusi või täiendavaid spetsifikatsioone lisamata olemasolevad tehnilised eeskirjad, mis on vastu võetud pärast direktiivi 83/189 jõustumist ja millest on komisjonile nõuetekohaselt teatatud, ei saa pidada tehniliste eeskirjade eelnõuks direktiivi 83/189 artikli 1 lõike 9 tähenduses ega sellest tulenevalt teatamiskohustuseks (vt eespool viidatud kohtuotsus Colim, punkt 22). Käesoleval juhul tuleb arvesse võtta direktiivi 83/189 jõustumise kuupäeva Rootsi Kuningriigi suhtes.“</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Eeltoodut arvestades tuleb kolmandale küsimusele vastata, et toote disainiga, eelkõige teatavate mänguautomaatide käitamisega seotud teenuse ümbermääratlemine siseriiklikes õigusnormides, nagu seda tehti 1996. aasta seaduses, võib kujutada endast tehnilist eeskirja, millest tuleb direktiivi 83/189 alusel teatada, kui need uued õigusnormid ei piirdu üksnes selliste olemasolevate tehniliste eeskirjade taasesitamise või asendamisega ilma uusi või täiendavaid spetsifikatsioone lisamata, mis on pärast direktiivi 83/189 jõustumist asjaomases liikmesriigis vastu võetud ja komisjonile nõuetekohaselt teatavaks tehtud.“</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r>
        <w:rPr>
          <w:rFonts w:ascii="Times New Roman" w:hAnsi="Times New Roman" w:cs="Times New Roman" w:eastAsia="Times New Roman"/>
          <w:b/>
          <w:i/>
          <w:szCs w:val="20"/>
        </w:rPr>
        <w:t xml:space="preserve">13. </w:t>
      </w:r>
      <w:hyperlink r:id="rId81" w:history="1">
        <w:r>
          <w:rPr>
            <w:rStyle w:val="Hyperlink"/>
            <w:rFonts w:ascii="Times New Roman" w:hAnsi="Times New Roman" w:cs="Times New Roman" w:eastAsia="Times New Roman"/>
            <w:b/>
            <w:i/>
            <w:color w:val="0000FF"/>
            <w:szCs w:val="20"/>
          </w:rPr>
          <w:t xml:space="preserve">märtsi 2025. aasta kohtuotsus Unigames</w:t>
        </w:r>
      </w:hyperlink>
      <w:r>
        <w:rPr>
          <w:rFonts w:ascii="Times New Roman" w:hAnsi="Times New Roman" w:cs="Times New Roman" w:eastAsia="Times New Roman"/>
          <w:b/>
          <w:i/>
          <w:szCs w:val="20"/>
        </w:rPr>
        <w:t xml:space="preserve"> UAB, C-120/24, EU:C:2025:174, punktid 57 ja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Tehniliste eeskirjade eelnõu muudatusest, mis oluliselt laiendab selle reguleerimisala, tuleb teatada. Muudatust, millega kehtestatakse karistused uue käitumise eest, tuleb käsitada tehnilise eeskirja olulise läbivaatamisena.</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Eelotsusetaotlusest nähtub, et hasartmänguseaduse artikli 10 lõige 19 „muutis oluliselt“ hasartmängudes osalemise keeldu. Eelkõige märgib eelotsusetaotluse esitanud kohus, et Unigamesile praegu kehtiva seaduse alusel ette heidetud tegevust, mis seisnes teabe avaldamises selle äriühingu veebisaidil tema pakutavate hasartmängude kohta, ei saa karistada varasema hasartmänguseaduse alusel. Seega laiendas see artikli 10 lõige 19 eelotsusetaotluse esitanud kohtu sõnul selle keelu kohaldamisala.</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Seega nähtub eelotsusetaotluses esitatud teabest, et hasartmänguseaduse artikli 10 lõige 19 lisas uusi või täiendavaid nõudeid käesoleva kohtuotsuse punktis 52 viidatud kohtupraktika tähenduses võrreldes varasema hasartmänguseaduse artikli 10 lõikega 19. Sellest järeldub, et kui eelotsusetaotluse esitanud kohtu kontrolli tulemusel ei selgu teisiti, oleks muudatusest, mille alusel praegu kehtiv seadus vastu võeti, tulnud direktiivi 2015/1535 artikli 5 lõike 1 esimese lõigu alusel teatada.“</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Teade täieliku teksti kohta</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r>
        <w:t xml:space="preserve">16. </w:t>
      </w:r>
      <w:hyperlink r:id="rId82" w:history="1">
        <w:r>
          <w:rPr>
            <w:color w:val="0000FF"/>
            <w:u w:val="single"/>
          </w:rPr>
          <w:t xml:space="preserve">septembri 1997. aasta kohtuotsus komisjon vs. Itaalia, C</w:t>
        </w:r>
      </w:hyperlink>
      <w:r>
        <w:t xml:space="preserve"> -279/94, EU:C:1997:396, punktid 38 ja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Tekstist, mis sisaldab „tehnilisi eeskirju“, tuleb teatada tervikuna, sealhulgas meetmetest, mis ei ole „tehnilised normid“, isegi kui ooteaeg kehtib ainult „tehniliste eeskirjade“ suhtes.</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Mis puudutab Itaalia valitsuse kohustust edastada seaduse nr 257/92 terviktekst, sealhulgas sätted, mis ei ole tehnilised eeskirjad, siis tuleb märkida, et vastavalt direktiivi artikli 8 lõike 1 esimese lõigu viimasele lausele peavad liikmesriigid edastama komisjonile ka põhiliste õigus- ja haldusnormide teksti, mis puudutavad peamiselt ja otseselt, kui sellise teksti tundmine on vajalik tehniliste eeskirjade eelnõu mõju hindamiseks.“</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Pelk asjaolu, et kõigist seaduse nr 257/92 sätetest teatatakse komisjonile, ei takista siiski Itaalia Vabariigil viivitamata ja seega direktiivis ette nähtud kontrollimenetluse tulemusi ära ootamata jõustada sätteid, mis ei kujuta endast tehnilisi eeskirju.“</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Teatis asjaomaste põhisätete </w:t>
      </w:r>
      <w:bookmarkEnd w:id="139"/>
      <w:r>
        <w:t>kohta</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„Kui see on asjakohane ja välja arvatud juhul, kui seda on juba eelnevalt teavitatud, edastavad liikmesriigid peamiselt ja otseselt seotud põhiliste õigus- või haldusnormide teksti samaaegselt komisjonile, kui selline tekst on vajalik tehniliste eeskirjade eelnõu mõju hindamiseks.“</w:t>
      </w:r>
    </w:p>
    <w:p w14:paraId="3C018828" w14:textId="77777777">
      <w:pPr>
        <w:pStyle w:val="BodyText"/>
        <w:ind w:left="1440"/>
        <w:jc w:val="right"/>
        <w:rPr>
          <w:i/>
          <w:iCs/>
        </w:rPr>
      </w:pPr>
    </w:p>
    <w:p w14:paraId="21D14611" w14:textId="15758967">
      <w:pPr>
        <w:pStyle w:val="BodyText"/>
        <w:ind w:left="1440"/>
        <w:jc w:val="right"/>
      </w:pPr>
      <w:r>
        <w:t xml:space="preserve">(direktiivi (EL) 2015/1535 artikli 5 lõike 1 teine lause)</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r>
        <w:t xml:space="preserve">7. </w:t>
      </w:r>
      <w:hyperlink r:id="rId83" w:history="1">
        <w:r>
          <w:rPr>
            <w:color w:val="0000FF"/>
            <w:u w:val="single"/>
          </w:rPr>
          <w:t xml:space="preserve">mai 1998. aasta kohtuotsus komisjon</w:t>
        </w:r>
      </w:hyperlink>
      <w:r>
        <w:t xml:space="preserve"> vs. Belgia, C-145/97, EU:C:1998:212, punktid 11 ja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Liikmesriigid peavad edastama mitte ainult tehnilisi eeskirju sisaldava teksti eelnõu, vaid ka nende põhiliste õigus- või haldusnormide teksti, mis on peamiselt ja otseselt seotud. Selle kohustuse eesmärk on võimaldada komisjonil saada võimalikult palju teavet ja seega tõhusalt kasutada talle direktiiviga antud volitusi.</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Teiseks, mis puudutab teavitamiskohustuse täpset ulatust, siis direktiivi artikli 8 lõike 1 esimese lõigu viimane lause näeb ette, et liikmesriigid edastavad ka põhiliste õigus- või haldusnormide teksti, mis on peamiselt ja otseselt seotud, kui sellise teksti tundmine on vajalik tehniliste eeskirjade eelnõu mõju hindamiseks.</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Nagu Euroopa Kohus on selgitanud 11. juuli 1997. aasta otsuses kohtuasjas C-279/94: komisjon v. Itaalia (EKL 1997, lk I-4743, punkt 40), on selle sätte eesmärk võimaldada komisjonil saada võimalikult palju teavet tehniliste eeskirjade eelnõude sisu, ulatuse ja üldise konteksti kohta, et komisjon saaks talle direktiiviga antud volitusi võimalikult tõhusalt kasutada.“</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bookmarkEnd w:id="143"/>
      <w:r>
        <w:t xml:space="preserve">Ooteajal taasteavitamine</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„Liikmesriigid edastavad tehniliste eeskirjade eelnõu uuesti komisjonile käesoleva lõike esimeses ja teises lõigus sätestatud tingimustel, kui nad teevad eelnõus muudatusi, mis muudavad oluliselt selle reguleerimisala, lühendavad algselt kavandatud rakendamise ajakava, lisavad spetsifikatsioone või nõudeid või muudavad need rangemaks.“</w:t>
      </w:r>
    </w:p>
    <w:p w14:paraId="3E582DDB" w14:textId="77777777">
      <w:pPr>
        <w:pStyle w:val="BodyText"/>
        <w:ind w:left="1440"/>
        <w:jc w:val="right"/>
        <w:rPr>
          <w:i/>
          <w:iCs/>
        </w:rPr>
      </w:pPr>
    </w:p>
    <w:p w14:paraId="57E3F15D" w14:textId="51B7D3EF">
      <w:pPr>
        <w:pStyle w:val="BodyText"/>
        <w:ind w:left="1440"/>
        <w:jc w:val="right"/>
      </w:pPr>
      <w:r>
        <w:t xml:space="preserve">(direktiivi (EL) 2015/1535 artikli 5 lõike 1 kolmas lause)</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Aprilli 2010. aasta kohtuotsus Sandström,</w:t>
        </w:r>
      </w:hyperlink>
      <w:r>
        <w:t xml:space="preserve"> C-433/05, EU:C:2010:184, punktid 47 ja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Komisjonile juba teatatud tehniliste eeskirjade eelnõu muudatused, mis üksnes leevendavad kõnealuse toote kasutustingimusi, ei kujuta endast olulist muudatust, mis nõuab täiendavat teavitamist.</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arvestades direktiivi 98/34 eesmärki, millele on viidatud käesoleva kohtuotsuse punktis 41, ei kujuta tehniliste eeskirjade eelnõu muudatused, millest on komisjonile juba teatatud direktiivi 98/34 artikli 8 lõike 1 esimese lõigu alusel ja mis sisaldavad teatatud eelnõu puhul üksnes asjaomase toote kasutustingimuste leevendamist ja mis vähendavad seega tehniliste eeskirjade võimalikku mõju kaubandusele, endast eelnõu olulist muutmist selle direktiivi artikli 8 lõike 1 kolmanda lõigu tähenduses. Sellised muudatused ei ole seega allutatud eelnevale teatamiskohustusele.</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Kuigi direktiivi 98/34 artikli 8 lõike 3 kohaselt edastavad liikmesriigid tehnilise eeskirja lõpliku teksti viivitamata komisjonile, ei mõjuta sellise eeskirja väheolulisest muudatusest teatamata jätmine enne selle vastuvõtmist selle määruse kohaldatavust, kui puudub eelneva teatamise kohustus.“</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Kohtuotsus, 31.1.2013,</w:t>
        </w:r>
      </w:hyperlink>
      <w:r>
        <w:t xml:space="preserve"> Belgische Petroleum Unie jt, C-26/11, EU:C:2013:44, punktid 56 ja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Direktiiv ei nõua uuesti teatamist siseriiklike õigusaktide eelnõudest, kui eelnõu on pärast teatavakstegemist muudetud, et võtta arvesse komisjoni märkusi, ning muudetud eelnõu on seejärel komisjonile edastatud.</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Belgia Kuningriik piirdus neil asjaoludel õigusakti eelnõu sätete muutmisega vastavalt komisjoni taotlusele kõrvaldada kaubandustõkked, mistõttu direktiivi 98/34 artikli 10 lõike 1 viimase taande kohaselt ei kohaldata segamiskohustuse seaduse eelnõu suhtes kohustust teavitada komisjoni sama direktiivi artikli 8 lõike 1 esimesest lõigust.</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Neil asjaoludel tuleb teisele küsimusele vastata, et direktiivi 98/34 artiklit 8 koostoimes selle direktiivi artikli 10 lõike 1 viimase taandega tuleb tõlgendada nii, et see ei kohusta teatama liikmesriigi õigusakti eelnõust, mis kohustab bensiini ja/või diislikütust turule viivaid naftaettevõtjaid viima samal kalendriaastal turule ka teatud protsentuaalseid biokütuseid, kui eelnõu muudeti pärast artikli 8 lõike 1 esimese lõigu kohaselt teatamist, et võtta arvesse komisjoni märkusi selle kohta, ning muudetud eelnõu edastati seejärel komisjonile.“</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r>
        <w:rPr>
          <w:sz w:val="25"/>
        </w:rPr>
        <w:t xml:space="preserve">10. </w:t>
      </w:r>
      <w:hyperlink r:id="rId86" w:history="1">
        <w:r>
          <w:rPr>
            <w:b/>
            <w:i/>
            <w:color w:val="0000FF"/>
            <w:u w:val="single"/>
          </w:rPr>
          <w:t xml:space="preserve">juuli 2014. aasta kohtuotsus</w:t>
        </w:r>
        <w:r>
          <w:rPr>
            <w:b/>
            <w:i/>
          </w:rPr>
          <w:t xml:space="preserve"> Ivansson jt</w:t>
        </w:r>
        <w:r>
          <w:rPr>
            <w:b/>
            <w:i/>
            <w:color w:val="0000FF"/>
            <w:u w:val="single"/>
          </w:rPr>
          <w:t>,</w:t>
        </w:r>
      </w:hyperlink>
      <w:r>
        <w:rPr>
          <w:rFonts w:ascii="Open Sans" w:hAnsi="Open Sans" w:cs="Open Sans" w:eastAsiaTheme="minorHAnsi"/>
          <w:color w:val="000000"/>
          <w:sz w:val="18"/>
          <w:szCs w:val="18"/>
        </w:rPr>
        <w:t xml:space="preserve"> </w:t>
      </w:r>
      <w:r>
        <w:rPr>
          <w:b/>
          <w:i/>
        </w:rPr>
        <w:t xml:space="preserve">C-307/13, EU:C:2014:2058, punktid 48–50</w:t>
      </w:r>
      <w:r>
        <w:rPr>
          <w:sz w:val="25"/>
        </w:rPr>
        <w:t>.</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Igast olulisest muudatusest riikliku meetme rakendamise ajakavas, sealhulgas olulisest lühendamisest, tuleb komisjonile teatada. Teatamata jätmine muudab meetme üksikisikute suhtes kohaldamatuks ja jõustamatuks.</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Siinkohal olgu meenutatud, et Euroopa Kohus on otsustanud, et teatamiskohustuse täitmata jätmise näol on tegemist menetlusnormi rikkumisega asjassepuutuvate tehniliste eeskirjade kohaldamisel, mis toob kaasa nende tehniliste eeskirjade kohaldamise võimatuse, nii et neile ei saa isikute vastu tugineda (vt eelkõige kohtuotsused CIA Security International, C-194/94, EU:C:1996:172, punkt 54, ja Schwibbert, C-20/05, EU:C:2007:652, punkt 44). Isikud võivad tugineda niisugusele kohaldamise võimatusele siseriiklikus kohtus, kellel tuleb keelduda sellise siseriikliku tehnilise eeskirja kohaldamisest, millest ei ole direktiivi 98/34 kohaselt teatatud (vt eelkõige kohtuotsus Schwibbert, EU:C:2007:652, punkt 44 ja seal viidatud kohtupraktika).</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Järelikult juhul, kui dekreedi (1988:539) § 9 kohta komisjonile esitatud teatises oli tõepoolest jõustumiskuupäevaks 1. mai 2003 ning kui rakendamise ajakava lühendamine sama aasta 15. aprillile oli oluline, siis kõnealuse siseriikliku sätte komisjonile uuesti edastamata jätmise tõttu ei saa sellele põhikohtuasja süüdistatavate vastu tugineda.</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Järelikult tuleb teisele küsimusele vastata, et kui tehniliste eeskirjade jõustumise ajakava lühendamise suhtes kehtib direktiivi 98/34 artikli 8 lõike 1 kolmandas lõigus ette nähtud kohustus teavitada komisjoni, muudaks sellise teabe edastamata jätmine selle siseriikliku meetme kohaldamatuks, mistõttu sellele ei saa eraõiguslike isikute vastu tugineda.“</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Erandid teatamiskohustusest</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Euroopa õigusakti ülevõtmine</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„Artikleid 5 ja 6 ei kohaldata liikmesriikide nende õigus- ja haldusnormide ega vabatahtlike kokkulepete suhtes, mille kohaselt liikmesriigid: </w:t>
      </w:r>
    </w:p>
    <w:p w14:paraId="2762B474" w14:textId="77777777">
      <w:pPr>
        <w:pStyle w:val="BodyText"/>
        <w:ind w:left="567"/>
        <w:rPr>
          <w:i/>
        </w:rPr>
      </w:pPr>
    </w:p>
    <w:p w14:paraId="753FC221" w14:textId="4E9C46C0">
      <w:pPr>
        <w:pStyle w:val="P68B1DB1-BodyText11"/>
        <w:ind w:left="1440"/>
        <w:rPr>
          <w:iCs/>
        </w:rPr>
      </w:pPr>
      <w:r>
        <w:t xml:space="preserve">a) järgima siduvaid liidu õigusakte, mille tulemusel võetakse vastu tehnilised kirjeldused või teenuseid käsitlevad eeskirjad;“</w:t>
      </w:r>
    </w:p>
    <w:p w14:paraId="2A077376" w14:textId="77777777">
      <w:pPr>
        <w:pStyle w:val="BodyText"/>
        <w:ind w:left="567"/>
        <w:rPr>
          <w:i/>
          <w:iCs/>
        </w:rPr>
      </w:pPr>
    </w:p>
    <w:p w14:paraId="7AE538ED" w14:textId="4CFA3BCA">
      <w:pPr>
        <w:pStyle w:val="BodyText"/>
        <w:jc w:val="right"/>
      </w:pPr>
      <w:r>
        <w:t xml:space="preserve">(Direktiivi (EL) 2015/1535 artikli 7 lõike 1 punkt a)</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r>
        <w:t xml:space="preserve">17. </w:t>
      </w:r>
      <w:hyperlink r:id="rId87" w:history="1">
        <w:r>
          <w:rPr>
            <w:color w:val="0000FF"/>
            <w:u w:val="single"/>
          </w:rPr>
          <w:t xml:space="preserve">septembri 1996. aasta kohtuotsus komisjon</w:t>
        </w:r>
      </w:hyperlink>
      <w:r>
        <w:t xml:space="preserve"> vs. Itaalia, C-289/94, EU:C:1996:330, punktid 43–45.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Selleks et siseriiklikku meedet saaks pidada teatamiskohustusest vabastatud ülevõtmismeetmeks, peab olema tõendatud otsene seos siduva ühenduse õigusaktiga.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Direktiiv 91/492 sisaldab omalt poolt palju ulatuslikumaid sätteid mitte ainult kahepoolmeliste karploomade, vaid ka meritigude, mantelloomade ja okasnahksete turustamise kohta. Selles sätestatakse uued nõuded molluskite kogumise, käitlemise, ladustamise, transportimise ja jaotamise kõikidele etappidele ning kehtestatakse registreerimis- ja märgistamissüsteem, mis võimaldab identifitseerida iga partii päritolu tervishoiu eesmärgil.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Lisaks kinnitab otsese seose puudumist direktiivi 91/492 ja kahe kõnealuse dekreedi vahel Itaalia valitsuse väide, et see direktiiv võeti Itaalia õigusesse üle eespool viidatud 30. detsembri 1992. aasta seadusandliku dekreediga nr 530, mis on – nagu ta ise ütleb – ainus meede direktiivi 91/492 rakendamiseks ja mille kohta komisjon esitas 27. jaanuaril 1993 üksikasjaliku arvamuse, milles kritiseeris seda dekreeti, kuna seda kohaldati teise toksiini suhtes, mida ei ole direktiivis 91/492 nimetatud.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Kuna need ei kujuta endast direktiivi 91/492 ülevõtmise meetmeid, mis õigustaksid direktiivi 83/189 artikli 10 kohaldamist, tuli 1. augusti 1990. aasta dekreedist nr 257 ja 1. septembri 1990. aasta dekreedist komisjonile teatada vastavalt viimati nimetatud direktiivi artiklile 8.“</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r>
        <w:t xml:space="preserve">26. </w:t>
      </w:r>
      <w:hyperlink r:id="rId88" w:history="1">
        <w:r>
          <w:rPr>
            <w:color w:val="0000FF"/>
            <w:u w:val="single"/>
          </w:rPr>
          <w:t xml:space="preserve">septembri 2000. aasta kohtuotsus Unilever</w:t>
        </w:r>
      </w:hyperlink>
      <w:r>
        <w:t xml:space="preserve">, C-443/98, EU:C:2000:496, punktid 28 ja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Kui liikmesriikidel on liidu direktiivi ülevõtmisel ulatuslik kaalutlusruum, ei saa sel eesmärgil vastu võetud siseriiklikke meetmeid pidada siseriiklikeks säteteks, „mis vastavad siduvale ühenduse õigusaktile“.</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Teiseks väidab Itaalia valitsus, et vaidlustatud seadus oli direktiivi 83/189 artiklis 10 sätestatud teatamiskohustusest vabastatud, kuna see võeti vastu vastavalt nõukogu 18. detsembri 1978. aasta direktiivile 79/112/EMÜ lõpptarbijale müüdavate toiduainete märgistamist, esitlemist ja reklaami käsitlevate liikmesriikide õigusaktide ühtlustamise kohta (EÜT 1979, L 33, lk 1; ELT eriväljaanne 15/01, lk 98). Selle direktiivi artikli 3 lõike 1 punkt 7 nõuab, et toote päritolu- või lähtekoht oleks märgistusel märgitud juhul, kui sellise teabe puudumine võib tarbijat toidu tegeliku päritolu või lähtekoha osas eksitada.</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Selle väitega ei saa nõustuda. Nagu komisjon märkis, jätab see direktiivi 79/112 üldsõnaline säte liikmesriikidele piisavalt manööverdamisruumi, et järeldada, et selliseid päritolu tähistamise siseriiklikke eeskirju, nagu on vastu võetud vaidlustatud seaduses, ei saa pidada ühenduse siduvale aktile vastavateks siseriiklikeks õigusnormideks direktiivi 83/189 artikli 10 lõike 1 esimese taande tähenduses.“</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Kohtuotsus, 22. jaanuar 2000</w:t>
        </w:r>
      </w:hyperlink>
      <w:r>
        <w:t xml:space="preserve">, Canal Satélite Digital, C-390/99, EU:C:2002:34, punkt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Siseriiklike sätete suhtes, millega võetakse üle „tehnilisi spetsifikatsioone“ sisaldavad siduvad ühenduse meetmed, ei kohaldata teatamiskohustust, tingimusel et need on rangelt piiratud sellise ülevõtmisega.</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Mis puudutab kolmanda küsimuse teist osa, mis puudutab direktiivi 83/189 artiklis 8 sätestatud kohustust edastada komisjonile kõik tehniliste eeskirjade eelnõud, siis selle direktiivi artiklist 10 nähtub, et artikleid 8 ja 9 ei kohaldata liikmesriikide õigus- ja haldusnormide ega nende sõlmitud vabatahtlike kokkulepete suhtes, millega liikmesriigid järgivad siduvaid ühenduse meetmeid, mille tulemusel võetakse vastu tehnilised kirjeldused. Seega, kuivõrd põhikohtuasjas kõne all olevate siseriiklike õigusnormidega on üle võetud direktiiv 95/47 ja ainult selles ulatuses, ei ole direktiivi 83/189 alusel teatamiskohustust.“</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r>
        <w:t xml:space="preserve">8. </w:t>
      </w:r>
      <w:hyperlink r:id="rId90" w:history="1">
        <w:r>
          <w:rPr>
            <w:color w:val="0000FF"/>
            <w:u w:val="single"/>
          </w:rPr>
          <w:t xml:space="preserve">septembri 2005. aasta kohtuotsus komisjon</w:t>
        </w:r>
      </w:hyperlink>
      <w:r>
        <w:t xml:space="preserve"> vs. Portugal, C-500/03, EU:C:2005:515, punktid 34 ja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Väikelaevade omadusi määratlevate siseriiklike õigusnormide suhtes ei saa kohaldada teatamiskohustusest vabastamist, mis on ette nähtud ülevõtmiseks, kui viidatud direktiiv jätab liikmesriikidele vabaduse määrata kindlaks tingimused, mida nad peavad vajalikuks veeteede keskkonna, konfiguratsiooni ja ohutuse kaitsmiseks.</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(Kohtuotsus on kättesaadav üksnes prantsuse ja portugali keeles, järgmine tekst on tõlge.)</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Liikmesriikidel on direktiivi 94/25 artikli 2 lõikes 2 sätestatud õigus määrata siseriiklikul tasandil kindlaks tingimused, mida nad peavad teatavates vetes navigeerimiseks vajalikuks, et kaitsta keskkonda ja veeteede struktuuri ning tagada neis vetes ohutus. Neid siseriiklikke õigusnorme ei saa siiski mingil juhul pidada vastuvõetuks ühenduse siduva akti täitmiseks.</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Sellest järeldub, et laguunides navigeerimise määrus, millega kehtestatakse väikelaevadele tehnilised piirangud vastavalt direktiivi 94/25 artikli 2 lõikele 2, ei kuulu direktiivi 98/34 artikli 10 lõike 1 esimese taande kohaldamisalasse.“</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Kaitseklausli kasutamine</w:t>
      </w:r>
      <w:bookmarkEnd w:id="158"/>
      <w:bookmarkEnd w:id="159"/>
    </w:p>
    <w:p w14:paraId="19EB441C" w14:textId="77777777">
      <w:pPr>
        <w:pStyle w:val="BodyText"/>
        <w:ind w:left="567"/>
      </w:pPr>
    </w:p>
    <w:p w14:paraId="3421D751" w14:textId="45643AD7">
      <w:pPr>
        <w:pStyle w:val="P68B1DB1-BodyText11"/>
        <w:ind w:left="567"/>
        <w:rPr>
          <w:iCs/>
        </w:rPr>
      </w:pPr>
      <w:r>
        <w:t xml:space="preserve">„Artikleid 5 ja 6 </w:t>
      </w:r>
      <w:r>
        <w:rPr>
          <w:i w:val="0"/>
        </w:rPr>
        <w:t xml:space="preserve">[teatamiskohustuse ja ooteaja kohta] </w:t>
      </w:r>
      <w:r>
        <w:t xml:space="preserve">ei kohaldata liikmesriikide nende õigus- ja haldusnormide või vabatahtlike kokkulepete suhtes, mille kohaselt liikmesriigid: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kasutada liidu siduvates õigusaktides sätestatud kaitseklausleid;“</w:t>
      </w:r>
    </w:p>
    <w:p w14:paraId="3AF0BFA4" w14:textId="77777777">
      <w:pPr>
        <w:pStyle w:val="P68B1DB1-BodyText11"/>
        <w:ind w:left="567"/>
        <w:rPr>
          <w:iCs/>
        </w:rPr>
      </w:pPr>
    </w:p>
    <w:p w14:paraId="6099E717" w14:textId="6C5840E7">
      <w:pPr>
        <w:pStyle w:val="BodyText"/>
        <w:jc w:val="right"/>
      </w:pPr>
      <w:r>
        <w:t xml:space="preserve">(Direktiivi (EL) 2015/1535 artikli 7 lõike 1 punkt c)</w:t>
      </w:r>
    </w:p>
    <w:p w14:paraId="0B43480F" w14:textId="77777777">
      <w:pPr>
        <w:pStyle w:val="BodyText"/>
        <w:jc w:val="right"/>
      </w:pPr>
    </w:p>
    <w:p w14:paraId="2F300DBD" w14:textId="39C2EC6A">
      <w:pPr>
        <w:pStyle w:val="P68B1DB1-BodyText11"/>
        <w:ind w:left="567"/>
        <w:rPr>
          <w:iCs/>
        </w:rPr>
      </w:pPr>
      <w:r>
        <w:t xml:space="preserve">„Asjakohastel juhtudel on eespool märgitud ühtlustamismeetmetes kaitseklausel, mis volitab liikmesriike ühel või mitmel artiklis 36 osutatud majandusvälisel põhjusel võtma liidu kontrollimenetlusele alluvaid ajutisi meetmeid.“</w:t>
      </w:r>
    </w:p>
    <w:p w14:paraId="618BDE87" w14:textId="77777777">
      <w:pPr>
        <w:pStyle w:val="BodyText"/>
        <w:jc w:val="right"/>
      </w:pPr>
    </w:p>
    <w:p w14:paraId="4DE4DD33" w14:textId="77777777">
      <w:pPr>
        <w:pStyle w:val="BodyText"/>
        <w:jc w:val="right"/>
      </w:pPr>
      <w:r>
        <w:t xml:space="preserve">(Euroopa Liidu toimimise lepingu artikli 114 lõige 10)</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r>
        <w:t xml:space="preserve">8. </w:t>
      </w:r>
      <w:hyperlink r:id="rId91" w:history="1">
        <w:r>
          <w:rPr>
            <w:color w:val="0000FF"/>
            <w:u w:val="single"/>
          </w:rPr>
          <w:t xml:space="preserve">septembri 2005. aasta kohtuotsus komisjon</w:t>
        </w:r>
      </w:hyperlink>
      <w:r>
        <w:t xml:space="preserve"> vs. Portugal, C-500/03, EU:C:2005:515, punktid 34 ja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Alalisi meetmeid kehtestavate siseriiklike õigusnormide suhtes ei saa kohaldada vabastust kaitseklauslite puhul ette nähtud teatamiskohustusest, sest määratluse kohaselt hõlmavad need klauslid üksnes ajutisi meetmeid.</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(Kuna kohtuotsus on kättesaadav ainult prantsuse ja portugali keeles, on järgmine tekst tõlge.)</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Kuna käesolev liikmesriigi kohustuste rikkumise hagi piirdub ametliku eelneva teatamise menetluse rikkumise tuvastamise nõudega, siis piisab, kui meenutada, ilma et oleks vaja vastata poolte teistele argumentidele, et Euroopa Kohus on juba otsustanud, et direktiivi 98/34 artikli 8 lõige 1 kohustab liikmesriike viivitamata edastama komisjonile kõik tehniliste eeskirjade eelnõud (vt selle kohta eelkõige selle direktiivi sätetega sarnaste sätete kohta 2. augusti 1993. aasta otsus kohtuasjas C-139/92: komisjon vs. Itaalia, EKL 2010, lk I-3, punkt 31, ja 11. jaanuari 1996. aasta otsus kohtuasjas C-273/94: komisjon vs. Madalmaad, EKL 2005, lk I-, punkt).</w:t>
      </w:r>
    </w:p>
    <w:p w14:paraId="4A696586" w14:textId="77777777">
      <w:pPr>
        <w:pStyle w:val="BodyText"/>
        <w:ind w:left="567"/>
        <w:rPr>
          <w:i/>
          <w:iCs/>
          <w:sz w:val="20"/>
          <w:szCs w:val="16"/>
        </w:rPr>
      </w:pPr>
    </w:p>
    <w:p w14:paraId="7FC8797C" w14:textId="46BA7B1B">
      <w:pPr>
        <w:pStyle w:val="P68B1DB1-BodyText25"/>
        <w:ind w:left="567"/>
        <w:jc w:val="left"/>
      </w:pPr>
      <w:r>
        <w:t xml:space="preserve">40. Kuna dekreedi nr 783/98 asjakohased sätted kujutavad endast tehnilisi eeskirju direktiivi 98/34 tähenduses, nagu on märgitud käesoleva kohtuotsuse punktis 31, pidi Portugali Vabariik nendest direktiivi 98/34 artikli 8 lõike 1 alusel eelnõust teatama (vt selle kohta eelkõige direktiivi 98/34 sätetega analoogsete sätete kohta 7. mai 1998. aasta otsus kohtuasjas C-145/97: komisjonvs.Belgia, EKL 19643, lk I-13, punkt 43, ja 21. aprilli 2005. aasta otsus kohtuasjas C-267/03: Lindberg, EKL 2005, lk I-, punkt).“</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8. </w:t>
      </w:r>
      <w:hyperlink r:id="rId92" w:history="1">
        <w:r>
          <w:rPr>
            <w:color w:val="0000FF"/>
            <w:u w:val="single"/>
          </w:rPr>
          <w:t xml:space="preserve">oktoobri 2020. aasta kohtuotsus Union</w:t>
        </w:r>
      </w:hyperlink>
      <w:r>
        <w:t xml:space="preserve"> des industries de la protection des plantes (C-514/19, EU:C:2020:803, punktid 46 ja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(viidates </w:t>
      </w:r>
      <w:hyperlink r:id="rId93" w:history="1">
        <w:r>
          <w:rPr>
            <w:rStyle w:val="Hyperlink"/>
            <w:rFonts w:ascii="Times New Roman" w:hAnsi="Times New Roman" w:cs="Times New Roman" w:eastAsia="Times New Roman"/>
            <w:b/>
            <w:i/>
            <w:color w:val="0000FF"/>
            <w:szCs w:val="20"/>
          </w:rPr>
          <w:t xml:space="preserve">kohtujurist Kokott’i ettepanekule</w:t>
        </w:r>
      </w:hyperlink>
      <w:r>
        <w:rPr>
          <w:rFonts w:ascii="Times New Roman" w:hAnsi="Times New Roman" w:cs="Times New Roman" w:eastAsia="Times New Roman"/>
          <w:b/>
          <w:i/>
          <w:szCs w:val="20"/>
        </w:rPr>
        <w:t xml:space="preserve">, EU:C:2020:422, punkt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Euroopa Liidu toimimise lepingu artiklis 114 esitatud määratlusele vastav klausel on kaitseklausel, isegi kui seda ei ole seda sätestavas õigusaktis nimetatud. Seega on ta teatamiskohustusest vabastatud.</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(Euroopa Kohtu otsus)</w:t>
      </w:r>
      <w:r>
        <w:rPr>
          <w:i/>
        </w:rPr>
        <w:t xml:space="preserve"> „46 [...] selle määruse artikli 71 lõiget 1 tuleb käsitada kaitseklauslina, nagu märkis kohtujurist oma ettepaneku punktis 58.</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Erinevust vastavalt selle direktiivi artiklis 5 ja artiklis 71 sätestatud menetluste vahel kinnitab seega selle direktiivi artikli 7 lõike 1 punkt c, mille kohaselt ei kohaldata selle direktiivi artikleid 5 ja 6 nende liikmesriikide sätete suhtes, kes kasutavad liidu siduvates aktides ette nähtud kaitseklausleid.“</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(kohtujurist Kokott’i arvamus)</w:t>
      </w:r>
      <w:r>
        <w:rPr>
          <w:i/>
        </w:rPr>
        <w:t xml:space="preserve"> </w:t>
      </w:r>
      <w:bookmarkStart w:id="163" w:name="point58"/>
      <w:r>
        <w:rPr>
          <w:i/>
        </w:rPr>
        <w:t>„</w:t>
      </w:r>
      <w:bookmarkEnd w:id="163"/>
      <w:r>
        <w:rPr>
          <w:i/>
        </w:rPr>
        <w:t xml:space="preserve">58.      Määruse nr 1107/2009 artikli 71 pealkirjas ei ole erinevalt mõnest teisest sarnasest sättest küll kasutatud mõistet „kaitseklausel“, kuid sisuliselt vastab kõnealune säte kaitseklausli määratlusele ELTL artikli 114 lõikes 10. Seetõttu võib seda pidada ka kaitseklausliks teatamisdirektiivi artikli 7 lõike 1 punkti c tähenduses.“</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r>
        <w:rPr>
          <w:rFonts w:ascii="Times New Roman" w:hAnsi="Times New Roman" w:cs="Times New Roman" w:eastAsia="Times New Roman"/>
          <w:b/>
          <w:i/>
          <w:szCs w:val="20"/>
        </w:rPr>
        <w:t xml:space="preserve">9. </w:t>
      </w:r>
      <w:hyperlink r:id="rId94" w:history="1">
        <w:r>
          <w:rPr>
            <w:rStyle w:val="Hyperlink"/>
            <w:rFonts w:ascii="Times New Roman" w:hAnsi="Times New Roman" w:cs="Times New Roman" w:eastAsia="Times New Roman"/>
            <w:b/>
            <w:i/>
            <w:color w:val="0000FF"/>
            <w:szCs w:val="20"/>
          </w:rPr>
          <w:t xml:space="preserve">märtsi 2023. aasta kohtuotsus Vapo</w:t>
        </w:r>
      </w:hyperlink>
      <w:r>
        <w:rPr>
          <w:rFonts w:ascii="Times New Roman" w:hAnsi="Times New Roman" w:cs="Times New Roman" w:eastAsia="Times New Roman"/>
          <w:b/>
          <w:i/>
          <w:szCs w:val="20"/>
        </w:rPr>
        <w:t xml:space="preserve"> Atlantic, C 604/21</w:t>
        <w:noBreakHyphen/>
        <w:t xml:space="preserve">, EU:C:2023:175, punktid 55–57.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Kaitseklauslil põhinev erand teatamiskohustusest on võimalik üksnes juhul, kui viidatud ühtlustamisakt sisaldab sõnaselgelt klauslit, mis vastab Euroopa Liidu toimimise lepingu artiklis 114 sätestatud määratlusele.</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Tuleb märkida, et direktiivi 2009/30 artikli 4 lõike 1 kahes esimeses lõigus on piirdutud sellega, et on määratud liikmesriikidele tähtaeg, nimelt hiljemalt 31. detsember 2010, direktiivi ülevõtmiseks selleks vajalike õigus- või haldusnormidega, ning samas on nõutud, et nad edastaksid komisjonile viivitamata nende normide teksti. Selle sätte kolmandas lõigus on omakorda ette nähtud, et kui liikmesriigid need sätted vastu võtavad, viitavad need direktiivile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Miski direktiivi 2009/30 artikli 4 lõike 1 sõnastuses ei anna alust arvata, et liidu seadusandja soovis direktiivi lisada ELTL artikli 114 lõike 10 tähenduses kaitseklausli, mida liikmesriigid oleksid võinud kasutada.</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Sellega seoses on viimati nimetatud sättes ette nähtud, et asjakohastel juhtudel on ühtlustamismeetmetes kaitseklausel, mis volitab liikmesriike ühel või mitmel ELTL artiklis 36 osutatud majandusvälisel põhjusel võtma liidu kontrollimenetlusele alluvaid ajutisi meetmeid. Sellest tuleneb, et niisugune kaitseklausel peab olema ühtlustamisaktis sõnaselgelt ette nähtud. Direktiivi 2009/30 artikli 4 lõikel 1 selliseid tunnuseid ei ole ja seega ei saa see kujutada endast sellist kaitseklauslit.“</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Muudatusettepanek vastavalt komisjoni taotlusele</w:t>
      </w:r>
      <w:bookmarkEnd w:id="169"/>
      <w:bookmarkEnd w:id="170"/>
    </w:p>
    <w:p w14:paraId="049085CF" w14:textId="77777777">
      <w:pPr>
        <w:pStyle w:val="BodyText"/>
        <w:jc w:val="left"/>
      </w:pPr>
    </w:p>
    <w:p w14:paraId="40F4BBF6" w14:textId="77777777">
      <w:pPr>
        <w:pStyle w:val="P68B1DB1-BodyText11"/>
        <w:ind w:left="567"/>
        <w:rPr>
          <w:iCs/>
        </w:rPr>
      </w:pPr>
      <w:r>
        <w:t xml:space="preserve">„Artikleid 5 ja 6 </w:t>
      </w:r>
      <w:r>
        <w:rPr>
          <w:i w:val="0"/>
        </w:rPr>
        <w:t xml:space="preserve">[teatamiskohustuse ja ooteaja kohta] </w:t>
      </w:r>
      <w:r>
        <w:t xml:space="preserve">ei kohaldata liikmesriikide nende õigus- ja haldusnormide või vabatahtlike kokkulepete suhtes, mille kohaselt liikmesriigid: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piirduvad komisjoni taotlusel tehniliste eeskirjade muutmisega artikli 1 lõike 1 punkti f tähenduses, et kõrvaldada kaubandustõke või teenuseid käsitlevate eeskirjade puhul teenuste vaba liikumine või teenusepakkujate asutamisvabadus.“</w:t>
      </w:r>
    </w:p>
    <w:p w14:paraId="21F03EA5" w14:textId="77777777">
      <w:pPr>
        <w:pStyle w:val="BodyText"/>
        <w:jc w:val="center"/>
      </w:pPr>
    </w:p>
    <w:p w14:paraId="7883B4B7" w14:textId="369773F7">
      <w:pPr>
        <w:pStyle w:val="BodyText"/>
        <w:jc w:val="right"/>
      </w:pPr>
      <w:r>
        <w:t xml:space="preserve">(Direktiivi (EL) 2015/1535 artikli 7 lõike 1 punkt f)</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Kohtuotsus, 31.1.2013,</w:t>
        </w:r>
      </w:hyperlink>
      <w:r>
        <w:t xml:space="preserve"> Belgische Petroleum Unie jt, C-26/11, EU:C:2013:44, punktid 56 ja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Direktiiv ei nõua siseriiklike õigusaktide eelnõudest teatamist, kui eelnõu on pärast esialgset teatamist muudetud, et võtta arvesse komisjoni märkusi, ning muudetud versioon on seejärel komisjonile edastatud.</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Belgia Kuningriik piirdus neil asjaoludel õigusakti eelnõu sätete muutmisega vastavalt komisjoni taotlusele kõrvaldada kaubandustõkked, mistõttu direktiivi 98/34 artikli 10 lõike 1 viimase taande kohaselt ei kohaldata segamiskohustuse seaduse eelnõu suhtes kohustust teavitada komisjoni sama direktiivi artikli 8 lõike 1 esimesest lõigust.</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Neil asjaoludel tuleb teisele küsimusele vastata, et direktiivi 98/34 artiklit 8 koostoimes selle direktiivi artikli 10 lõike 1 viimase taandega tuleb tõlgendada nii, et see ei kohusta teatama liikmesriigi õigusakti eelnõust, mis kohustab bensiini ja/või diislikütust turule viivaid naftaettevõtjaid viima samal kalendriaastal turule ka teatud protsentuaalseid biokütuseid, kui eelnõu muudeti pärast artikli 8 lõike 1 esimese lõigu kohaselt teatamist, et võtta arvesse komisjoni märkusi selle kohta, ning muudetud eelnõu edastati seejärel komisjonile.“</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Asjaolud, mis ei kujuta endast erandeid</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Kohtuotsus, 11. jaanuar 1996</w:t>
        </w:r>
      </w:hyperlink>
      <w:r>
        <w:t xml:space="preserve">, komisjon vs. Madalmaad, C-273/94, EU:C:1996:4, punktid 14 ja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Teatamiskohustus ei sõltu normi eeldatavast mõjust liikmesriikidevahelisele kaubandusele.</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Seda hinnangut ei sea kahtluse alla Madalmaade valitsuse argument, et vaidlusalune määrus soodustab margariini turustamist ja on seega kooskõlas direktiivi peamise eesmärgiga, milleks on ühendusesisese kaubavahetuse tõkete kõrvaldamine.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Liikmesriigid peavad edastama komisjonile kõik tehniliste eeskirjade eelnõud vastavalt direktiivi artiklile 8. Selline kohustus ei saa sõltuda määruse koostanud liikmesriigi ühepoolsest hinnangust mõjule, mida see võib avaldada liikmesriikidevahelisele kaubandusele.“</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Kohtuotsus, 16. juuni 1998</w:t>
        </w:r>
      </w:hyperlink>
      <w:r>
        <w:t xml:space="preserve">, Lemmens, C-226/97, EU:C:1998:296, punktid 18–20.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Direktiivi kohaldatakse „tehniliste eeskirjade“ suhtes, olenemata nende vastuvõtmise põhjusest. Asjaolu, et meede hõlmab karistusõigust, ei vabasta teda teatamiskohustusest. Seega kujutavad siseriiklikud õigusnormid, mis reguleerivad politsei poolt alkoholi mõõtmiseks kasutatavaid hingamisanalüüsiseadmeid, endast tehnilist eeskirja, millest oleks tulnud komisjonile enne selle vastuvõtmist teatada.</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Prantsuse valitsus väidab omalt poolt, et direktiivi ei kohaldata toodetele, mis – nagu käesolevas asjas – on mõeldud kasutamiseks seoses avaliku võimu teostamisega ja seda enam liikmesriikide algatatud kriminaalmenetlustes.</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Neid argumente ei saa pidada vastuvõetavaks. Kuigi kriminaalõigusnormid ja kriminaalmenetluse normid kuuluvad põhimõtteliselt liikmesriikide pädevusse, ei saa sellest siiski järeldada, et ühenduse õigus ei saa seda õigusvaldkonda mõjutada (vt selle kohta Euroopa Kohtu 15. juuli 1989. aasta otsus kohtuasjas 186/87: Cowan, EKL 1989, lk 195, punkt 19, ja 11. juuli 1981. aasta otsus kohtuasjas 203/80: Casati, EKL 1981, lk 2595, punkt 27).</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Käesoleval juhul ei viita miski direktiivis sellele, et tehnilised eeskirjad direktiivi artikli 1 tähenduses on teatamiskohustusest välja jäetud, kuna need kuuluvad kriminaalõiguse kohaldamisalasse, või et direktiivi kohaldamisala piirdub toodetega, mis on mõeldud kasutamiseks muul viisil kui seoses avaliku võimu teostamisega. Nagu Euroopa Kohus on kohtuasjas C-13/96: Bic Benelux (EKL 1997, lk I-1753, punkt 19) juba märkinud, kohaldatakse direktiivi tehniliste eeskirjade suhtes olenemata nende vastuvõtmise põhjustest.“</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Aprilli 2005. aasta kohtuotsus Lindberg,</w:t>
        </w:r>
      </w:hyperlink>
      <w:r>
        <w:t xml:space="preserve"> C-267/03, EU:C:2005:246, punktid 86, 91 ja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Normiga seotud toote väärtus, selle turu suurus ja selle eeskirja mõju ühendusesisesele kaubandusele ei ole asjakohased kriteeriumid, et teha kindlaks, kas „tehnilisest eeskirjast“ tuleb teatada.</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Neljanda küsimusega küsib eelotsusetaotluse esitanud kohus Euroopa Kohtult seda, millist tähtsust omavad järgmised asjaolud direktiivis 83/189 sätestatud teavitamise kohustuse jaoks:</w:t>
      </w:r>
    </w:p>
    <w:p w14:paraId="767A8711" w14:textId="77777777">
      <w:pPr>
        <w:pStyle w:val="P68B1DB1-P68B1DB1-ListParagraph226"/>
        <w:tabs>
          <w:tab w:val="left" w:pos="396"/>
          <w:tab w:val="left" w:pos="425"/>
        </w:tabs>
        <w:ind w:left="709"/>
      </w:pPr>
      <w:r>
        <w:t xml:space="preserve">– Loanõude asendamine riigisiseses õiguses sätestatud keeluga,</w:t>
      </w:r>
    </w:p>
    <w:p w14:paraId="559C82EC" w14:textId="77777777">
      <w:pPr>
        <w:pStyle w:val="P68B1DB1-P68B1DB1-ListParagraph226"/>
        <w:tabs>
          <w:tab w:val="left" w:pos="396"/>
          <w:tab w:val="left" w:pos="425"/>
        </w:tabs>
        <w:ind w:left="709"/>
      </w:pPr>
      <w:r>
        <w:t xml:space="preserve">– Toote/teenuse suurem või väiksem väärtus,</w:t>
      </w:r>
    </w:p>
    <w:p w14:paraId="7057795D" w14:textId="77777777">
      <w:pPr>
        <w:pStyle w:val="P68B1DB1-P68B1DB1-ListParagraph226"/>
        <w:tabs>
          <w:tab w:val="left" w:pos="396"/>
          <w:tab w:val="left" w:pos="425"/>
        </w:tabs>
        <w:ind w:left="709"/>
      </w:pPr>
      <w:r>
        <w:t xml:space="preserve">– Toote/teenuse turu suurus või</w:t>
      </w:r>
    </w:p>
    <w:p w14:paraId="7E4DCD6F" w14:textId="27AB1FF7">
      <w:pPr>
        <w:pStyle w:val="P68B1DB1-P68B1DB1-ListParagraph226"/>
        <w:tabs>
          <w:tab w:val="left" w:pos="396"/>
          <w:tab w:val="left" w:pos="425"/>
        </w:tabs>
        <w:ind w:left="709"/>
      </w:pPr>
      <w:r>
        <w:t xml:space="preserve">– Uue siseriikliku õigusnormi mõju kasutamisele, mis võib olla kas täielik kasutuskeeld või -keeld või -piirang ühes võimalikest kasutusaladest?“</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Mis puudutab neljandas eelotsuse küsimuses toodud teist ja kolmandat asjaolu, siis tuleb meelde tuletada ja nagu on juba leitud käesoleva kohtuotsuse punktis 50 – direktiiv 83/189 näeb ette preventiivse kontrolli menetlusliku korra, mis annab võimaluse kontrollida, kas tehnilisi eeskirju sisaldav siseriiklik õigusnorm puudutab asutamislepingu kaupade vaba liikumist puudutavaid sätteid ning kui see on nii, siis uurida, kas see norm on nende sätetega kooskõlas.</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Selle kohta on käesoleva kohtuotsuse punktis 51 sedastatud, et tehniliste eeskirjade võimalik mõju ühendusesisesele kaubandusele ei ole direktiivi 83/189 kohaldamisala määratlemise kriteerium eelkõige selles sätestatud teatamiskohustuse osas.“</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Kohaldamatus</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Kohaldamatus teatamata jätmise korral</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Aprilli 1996. aasta kohtuotsus CIA Security</w:t>
        </w:r>
      </w:hyperlink>
      <w:r>
        <w:t xml:space="preserve"> International SA, C-194/94, EU:C:1996:172, punktid 48 ja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Teatamiskohustuse rikkumise tõttu ei ole asjaomased „tehnilised eeskirjad“ kohaldatavad, mistõttu ei saa neile üksikisikute vastu tugineda. Üksikisikud võivad tugineda direktiivi 83/189 artiklitele 8 ja 9 siseriiklikus kohtus, kes peab keelduma kohaldamast siseriiklikku „tehnilist eeskirja“, millest ei ole selle direktiivi kohaselt teatatud.</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Direktiivist 83/189 tulenevate kohustuste rikkumise niisuguse tagajärje saabumiseks ei ole vaja sellekohast sõnaselget sätet. Nagu juba märgitud, on selge, et direktiivi eesmärk on kaitsta kaupade vaba liikumist ennetava kontrollimehhanismi abil ning et teatamiskohustus on ühenduse tasandil teostatava kontrolli üks olulisemaid vahendeid. Ühenduse kontroll on palju tõhusam, kui direktiivi tõlgendada nii, et teatamiskohustuse rikkumine kujutab endast olulist menetlusnormide rikkumist, mis muudab kõnealused tehnilised eeskirjad üksikisikute suhtes kohaldamatuks.“</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Seega tuleb viiendale ja kuuendale küsimusele vastata, et direktiivi 83/189 artikleid 8 ja 9 tuleb tõlgendada nii, et üksikisikud võivad neile tugineda siseriiklikus kohtus, kes peab keelduma kohaldamast siseriiklikke tehnilisi eeskirju, millest ei ole direktiivi kohaselt teatatud.“</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Kohtuotsus, 16. juuni 1998</w:t>
        </w:r>
      </w:hyperlink>
      <w:r>
        <w:t xml:space="preserve">, Lemmens, C-226/97, EU:C:1998:296, punktid 34–37.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Hingamisanalüüsi aparaate käsitlevatest tehnilistest eeskirjadest teatamise kohustuse täitmata jätmine ei too kaasa seda, et alkoholijoobes juhtimisega tegeleva isiku suhtes ei ole võimalik tugineda tõenditele, mis on saadud hingamisanalüüsi seadme abil, mis on lubatud vastavalt eeskirjadele, millest ei ole teatatud.</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Sellises kriminaalmenetluses, nagu on kõne all põhikohtuasjas, kohaldatakse süüdistatava suhtes eeskirju, mis ühelt poolt keelavad sõiduki juhtimise alkoholijoobes ja karistavad selle eest ning teiselt poolt kohustavad sõidukijuhti oma hingamist alkoholisisalduse mõõtmiseks ette nähtud seadmesse välja tõmbama, mis on kriminaalmenetluses tõendiks. Sellised eeskirjad erinevad nendest, millest ei ole komisjonile direktiivi kohaselt teatatud, kuid mis ei ole üksikisikute vastu jõustatavad.</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Kuigi tehnilistest eeskirjadest teatamata jätmine, mis kujutab endast menetlusnormide rikkumist nende vastuvõtmisel, muudab need eeskirjad kohaldamatuks, kuna need takistavad nendele mittevastava toote kasutamist või turustamist, ei muuda see ebaseaduslikuks toote kasutamist, mis on kooskõlas teatamata eeskirjadega.</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Toote kasutamine ametiasutuste poolt sellisel juhul nagu käesolev ei tekita kaubandustakistust, mida oleks saanud vältida, kui oleks järgitud teatamismenetlust.</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Seega tuleb esimesele küsimusele vastata, et direktiivi tuleb tõlgendada nii, et selle artiklis 8 sätestatud hingamisanalüüsi aparaate käsitlevatest tehnilistest eeskirjadest teatamise kohustuse rikkumine ei muuda võimatuks tugineda tõenditele, mis on saadud selliste seadmete abil, mis on lubatud vastavalt teatamata jäetud eeskirjadele, isiku vastu, keda süüdistatakse sõiduki juhtimises alkoholijoobes.“</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Kohtuotsus, 6. juuni 2002</w:t>
        </w:r>
      </w:hyperlink>
      <w:r>
        <w:t xml:space="preserve">, Sapod Audic, C-159/00, EU:C:2002:343, punktid 52 ja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Siseriikliku kohtu ülesanne on keelduda kohaldamast sätteid, mis ei ole kohaldatavad teatamata jätmise tõttu. Sellise kohaldamatuse tagajärgi reguleerib siseriiklik õigus, tingimusel et see ei ole ebasoodsam kui sarnaste riigisiseste hagide puhul ega muuda liidu õiguste kasutamist võimatuks.</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Tuleb siiski märkida, et küsimus, millised järeldused tuleb põhikohtuasjas teha sellest, et dekreedi nr 92–377 artikli 4 teine lõik ei ole kohaldatav seoses kohaldatavas riigisiseses õiguses ette nähtud karistuse rangusega, nagu Sapodi ja Eco-Emballages’i vahelise lepingu tühisus või täitmisele pööratamatus, on siseriikliku õigusega reguleeritud küsimus, mis puudutab eelkõige lepinguõiguse norme ja põhimõtteid, mis piiravad või kohandavad seda sanktsiooni, et muuta selle raskus proportsionaalseks konkreetse tuvastatud puudusega. Siiski ei tohi need eeskirjad ja põhimõtted olla vähem soodsad kui samalaadsete siseriiklike õiguskaitsevahendite puhul (võrdväärsuse põhimõte) ja need ei tohi olla sõnastatud viisil, mis muudaks ühenduse õiguskorraga antud õiguste kasutamise praktiliselt võimatuks (tõhususe põhimõte) (vt eelkõige Euroopa Kohtu 15. juuli 1976. aasta otsus kohtuasjas 33/76: Rewe vs. Landwirtschaftskammer für das Saarland, EKL 1976, lk 1989, punkt 5, ja 10. märtsi 2001. aasta otsus liidetud kohtuasjades C-52/99 ja C-53/99: Camorotto ja Vignone, EKL 2001, lk I-1395, punkt 21).</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Seega tuleb teise küsimuse teisele osale direktiivi 83/189 puudutavas osas vastata, et juhul, kui sellist siseriiklikku sätet nagu dekreedi nr 92–377 artikli 4 teine lõik tuleb tõlgendada nii, et see nõuab märgi või etiketi kasutamist, võib üksikisik tugineda sellele, et ta ei ole sellest siseriiklikust sättest selle direktiivi artikli 8 kohaselt teatanud. Seejärel peab eelotsusetaotluse esitanud kohus keelduma selle sätte kohaldamisest, kuna küsimus, millised järeldused tuleb selle riigisisese sätte kohaldamatusest teha seoses kohaldatava riigisisese õiguse kohase karistuse rangusega, nagu lepingu tühisus või täitmisele pööratamatus, on riigisisese õigusega reguleeritud küsimus. See järeldus sõltub siiski tingimusest, et kohaldatavad siseriiklikud õigusnormid ei ole vähem soodsad kui samalaadsete siseriiklike hagide suhtes kohaldatavad õigusnormid ega ole kehtestatud viisil, mis muudaks ühenduse õigusest tulenevate õiguste kasutamise praktiliselt võimatuks.“</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r>
        <w:t xml:space="preserve">8. </w:t>
      </w:r>
      <w:hyperlink r:id="rId102" w:history="1">
        <w:r>
          <w:rPr>
            <w:color w:val="0000FF"/>
            <w:u w:val="single"/>
          </w:rPr>
          <w:t xml:space="preserve">septembri 2005. aasta kohtuotsus Lidl</w:t>
        </w:r>
      </w:hyperlink>
      <w:r>
        <w:t xml:space="preserve"> Italia, C-303/04, EU:C:2005:528, punktid 22 ja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Teatamiskohustuse rikkumine kujutab endast olulist menetlusnormi rikkumist, mis muudab kõnealused „tehnilised eeskirjad“ kohaldamatuks ja seega eraõiguslike isikute suhtes kohaldamatuks.</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väljakujunenud kohtupraktika kohaselt on direktiivi 98/34 eesmärk ennetava järelevalve abil kaitsta kaupade vaba liikumist, mis on üks ühenduse alustalasid, ning et see kontroll teenib kasulikku eesmärki, kuna selle direktiivi kohaldamisalasse kuuluvad tehnilised eeskirjad võivad kujutada endast liikmesriikidevahelise kaubavahetuse takistust, kusjuures sellised takistused on lubatavad üksnes juhul, kui need on vajalikud ülekaaluka üldise huviga seotud nõuete täitmiseks (vt selle kohta 12. juuli 1996. aasta otsus kohtuasjas C-194/94: CIA Security International, EKL 1996, lk I-2201, punkt 40, ja 22. mai 1998. aasta otsus kohtuasjas C-226/97: Lemmens, EKL 1998, lk I-3711, punkt 32).</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Kuna muu hulgas direktiivi 98/34 artikli 8 lõike 1 esimeses lõigus ette nähtud teatamiskohustus on ühenduse kontrolli saavutamiseks hädavajalik, on sellise kontrolli tõhusus palju suurem, kui seda direktiivi tõlgendada nii, et teatamiskohustuse täitmata jätmine kujutab endast olulist menetlusnormi rikkumist, mis muudab kõnealused tehnilised eeskirjad kohaldamatuks ja seega eraõiguslike isikute suhtes kohaldamatuks (eespool viidatud kohtuotsused CIA Security International, punktid 44, 48 ja 54, ning Lemmens, punkt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Kohtuotsus, 31.1.2013,</w:t>
        </w:r>
      </w:hyperlink>
      <w:r>
        <w:t xml:space="preserve"> Belgische Petroleum Unie jt, C 26/11,</w:t>
        <w:noBreakHyphen/>
        <w:t xml:space="preserve">EU:C:2013:44, punkt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Teatamiskohustuse rikkumine kujutab endast olulist menetlusnormi rikkumist, mis muudab kõnealused „tehnilised eeskirjad“ kohaldamatuks ja seega eraõiguslike isikute suhtes kohaldamatuks.</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Kuna direktiivi 98/34 artikli 8 lõike 1 esimeses lõigus ette nähtud teatamiskohustus on selle kontrolli saavutamiseks hädavajalik, on sellise kontrolli tõhusus palju suurem, kui seda direktiivi tõlgendada nii, et teatamiskohustuse täitmata jätmine kujutab endast olulist menetlusnormi rikkumist, mis muudab kõnealused tehnilised eeskirjad kohaldamatuks ja seega eraõiguslike isikute suhtes kohaldamatuks (vt eespool viidatud kohtuotsused Lidl Italia, punkt 23, ja Sandström, punkt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Kohtuotsus, 2. veebruar 2016</w:t>
        </w:r>
      </w:hyperlink>
      <w:r>
        <w:t xml:space="preserve">, Ince, C-336/14, EU:C:2016:72, punktid 67 ja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„Tehnilisest eeskirjast“ teatamata jätmine muudab selle üksikisikute suhtes kohaldamatuks ja jõustamatuks. Viimased võivad tugineda direktiivi 98/34 artiklile 8 siseriiklikes kohtutes, kes on seega kohustatud keelduma teatamata reegli kohaldamisest.</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Sissejuhatuseks tuleb meelde tuletada, et direktiivi 98/34 artikli 8 lõikes 1 sätestatud teatamiskohustuse täitmata jätmise näol on tegemist menetlusnormi rikkumisega vastavate tehniliste eeskirjade vastuvõtmisel, mis toob kaasa nende tehniliste eeskirjade kohaldamise võimatuse, nii et neile ei saa isikute vastu tugineda (vt eelkõige kohtuotsus Ivansson jt, C-307/13, EU:C:2014:2058, punkt 48 ja seal viidatud kohtupraktika).</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Sellega seoses tuleb rõhutada, nagu märkis kohtujurist oma ettepaneku punktis 60, et kuigi selle direktiivi artikli 8 lõige 1 nõuab, et komisjonile edastataks kogu tehnilisi eeskirju sisaldava seaduse eelnõu (vt selle kohta kohtuotsus komisjon vs. Itaalia, C-279/94, EU:C:1997:396, punktid 40 ja 41), ei laiene selle kohustuse rikkumisest tulenev kohaldamatus mitte kõigile sellise seaduse sätetele, vaid üksnes selles sisalduvatele tehnilistele eeskirjadele.“</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21. aprilli 2016. aasta kohtumäärus Beca</w:t>
        </w:r>
      </w:hyperlink>
      <w:r>
        <w:t xml:space="preserve"> Engineering, C-285/15, EU:C:2016:295, punkt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„Tehnilistest eeskirjadest“ teatamata jätmine muudab selle kohaldamatuks ja kohaldamatuks üksikisikute suhtes, kes võivad tugineda direktiivi 98/34 artiklile 8 siseriiklikes kohtutes, kes on seega kohustatud selle kohaldamisest keelduma.</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(Kuna tellimus on kättesaadav ainult prantsuse ja itaalia keeles, on järgmine tekst tõlge.)</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Väljakujunenud kohtupraktika kohaselt toob direktiivi 98/34 artiklis 8 ette nähtud liikmesriikide poolt komisjonile tehnilistest eeskirjadest teatamise kohustuse rikkumine kaasa selle, et asjaomased tehnilised eeskirjad ei ole kohaldatavad, mistõttu ei saa neile eraõiguslike isikute vastu tugineda ning viimased võivad seega tugineda direktiivi 98/34 artiklile 8 eelotsusetaotluse esitanud kohtus, kes peab keelduma kohaldamast siseriiklikke tehnilisi eeskirju, millest ei ole selle direktiivi kohaselt teatatud (vt selle kohta kohtuotsused, 30.4.1996, CIA Security International, 194/94</w:t>
        <w:noBreakHyphen/>
        <w:t xml:space="preserve">, EU:C:1996:172, punktid 44 ja 54; 26. septembri 2000. aasta kohtuotsus Unilever,</w:t>
        <w:noBreakHyphen/>
        <w:t xml:space="preserve">443/98, EU:C:2000:496, punkt 49; ning 16. juuli 2015. aasta kohtuotsus UNIC ja Uni.co.pel, 95/14</w:t>
        <w:noBreakHyphen/>
        <w:t xml:space="preserve">, EU:C:2015:492, punkt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Kohtuotsus, 1. veebruar 2017</w:t>
        </w:r>
      </w:hyperlink>
      <w:r>
        <w:t xml:space="preserve">, Município de Palmela, C</w:t>
        <w:noBreakHyphen/>
        <w:t xml:space="preserve">144/16, EU:C:2017:76, punktid 36 ja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Teatamata tehniliste eeskirjade kohaldamatus laieneb üksnes sätetele, mis kvalifitseeruvad sellisteks, mitte kogu tekstile, milles need on sätestatud.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Lisaks on sellise teatamiskohustuse täitmata jätmise eest ette nähtud karistus see, et teatamata jäetud tehnilised eeskirjad ei ole kohaldatavad (vt selle kohta 30. aprilli 1996. aasta kohtuotsus CIA Security International, C-194/94, EU:C:1996:172, punkt 54, ja direktiivi 98/34 kohta 4. veebruari 2016. aasta kohtuotsus Ince, C-336/14, EU:C:2016:72, punkt 67 ja seal viidatud kohtupraktika).</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Mis puudutab sellise karistuse ulatust, siis isegi kui direktiivi 83/189 artikli 8 lõige 1 ja direktiivi 98/34 artikli 8 lõige 1 nõuavad, et komisjonile edastataks kogu tehnilisi eeskirju sisaldava seaduse eelnõu, ei laiene selle kohustuse rikkumisest tulenev kohaldamatus mitte kõigile sellise seaduse sätetele, vaid üksnes neis sisalduvatele tehnilistele eeskirjadele (vt selle kohta 4. veebruari 2016. aasta kohtuotsus Ince, C-336/14, EU:C:2016:72, punkt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r>
        <w:t xml:space="preserve">12. </w:t>
      </w:r>
      <w:hyperlink r:id="rId107" w:history="1">
        <w:r>
          <w:rPr>
            <w:color w:val="0000FF"/>
            <w:u w:val="single"/>
          </w:rPr>
          <w:t xml:space="preserve">septembri 2019. aasta kohtuotsus VG</w:t>
        </w:r>
      </w:hyperlink>
      <w:r>
        <w:t xml:space="preserve"> Media, C-299/17, EU:C:2019:716, punkt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Teatamata „tehniliste eeskirjade“ kohaldamatusele võib tugineda eraõiguslike isikute vahelises vaidluses.</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Juhul kui selline õigusnorm, nagu on kõne all põhikohtuasjas, on konkreetselt suunatud infoühiskonna teenustele, tuleb tehniline eeskiri eelnevalt komisjonile edastada vastavalt direktiivi 98/34 artikli 8 lõikele 1. Vastasel juhul võib väljakujunenud kohtupraktika kohaselt tugineda eraõiguslike isikute vahelises vaidluses sellele, et tehnilised eeskirjad, millest ei ole selle sätte kohaselt teatatud, ei ole kohaldatavad (27. oktoobri 2016. aasta kohtuotsus James Elliott Construction, C 613/14</w:t>
        <w:noBreakHyphen/>
        <w:t xml:space="preserve">, EU:C:2016:821, punkt 64 ja seal viidatud kohtupraktika).“</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Kohaldamatus ooteajal vastuvõtmise korral</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r>
        <w:t xml:space="preserve">26. </w:t>
      </w:r>
      <w:hyperlink r:id="rId108" w:history="1">
        <w:r>
          <w:rPr>
            <w:color w:val="0000FF"/>
            <w:u w:val="single"/>
          </w:rPr>
          <w:t xml:space="preserve">septembri 2000. aasta kohtuotsus Unilever</w:t>
        </w:r>
      </w:hyperlink>
      <w:r>
        <w:t xml:space="preserve">, C-443/98, EU:C:2000:496, punktid 44 ja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„Tehnilise eeskirja“ vastuvõtmise edasilükkamise kohustuse rikkumine kujutab endast olulist menetlusnormide rikkumist ning sellest tulenevale kohaldamatusele võib tugineda tsiviilõiguslikes kohtuvaidlustes.</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Kuigi eespool viidatud kohtuotsuse CIA Security punktis 48, olles meenutanud, et direktiivi 83/189 eesmärk on kaitsta kaupade vaba liikumist ennetava kontrolli abil ja et teatamiskohustus on sellise ühenduse kontrolli saavutamiseks hädavajalik, leidis Euroopa Kohus, et sellise kontrolli tõhusus oleks palju suurem, kui direktiivi tõlgendataks nii, et teatamiskohustuse rikkumine kujutab endast olulist menetlusnormi rikkumist, mis muudab kõnealused tehnilised eeskirjad eraõiguslike isikute suhtes kohaldamatuks, tuleneb käesoleva kohtuotsuse punktides 40–43 esitatud kaalutlustest, et direktiivi 83/189 artiklis 9 sätestatud vastuvõtmise edasilükkamise kohustuse rikkumine kujutab endast ka olulist menetlusnormi rikkumist, mis muudab tehnilised eeskirjad kohaldamatuks.“</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Seega tuleneb Euroopa Kohtu praktikast, et direktiivi 83/189 artikli 8 kohaselt teatamata jäetud tehniliste eeskirjade kohaldamatusele saab tugineda eraõiguslike isikute vahelises vaidluses käesoleva kohtuotsuse punktides 40–43 esitatud põhjustel. Sama kehtib selle direktiivi artiklis 9 ette nähtud kohustuste rikkumise kohta ning sellega seoses ei ole vaja käsitleda eraõiguslike isikute vahelisi vaidlusi ebaausa konkurentsi küsimustes erinevalt, nagu kohtuasjas CIA Security International, eraõiguslike isikute vahelistest vaidlustest, mis puudutavad lepingulisi õigusi ja kohustusi, nagu põhikohtuasjas.“</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Kohtuotsus, 16. juuli 2015</w:t>
        </w:r>
      </w:hyperlink>
      <w:r>
        <w:t xml:space="preserve">, UNIC ja Uni.co.pel, C-95/14, EU:C:2015:492, punktid 29 ja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„Tehnilist eeskirja“ ei saa kohaldada, kui sellest ei ole teatatud või kui see on küll teatatud, kuid see on vastu võetud ja rakendatud enne ooteaja lõppu. Selle ooteaja järgimata jätmine kujutab endast sisulist menetlusnormi rikkumist, mis muudab kõnealuse „tehnilise eeskirja“ kohaldamatuks ja eraõiguslike isikute suhtes kohaldamatuks.</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Sellega seoses tuleb märkida, et tehnilist eeskirja ei saa kohaldada, kui sellest ei ole direktiivi 98/34 artikli 8 lõike 1 kohaselt teatatud või kui see on küll vastu võetud ja rakendatud enne selle direktiivi artikli 9 lõikes 1 ette nähtud kolmekuulise ooteaja lõppu (vt kohtuotsused CIA Security International, C-194/94, EU:C:1996:172, punktid 41, 44 ja 54, ning Unilever, C-443/98, EU:C:2000:496, punkt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Järelikult on põhikohtuasjas eelotsusetaotluse esitanud kohtu ülesanne kontrollida, kas seadus nr 8/2013 jõustus ilma direktiivi 98/34 artiklis 9 nõutud ooteaega järgimata. Jaatava vastuse korral on ooteaja järgimata jätmine menetlusnormi oluline rikkumine, mille tagajärjel ei ole kõnealune tehniline eeskiri rakendatav. Nagu kohtujurist oma ettepaneku punktides 44–47 märkis, ei oleks seaduse nr 8/2103 artikli 3 lõige 2 sellisel juhul eraõiguslike isikute suhtes kohaldatav.“</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r>
        <w:rPr>
          <w:rFonts w:ascii="Times New Roman" w:hAnsi="Times New Roman" w:cs="Times New Roman" w:eastAsia="Times New Roman"/>
          <w:b/>
          <w:i/>
          <w:szCs w:val="20"/>
        </w:rPr>
        <w:t xml:space="preserve">21. </w:t>
      </w:r>
      <w:hyperlink r:id="rId110" w:history="1">
        <w:r>
          <w:rPr>
            <w:rStyle w:val="Hyperlink"/>
            <w:rFonts w:ascii="Times New Roman" w:hAnsi="Times New Roman" w:cs="Times New Roman" w:eastAsia="Times New Roman"/>
            <w:b/>
            <w:i/>
            <w:color w:val="0000FF"/>
            <w:szCs w:val="20"/>
          </w:rPr>
          <w:t xml:space="preserve">detsembri 2023. aasta kohtuotsus Papier</w:t>
        </w:r>
      </w:hyperlink>
      <w:r>
        <w:rPr>
          <w:rFonts w:ascii="Times New Roman" w:hAnsi="Times New Roman" w:cs="Times New Roman" w:eastAsia="Times New Roman"/>
          <w:b/>
          <w:i/>
          <w:szCs w:val="20"/>
        </w:rPr>
        <w:t xml:space="preserve"> Mettler Italia, C-86/22, EU:C:2023:1023, punktid 48 ja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Tehniliste eeskirjade eelnõu vastuvõtmine kuus päeva pärast selle teatavakstegemist on direktiiviga vastuolus.</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Klauslid, mis seavad õigusakti jõustumise sõltuvusse sellest, et komisjon ei reageeri sellele õigusaktile (edaspidi „peatamisklauslid“), on direktiiviga vastuolus, sest selliste õigusaktide vastuvõtmine ei võimalda arvesse võtta teiste liikmesriikide seisukohti ja rikub õiguskindluse põhimõtet.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Teiseks rikub põhikohtuasjas kõne all oleva dekreedi vastuvõtmine kuue päeva jooksul alates selle teatavakstegemisest komisjonile selle direktiivi artikli 8 lõike 1 alusel ka selle artikli 9 lõikes 1 sätestatud kohustust, mille kohaselt lükkavad liikmesriigid „tehniliste eeskirjade eelnõu“ vastuvõtmise edasi kolme kuu võrra alates kuupäevast, mil komisjon sai kätte direktiivi artikli 8 lõikes 1 ette nähtud teate.“</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Teiselt poolt väidab see valitsus, et põhikohtuasjas kõne all oleva dekreedi jõustumine sõltus dekreedi artikli 6 kohaselt 12. märtsil 2013 direktiivi 98/34 artikli 8 lõike 1 alusel algatatud teatamismenetluse „positiivsest tulemusest“. Selle menetluse tulemus ei olnud aga positiivne, sest komisjon ei esitanud dekreedi kohta arvamust. See argument tuleb tagasi lükata, kuna esiteks võib selle dekreedi vastuvõtmine ja avaldamine iseenesest avaldada teatavat mõju asjaomaste kaupade vabale liikumisele; teiseks ei võimaldanud need võtta arvesse Madalmaade Kuningriigi, Rootsi Kuningriigi ning Suurbritannia ja Põhja-Iiri Ühendkuningriigi seisukohti ja üksikasjalikke arvamusi; kolmandaks, nagu kohtujurist oma ettepaneku punktis 52 märkis, kujutavad need endast seadusandlikku tehnikat, mis on vastuolus õiguskindluse põhimõttega.“</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Ebakohaldatavuse mõju selgitamine</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Kohtuotsus, 11. juuni 2015</w:t>
        </w:r>
      </w:hyperlink>
      <w:r>
        <w:t xml:space="preserve">, Berlington Hungary jt, C-98/14, EU:C:2015:386, punktid 108 ja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Teavitamis- ja rakendamiskeelu eesmärk ei ole anda üksikisikutele õigusi. Järelikult ei anna nende rikkumine liikmesriigi poolt liidu õiguse alusel eraõiguslikele isikutele õigust nõuda sellelt liikmesriigilt kahju hüvitamist.</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Sellega seoses nähtub kohtupraktikast, et kuigi direktiivi 98/34 eesmärk on tagada kaupade vaba liikumine, korraldades ennetava kontrolli, mille tõhusus eeldab, et eraõiguslike isikute vahelises vaidluses ei kohaldata riigisisest meedet, mis on vastu võetud selle direktiivi artikleid 8 ja 9 rikkudes, ei ole selles direktiivis kuidagi määratletud selle õigusnormi sisulist ulatust, mille alusel siseriiklik kohus peab tema menetluses oleva kohtuasja lahendama. Seega ei loo see direktiiv üksikisikutele õigusi ega kohustusi (kohtuotsus Unilever, C-443/98, EU:C:2000:496, punkt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Neil asjaoludel tuleb asuda seisukohale, et esimene punktis 104 loetletud tingimustest ei ole täidetud, mistõttu eraõiguslikud isikud ei saa tugineda selle direktiivi artiklite 8 ja 9 rikkumisele, et tuvastada asjaomase liikmesriigi vastutus liidu õiguse alusel.“</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Rikkumismenetlus</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Kohtuotsus, 4. juuni 2009</w:t>
        </w:r>
      </w:hyperlink>
      <w:r>
        <w:t xml:space="preserve">, komisjon vs. Kreeka, C-109/08, EU:C:2009:346, punktid 14–17.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Euroopa Kohtu otsus, milles tuvastatakse teatamiskohustuse rikkumine, tuleb viivitamata täita, et tagada liidu õiguse ühetaoline kohaldamine. Küsimust, kas selline rikkumine on toimunud EÜ artikli 228 alusel, hinnatakse põhjendatud arvamuses määratud tähtaja lõpus. Kuna Kreeka ei võtnud käesolevas asjas meetmeid enne määratud tähtaja möödumist, siis on ta rikkunud EÜ artikli 228 lõikest 1 tulenevaid kohustusi.</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Kuigi EÜ artiklis 228 ei ole täpsustatud tähtaega, mille jooksul tuleb täita liikmesriigi kohustuste rikkumist tuvastav Euroopa Kohtu otsus, tuleneb väljakujunenud kohtupraktikast, et ühenduse õiguse viivitamatu ja ühetaolise kohaldamise tähtsus tähendab, et täitmismenetlus tuleb algatada kohe ja see tuleb võimalikult kiiresti lõpule viia (vt eelkõige 11. juuli 2008. aasta otsus kohtuasjas C-121/07: komisjon vs. Prantsusmaa, EKL 2008, lk I</w:t>
        <w:noBreakHyphen/>
        <w:t xml:space="preserve">0000, punkt 21 ja seal viidatud</w:t>
        <w:noBreakHyphen/>
        <w:t>kohtupraktika).</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Lisaks on EÜ artikli 228 alusel liikmesriigi kohustuste rikkumise olemasolu hindamisel aluseks võetav kuupäev selle sätte alusel esitatud põhjendatud arvamuses määratud tähtaja möödumise kuupäev (vt eelkõige 18. juuli 2007. aasta otsus kohtuasjas C 503/04:</w:t>
        <w:noBreakHyphen/>
        <w:t xml:space="preserve">komisjon vs. Saksamaa, EKL 2007, lk I</w:t>
        <w:noBreakHyphen/>
        <w:t xml:space="preserve">6153, punkt 19 ja seal viidatud</w:t>
        <w:noBreakHyphen/>
        <w:t>kohtupraktika).</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Käesoleval juhul on ilmne, et 29. juuni 2007. aasta põhjendatud arvamuses määratud kahekuulise tähtaja möödumise kuupäevaks ei olnud Kreeka Vabariik võtnud ühtegi eespool viidatud kohtuotsuse</w:t>
        <w:noBreakHyphen/>
        <w:t xml:space="preserve">komisjon vs. Kreeka täitmiseks vajalikku meedet, kuna selle kohtuotsuse täitmiseks mõeldud esimese meetme eelnõust teatati komisjonile alles 7. mail 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Neil asjaoludel tuleb asuda seisukohale, nagu ta ise möönab, et Kreeka Vabariik on rikkunud EÜ artikli 228 lõikest 1 tulenevaid kohustusi.“</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Direktiivide 2015/1535 ja 83/189/EMÜ võrdlus põhineb algsetel muutmata õigusaktidel, samas kui direktiivi 98/34/EÜ võrdlus põhineb 20. juuli 1998. aasta direktiiviga 98/48/EÜ muudetud versioonil.</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Euroopa Parlamendi ja nõukogu 9. septembri 2015. aasta direktiiv (EL) 2015/1535, millega nähakse ette tehnilistest eeskirjadest ning infoühiskonna teenuste eeskirjadest teatamise kord (kodifitseeritud tekst)</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Euroopa Parlamendi ja nõukogu 22. juuni 1998. aasta direktiiv 98/34/EÜ, millega nähakse ette tehnilistest standarditest ja eeskirjadest teatamise kord, muudetud 20. juuli 1998. aasta direktiiviga 98/48/EÜ (sealhulgas teenuseid käsitlevad eeskirjad)</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Nõukogu 28. märtsi 1983. aasta direktiiv 83/189/EMÜ, millega nähakse ette tehnilistest standarditest ja eeskirjadest teatamise kord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e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et"/>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