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BA8" w:rsidRPr="00273236" w:rsidRDefault="00484BA8" w:rsidP="00484BA8">
      <w:pPr>
        <w:jc w:val="center"/>
        <w:rPr>
          <w:rFonts w:ascii="Courier New" w:hAnsi="Courier New" w:cs="Courier New"/>
          <w:sz w:val="20"/>
        </w:rPr>
      </w:pPr>
      <w:r>
        <w:rPr>
          <w:rStyle w:val="Normal"/>
          <w:rFonts w:ascii="Courier New" w:hAnsi="Courier New"/>
          <w:sz w:val="20"/>
        </w:rPr>
        <w:t>1. ------IND- 2018 0211 LV- FR- ------ 20180524 --- --- IMPACT</w:t>
      </w:r>
    </w:p>
    <w:p w:rsidR="00484BA8" w:rsidRPr="00273236" w:rsidRDefault="00484BA8" w:rsidP="00484BA8">
      <w:pPr>
        <w:spacing w:after="0" w:line="240" w:lineRule="auto"/>
        <w:jc w:val="center"/>
        <w:rPr>
          <w:rFonts w:ascii="Times New Roman" w:eastAsia="Times New Roman" w:hAnsi="Times New Roman"/>
          <w:b/>
          <w:sz w:val="24"/>
          <w:szCs w:val="24"/>
        </w:rPr>
      </w:pPr>
      <w:r>
        <w:rPr>
          <w:rStyle w:val="Normal"/>
          <w:rFonts w:ascii="Times New Roman" w:hAnsi="Times New Roman"/>
          <w:b/>
          <w:sz w:val="24"/>
        </w:rPr>
        <w:t>Règlement du Conseil des ministres sur la procédure à suivre afin de mettre fin au statut de déchet des matériaux de caoutchouc obtenus à partir de pneus hors d’usage: rapport d’évaluation d’impact ex-ante (résumé)</w:t>
      </w:r>
    </w:p>
    <w:p w:rsidR="00484BA8" w:rsidRPr="00273236" w:rsidRDefault="00484BA8" w:rsidP="00484BA8">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5"/>
      </w:tblGrid>
      <w:tr w:rsidR="00484BA8" w:rsidRPr="00D0324A" w:rsidTr="00484BA8">
        <w:tc>
          <w:tcPr>
            <w:tcW w:w="9061" w:type="dxa"/>
            <w:gridSpan w:val="2"/>
          </w:tcPr>
          <w:p w:rsidR="00484BA8" w:rsidRPr="00D0324A" w:rsidRDefault="00484BA8" w:rsidP="00484BA8">
            <w:pPr>
              <w:keepNext/>
              <w:keepLines/>
              <w:spacing w:after="0" w:line="240" w:lineRule="auto"/>
              <w:rPr>
                <w:rFonts w:ascii="Times New Roman" w:eastAsia="Times New Roman" w:hAnsi="Times New Roman"/>
                <w:sz w:val="24"/>
                <w:szCs w:val="24"/>
              </w:rPr>
            </w:pPr>
            <w:r>
              <w:rPr>
                <w:rStyle w:val="Normal"/>
                <w:rFonts w:ascii="Times New Roman" w:hAnsi="Times New Roman"/>
                <w:b/>
                <w:sz w:val="24"/>
              </w:rPr>
              <w:t>Résumé du projet de loi</w:t>
            </w:r>
            <w:bookmarkStart w:id="0" w:name="_GoBack"/>
            <w:bookmarkEnd w:id="0"/>
          </w:p>
        </w:tc>
      </w:tr>
      <w:tr w:rsidR="00484BA8" w:rsidRPr="00D0324A" w:rsidTr="00484BA8">
        <w:tc>
          <w:tcPr>
            <w:tcW w:w="1696" w:type="dxa"/>
          </w:tcPr>
          <w:p w:rsidR="00484BA8" w:rsidRPr="00D0324A"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Objet, solution et date d’entrée en vigueur (500 caractères sans espaces)</w:t>
            </w:r>
          </w:p>
        </w:tc>
        <w:tc>
          <w:tcPr>
            <w:tcW w:w="7365" w:type="dxa"/>
          </w:tcPr>
          <w:p w:rsidR="00484BA8" w:rsidRPr="00D0324A" w:rsidRDefault="00484BA8" w:rsidP="00484BA8">
            <w:pPr>
              <w:pStyle w:val="ListParagraph"/>
              <w:autoSpaceDE w:val="0"/>
              <w:autoSpaceDN w:val="0"/>
              <w:adjustRightInd w:val="0"/>
              <w:spacing w:after="0" w:line="240" w:lineRule="auto"/>
              <w:ind w:left="0"/>
              <w:contextualSpacing w:val="0"/>
              <w:jc w:val="both"/>
              <w:rPr>
                <w:rFonts w:ascii="Times New Roman" w:hAnsi="Times New Roman"/>
                <w:sz w:val="24"/>
                <w:szCs w:val="24"/>
              </w:rPr>
            </w:pPr>
            <w:r>
              <w:rPr>
                <w:rStyle w:val="ListParagraph"/>
                <w:rFonts w:ascii="Times New Roman" w:hAnsi="Times New Roman"/>
                <w:sz w:val="24"/>
              </w:rPr>
              <w:t>L’article 6, paragraphe 1</w:t>
            </w:r>
            <w:r>
              <w:rPr>
                <w:rStyle w:val="ListParagraph"/>
                <w:rFonts w:ascii="Times New Roman" w:hAnsi="Times New Roman"/>
                <w:sz w:val="24"/>
                <w:vertAlign w:val="superscript"/>
              </w:rPr>
              <w:t>1</w:t>
            </w:r>
            <w:r>
              <w:rPr>
                <w:rStyle w:val="ListParagraph"/>
                <w:rFonts w:ascii="Times New Roman" w:hAnsi="Times New Roman"/>
                <w:sz w:val="24"/>
              </w:rPr>
              <w:t>, de la loi sur la gestion des déchets (ci-après dénommée «WML») stipule que le Conseil des ministres établit la procédure pour l’application des critères pour les sous-produits et la fin du statut de déchet.</w:t>
            </w:r>
          </w:p>
          <w:p w:rsidR="00484BA8" w:rsidRPr="00D0324A" w:rsidRDefault="00484BA8" w:rsidP="00484BA8">
            <w:pPr>
              <w:spacing w:after="0" w:line="240" w:lineRule="auto"/>
              <w:jc w:val="both"/>
              <w:rPr>
                <w:rFonts w:ascii="Times New Roman" w:hAnsi="Times New Roman"/>
                <w:sz w:val="24"/>
                <w:szCs w:val="24"/>
              </w:rPr>
            </w:pPr>
          </w:p>
          <w:p w:rsidR="00484BA8" w:rsidRPr="00D0324A" w:rsidRDefault="00484BA8" w:rsidP="00484BA8">
            <w:pPr>
              <w:pStyle w:val="ListParagraph"/>
              <w:autoSpaceDE w:val="0"/>
              <w:autoSpaceDN w:val="0"/>
              <w:adjustRightInd w:val="0"/>
              <w:spacing w:after="0" w:line="240" w:lineRule="auto"/>
              <w:ind w:left="0"/>
              <w:contextualSpacing w:val="0"/>
              <w:jc w:val="both"/>
              <w:rPr>
                <w:rFonts w:ascii="Times New Roman" w:eastAsia="Times New Roman" w:hAnsi="Times New Roman"/>
                <w:sz w:val="24"/>
                <w:szCs w:val="24"/>
              </w:rPr>
            </w:pPr>
            <w:r>
              <w:rPr>
                <w:rStyle w:val="ListParagraph"/>
                <w:rFonts w:ascii="Times New Roman" w:hAnsi="Times New Roman"/>
                <w:sz w:val="24"/>
              </w:rPr>
              <w:t xml:space="preserve">Le projet de règlement du Conseil des ministres sur la procédure à suivre afin de mettre fin au statut de déchet des matériaux de caoutchouc obtenus à partir de pneus hors d’usage (ci-après dénommé le «projet de règlement») s’applique aux matériaux de caoutchouc obtenus à partir de pneus hors d’usage à la suite de leur transformation. Le projet de règlement stipule que le transformateur des pneus hors d’usage doit introduire un système de gestion de la qualité, tandis que la personne qui importe des matières premières secondaires obtenues à partir de pneus hors d’usage provenant d’autres pays doit s’assurer que ces matières premières sont produites en conformité avec les exigences de qualité appropriées. Le projet de règlement stipule également que chaque lot de déchets (un transfert) doit être accompagné d’une copie de la déclaration démontrant que les matières premières secondaires répondent aux critères de fin du statut de déchet et attestant que les matières premières secondaires obtenues à partir de pneus hors d’usage satisfont aux exigences dudit règlement. Le projet de règlement entrera en vigueur le jour suivant celui de sa publication au Journal officiel </w:t>
            </w:r>
            <w:r>
              <w:rPr>
                <w:rStyle w:val="ListParagraph"/>
                <w:rFonts w:ascii="Times New Roman" w:hAnsi="Times New Roman"/>
                <w:i/>
                <w:sz w:val="24"/>
              </w:rPr>
              <w:t>Latvijas Vēstnesis</w:t>
            </w:r>
            <w:r>
              <w:rPr>
                <w:rStyle w:val="ListParagraph"/>
                <w:rFonts w:ascii="Times New Roman" w:hAnsi="Times New Roman"/>
                <w:sz w:val="24"/>
              </w:rPr>
              <w:t xml:space="preserve">. </w:t>
            </w:r>
          </w:p>
        </w:tc>
      </w:tr>
    </w:tbl>
    <w:p w:rsidR="00484BA8" w:rsidRPr="00273236" w:rsidRDefault="00484BA8" w:rsidP="00484BA8">
      <w:pPr>
        <w:spacing w:after="0" w:line="240" w:lineRule="auto"/>
        <w:rPr>
          <w:rFonts w:ascii="Times New Roman" w:eastAsia="Times New Roman" w:hAnsi="Times New Roman"/>
          <w:sz w:val="24"/>
          <w:szCs w:val="24"/>
        </w:rPr>
      </w:pPr>
    </w:p>
    <w:p w:rsidR="00484BA8" w:rsidRPr="00273236" w:rsidRDefault="00484BA8" w:rsidP="00484BA8">
      <w:pPr>
        <w:spacing w:after="0" w:line="240" w:lineRule="auto"/>
        <w:rPr>
          <w:rFonts w:ascii="Times New Roman" w:eastAsia="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57" w:type="dxa"/>
          <w:bottom w:w="24" w:type="dxa"/>
          <w:right w:w="57" w:type="dxa"/>
        </w:tblCellMar>
        <w:tblLook w:val="04A0" w:firstRow="1" w:lastRow="0" w:firstColumn="1" w:lastColumn="0" w:noHBand="0" w:noVBand="1"/>
      </w:tblPr>
      <w:tblGrid>
        <w:gridCol w:w="294"/>
        <w:gridCol w:w="1674"/>
        <w:gridCol w:w="7217"/>
      </w:tblGrid>
      <w:tr w:rsidR="00484BA8" w:rsidRPr="00D0324A" w:rsidTr="00484BA8">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84BA8" w:rsidRPr="00273236" w:rsidRDefault="00484BA8" w:rsidP="00484BA8">
            <w:pPr>
              <w:keepNext/>
              <w:keepLines/>
              <w:spacing w:before="100" w:beforeAutospacing="1" w:after="100" w:afterAutospacing="1" w:line="293" w:lineRule="atLeast"/>
              <w:jc w:val="center"/>
              <w:rPr>
                <w:rFonts w:ascii="Times New Roman" w:eastAsia="Times New Roman" w:hAnsi="Times New Roman"/>
                <w:b/>
                <w:bCs/>
                <w:sz w:val="24"/>
                <w:szCs w:val="24"/>
              </w:rPr>
            </w:pPr>
            <w:r>
              <w:rPr>
                <w:rStyle w:val="Normal"/>
                <w:rFonts w:ascii="Times New Roman" w:hAnsi="Times New Roman"/>
                <w:b/>
                <w:sz w:val="24"/>
              </w:rPr>
              <w:t>I. Nécessité du projet de loi</w:t>
            </w:r>
          </w:p>
        </w:tc>
      </w:tr>
      <w:tr w:rsidR="00484BA8" w:rsidRPr="00D0324A" w:rsidTr="00484BA8">
        <w:tc>
          <w:tcPr>
            <w:tcW w:w="138"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before="100" w:beforeAutospacing="1" w:after="100" w:afterAutospacing="1" w:line="293" w:lineRule="atLeast"/>
              <w:jc w:val="center"/>
              <w:rPr>
                <w:rFonts w:ascii="Times New Roman" w:eastAsia="Times New Roman" w:hAnsi="Times New Roman"/>
                <w:sz w:val="24"/>
                <w:szCs w:val="24"/>
              </w:rPr>
            </w:pPr>
            <w:r>
              <w:rPr>
                <w:rStyle w:val="Normal"/>
                <w:rFonts w:ascii="Times New Roman" w:hAnsi="Times New Roman"/>
                <w:sz w:val="24"/>
              </w:rPr>
              <w:t>1.</w:t>
            </w:r>
          </w:p>
        </w:tc>
        <w:tc>
          <w:tcPr>
            <w:tcW w:w="767"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Base légale</w:t>
            </w:r>
          </w:p>
        </w:tc>
        <w:tc>
          <w:tcPr>
            <w:tcW w:w="4095"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jc w:val="both"/>
              <w:rPr>
                <w:rFonts w:ascii="Times New Roman" w:eastAsia="Times New Roman" w:hAnsi="Times New Roman"/>
                <w:sz w:val="28"/>
                <w:szCs w:val="28"/>
              </w:rPr>
            </w:pPr>
            <w:r>
              <w:rPr>
                <w:rStyle w:val="Normal"/>
                <w:rFonts w:ascii="Times New Roman" w:hAnsi="Times New Roman"/>
                <w:sz w:val="24"/>
              </w:rPr>
              <w:t>Article 6, paragraphe 1</w:t>
            </w:r>
            <w:r>
              <w:rPr>
                <w:rStyle w:val="Normal"/>
                <w:rFonts w:ascii="Times New Roman" w:hAnsi="Times New Roman"/>
                <w:sz w:val="24"/>
                <w:vertAlign w:val="superscript"/>
              </w:rPr>
              <w:t>1</w:t>
            </w:r>
            <w:r>
              <w:rPr>
                <w:rStyle w:val="Normal"/>
                <w:rFonts w:ascii="Times New Roman" w:hAnsi="Times New Roman"/>
                <w:sz w:val="24"/>
              </w:rPr>
              <w:t>, de la WML.</w:t>
            </w:r>
          </w:p>
        </w:tc>
      </w:tr>
      <w:tr w:rsidR="00484BA8" w:rsidRPr="00D0324A" w:rsidTr="00484BA8">
        <w:tc>
          <w:tcPr>
            <w:tcW w:w="138"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before="100" w:beforeAutospacing="1" w:after="100" w:afterAutospacing="1" w:line="293" w:lineRule="atLeast"/>
              <w:jc w:val="center"/>
              <w:rPr>
                <w:rFonts w:ascii="Times New Roman" w:eastAsia="Times New Roman" w:hAnsi="Times New Roman"/>
                <w:sz w:val="24"/>
                <w:szCs w:val="24"/>
              </w:rPr>
            </w:pPr>
            <w:r>
              <w:rPr>
                <w:rStyle w:val="Normal"/>
                <w:rFonts w:ascii="Times New Roman" w:hAnsi="Times New Roman"/>
                <w:sz w:val="24"/>
              </w:rPr>
              <w:t>2.</w:t>
            </w:r>
          </w:p>
        </w:tc>
        <w:tc>
          <w:tcPr>
            <w:tcW w:w="767"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La situation actuelle et les questions auxquelles le projet de loi est censé répondre; objet et nature du cadre réglementaire</w:t>
            </w:r>
          </w:p>
        </w:tc>
        <w:tc>
          <w:tcPr>
            <w:tcW w:w="4095" w:type="pct"/>
            <w:tcBorders>
              <w:top w:val="outset" w:sz="6" w:space="0" w:color="414142"/>
              <w:left w:val="outset" w:sz="6" w:space="0" w:color="414142"/>
              <w:bottom w:val="outset" w:sz="6" w:space="0" w:color="414142"/>
              <w:right w:val="outset" w:sz="6" w:space="0" w:color="414142"/>
            </w:tcBorders>
            <w:hideMark/>
          </w:tcPr>
          <w:p w:rsidR="00484BA8" w:rsidRPr="00D0324A" w:rsidRDefault="00484BA8" w:rsidP="00484BA8">
            <w:pPr>
              <w:pStyle w:val="ListParagraph"/>
              <w:autoSpaceDE w:val="0"/>
              <w:autoSpaceDN w:val="0"/>
              <w:adjustRightInd w:val="0"/>
              <w:spacing w:line="240" w:lineRule="auto"/>
              <w:ind w:left="0"/>
              <w:contextualSpacing w:val="0"/>
              <w:jc w:val="both"/>
              <w:rPr>
                <w:rFonts w:ascii="Times New Roman" w:hAnsi="Times New Roman"/>
                <w:sz w:val="24"/>
                <w:szCs w:val="24"/>
              </w:rPr>
            </w:pPr>
            <w:r>
              <w:rPr>
                <w:rStyle w:val="ListParagraph"/>
                <w:rFonts w:ascii="Times New Roman" w:hAnsi="Times New Roman"/>
                <w:sz w:val="24"/>
              </w:rPr>
              <w:t>L’article 6, paragraphe 1</w:t>
            </w:r>
            <w:r>
              <w:rPr>
                <w:rStyle w:val="ListParagraph"/>
                <w:rFonts w:ascii="Times New Roman" w:hAnsi="Times New Roman"/>
                <w:sz w:val="24"/>
                <w:vertAlign w:val="superscript"/>
              </w:rPr>
              <w:t>1</w:t>
            </w:r>
            <w:r>
              <w:rPr>
                <w:rStyle w:val="ListParagraph"/>
                <w:rFonts w:ascii="Times New Roman" w:hAnsi="Times New Roman"/>
                <w:sz w:val="24"/>
              </w:rPr>
              <w:t>, de la WML stipule que le Conseil des ministres établit la procédure pour l’application des critères relatifs aux sous-produits et à la fin du statut de déchet.</w:t>
            </w:r>
          </w:p>
          <w:p w:rsidR="00484BA8" w:rsidRPr="00D0324A" w:rsidRDefault="00484BA8" w:rsidP="00484BA8">
            <w:pPr>
              <w:pStyle w:val="ListParagraph"/>
              <w:autoSpaceDE w:val="0"/>
              <w:autoSpaceDN w:val="0"/>
              <w:adjustRightInd w:val="0"/>
              <w:spacing w:line="240" w:lineRule="auto"/>
              <w:ind w:left="0"/>
              <w:contextualSpacing w:val="0"/>
              <w:jc w:val="both"/>
              <w:rPr>
                <w:rFonts w:ascii="Times New Roman" w:hAnsi="Times New Roman"/>
                <w:sz w:val="24"/>
                <w:szCs w:val="24"/>
              </w:rPr>
            </w:pPr>
            <w:r>
              <w:rPr>
                <w:rStyle w:val="ListParagraph"/>
                <w:rFonts w:ascii="Times New Roman" w:hAnsi="Times New Roman"/>
                <w:sz w:val="24"/>
              </w:rPr>
              <w:t xml:space="preserve">Actuellement, les critères généraux pour mettre fin au statut de déchet sont énoncés dans le règlement du Conseil des ministres nº 302 du 19 avril 2011 sur la classification des déchets et les propriétés qui rendent les déchets dangereux. Toutefois, ledit règlement n’établit pas les critères déterminant la fin du statut de déchet pour les matériaux de caoutchouc obtenus à partir de pneus hors d’usage. </w:t>
            </w:r>
          </w:p>
          <w:p w:rsidR="00484BA8" w:rsidRPr="00D0324A" w:rsidRDefault="00484BA8" w:rsidP="00484BA8">
            <w:pPr>
              <w:pStyle w:val="ListParagraph"/>
              <w:autoSpaceDE w:val="0"/>
              <w:autoSpaceDN w:val="0"/>
              <w:adjustRightInd w:val="0"/>
              <w:spacing w:line="240" w:lineRule="auto"/>
              <w:ind w:left="0"/>
              <w:contextualSpacing w:val="0"/>
              <w:jc w:val="both"/>
              <w:rPr>
                <w:rFonts w:ascii="Times New Roman" w:hAnsi="Times New Roman"/>
                <w:sz w:val="24"/>
                <w:szCs w:val="24"/>
              </w:rPr>
            </w:pPr>
            <w:r>
              <w:rPr>
                <w:rStyle w:val="ListParagraph"/>
                <w:rFonts w:ascii="Times New Roman" w:hAnsi="Times New Roman"/>
                <w:sz w:val="24"/>
              </w:rPr>
              <w:t xml:space="preserve">À la lumière de ce qui précède, un nouveau règlement a été élaboré pour établir la procédure à suivre afin de mettre fin au statut de déchet des matériaux de caoutchouc obtenus à partir de pneus hors d’usage. Le projet de règlement fixe des exigences relatives aux pneus hors d’usage qui sont transformés en matières premières secondaires, au processus de recyclage et aux matières premières secondaires obtenues. Afin d’établir une procédure commune pour mettre fin au statut de déchet de ces matériaux, le projet de règlement inclut des critères (annexe 1 dudit projet) pour déterminer si les matériaux doivent être considérés comme </w:t>
            </w:r>
            <w:r>
              <w:rPr>
                <w:rStyle w:val="ListParagraph"/>
                <w:rFonts w:ascii="Times New Roman" w:hAnsi="Times New Roman"/>
                <w:sz w:val="24"/>
              </w:rPr>
              <w:lastRenderedPageBreak/>
              <w:t>un déchet ou comme des matières premières secondaires. Le transformateur des pneus hors d’usage doit s’assurer que tous les critères inclus dans le projet de règlement sont satisfaits et la personne responsable de l’importation de matières premières secondaires en Lettonie doit certifier que les matières premières secondaires sont produites dans le cadre d’un système de gestion de la qualité. Les critères mentionnés sont nécessaires pour faciliter le recyclage des pneus hors d’usage.</w:t>
            </w:r>
          </w:p>
          <w:p w:rsidR="00484BA8" w:rsidRPr="00D0324A" w:rsidRDefault="00484BA8" w:rsidP="00484BA8">
            <w:pPr>
              <w:autoSpaceDE w:val="0"/>
              <w:autoSpaceDN w:val="0"/>
              <w:spacing w:line="240" w:lineRule="auto"/>
              <w:jc w:val="both"/>
              <w:rPr>
                <w:rFonts w:ascii="Times New Roman" w:hAnsi="Times New Roman"/>
                <w:sz w:val="24"/>
                <w:szCs w:val="24"/>
              </w:rPr>
            </w:pPr>
            <w:r>
              <w:rPr>
                <w:rStyle w:val="Normal"/>
                <w:rFonts w:ascii="Times New Roman" w:hAnsi="Times New Roman"/>
                <w:sz w:val="24"/>
              </w:rPr>
              <w:t>Les pneus hors d’usage (code de déchets 160103)</w:t>
            </w:r>
            <w:r>
              <w:rPr>
                <w:rFonts w:ascii="Times New Roman" w:hAnsi="Times New Roman"/>
                <w:sz w:val="24"/>
                <w:vertAlign w:val="superscript"/>
              </w:rPr>
              <w:footnoteReference w:id="1"/>
            </w:r>
            <w:r>
              <w:rPr>
                <w:rStyle w:val="Normal"/>
                <w:rFonts w:ascii="Times New Roman" w:hAnsi="Times New Roman"/>
                <w:sz w:val="24"/>
              </w:rPr>
              <w:t xml:space="preserve"> sont stockés sur des sites de collecte et de stockage de pneus, dans des garages où les pneus sont montés et équilibrés, des casses, des garages spécialisés dans le montage de pneus, des ateliers de réparation d’équipements agricoles et des sites de tri des déchets exploités par des entreprises de gestion des déchets qui possèdent une autorisation pour la gestion des déchets ou une autorisation pour des activités polluantes de catégorie B (installations de gestion des déchets). Selon le Service national de l’environnement, en 2016, la Lettonie comptait 159 sites de collecte de pneus hors d’usage, dont 36 étaient destinés aux déchets dangereux pour l’environnement.</w:t>
            </w:r>
          </w:p>
          <w:p w:rsidR="00484BA8" w:rsidRPr="00273236" w:rsidRDefault="00484BA8" w:rsidP="00484BA8">
            <w:pPr>
              <w:jc w:val="center"/>
              <w:rPr>
                <w:rFonts w:ascii="Times New Roman" w:eastAsia="Times New Roman" w:hAnsi="Times New Roman"/>
                <w:szCs w:val="21"/>
              </w:rPr>
            </w:pPr>
            <w:r>
              <w:rPr>
                <w:rStyle w:val="Normal"/>
                <w:rFonts w:ascii="Times New Roman" w:hAnsi="Times New Roman"/>
              </w:rPr>
              <w:t>Quantité de pneus gérés en Lettonie</w:t>
            </w:r>
            <w:r>
              <w:rPr>
                <w:rFonts w:ascii="Times New Roman" w:hAnsi="Times New Roman"/>
                <w:vertAlign w:val="superscript"/>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029"/>
              <w:gridCol w:w="766"/>
              <w:gridCol w:w="766"/>
              <w:gridCol w:w="766"/>
              <w:gridCol w:w="766"/>
            </w:tblGrid>
            <w:tr w:rsidR="00484BA8" w:rsidRPr="00D0324A" w:rsidTr="00484BA8">
              <w:trPr>
                <w:cantSplit/>
              </w:trPr>
              <w:tc>
                <w:tcPr>
                  <w:tcW w:w="0" w:type="auto"/>
                  <w:hideMark/>
                </w:tcPr>
                <w:p w:rsidR="00484BA8" w:rsidRPr="00D0324A" w:rsidRDefault="00484BA8" w:rsidP="00484BA8">
                  <w:pPr>
                    <w:spacing w:after="0" w:line="240" w:lineRule="auto"/>
                    <w:jc w:val="center"/>
                    <w:rPr>
                      <w:rFonts w:ascii="Times New Roman" w:eastAsia="Times New Roman" w:hAnsi="Times New Roman"/>
                      <w:sz w:val="20"/>
                      <w:szCs w:val="20"/>
                    </w:rPr>
                  </w:pPr>
                </w:p>
              </w:tc>
              <w:tc>
                <w:tcPr>
                  <w:tcW w:w="0" w:type="auto"/>
                  <w:hideMark/>
                </w:tcPr>
                <w:p w:rsidR="00484BA8" w:rsidRPr="00D0324A" w:rsidRDefault="00484BA8" w:rsidP="00484BA8">
                  <w:pPr>
                    <w:spacing w:after="0" w:line="240" w:lineRule="auto"/>
                    <w:jc w:val="center"/>
                    <w:rPr>
                      <w:rFonts w:ascii="Times New Roman" w:eastAsia="Times New Roman" w:hAnsi="Times New Roman"/>
                      <w:sz w:val="20"/>
                      <w:szCs w:val="20"/>
                    </w:rPr>
                  </w:pPr>
                  <w:r>
                    <w:rPr>
                      <w:rStyle w:val="Normal"/>
                      <w:rFonts w:ascii="Times New Roman" w:hAnsi="Times New Roman"/>
                      <w:kern w:val="24"/>
                      <w:sz w:val="20"/>
                    </w:rPr>
                    <w:t>2013</w:t>
                  </w:r>
                </w:p>
              </w:tc>
              <w:tc>
                <w:tcPr>
                  <w:tcW w:w="0" w:type="auto"/>
                  <w:hideMark/>
                </w:tcPr>
                <w:p w:rsidR="00484BA8" w:rsidRPr="00D0324A" w:rsidRDefault="00484BA8" w:rsidP="00484BA8">
                  <w:pPr>
                    <w:spacing w:after="0" w:line="240" w:lineRule="auto"/>
                    <w:jc w:val="center"/>
                    <w:rPr>
                      <w:rFonts w:ascii="Times New Roman" w:eastAsia="Times New Roman" w:hAnsi="Times New Roman"/>
                      <w:sz w:val="20"/>
                      <w:szCs w:val="20"/>
                    </w:rPr>
                  </w:pPr>
                  <w:r>
                    <w:rPr>
                      <w:rStyle w:val="Normal"/>
                      <w:rFonts w:ascii="Times New Roman" w:hAnsi="Times New Roman"/>
                      <w:kern w:val="24"/>
                      <w:sz w:val="20"/>
                    </w:rPr>
                    <w:t>2014</w:t>
                  </w:r>
                </w:p>
              </w:tc>
              <w:tc>
                <w:tcPr>
                  <w:tcW w:w="0" w:type="auto"/>
                  <w:hideMark/>
                </w:tcPr>
                <w:p w:rsidR="00484BA8" w:rsidRPr="00D0324A" w:rsidRDefault="00484BA8" w:rsidP="00484BA8">
                  <w:pPr>
                    <w:spacing w:after="0" w:line="240" w:lineRule="auto"/>
                    <w:jc w:val="center"/>
                    <w:rPr>
                      <w:rFonts w:ascii="Times New Roman" w:eastAsia="Times New Roman" w:hAnsi="Times New Roman"/>
                      <w:sz w:val="20"/>
                      <w:szCs w:val="20"/>
                    </w:rPr>
                  </w:pPr>
                  <w:r>
                    <w:rPr>
                      <w:rStyle w:val="Normal"/>
                      <w:rFonts w:ascii="Times New Roman" w:hAnsi="Times New Roman"/>
                      <w:kern w:val="24"/>
                      <w:sz w:val="20"/>
                    </w:rPr>
                    <w:t>2015</w:t>
                  </w:r>
                </w:p>
              </w:tc>
              <w:tc>
                <w:tcPr>
                  <w:tcW w:w="0" w:type="auto"/>
                  <w:hideMark/>
                </w:tcPr>
                <w:p w:rsidR="00484BA8" w:rsidRPr="00D0324A" w:rsidRDefault="00484BA8" w:rsidP="00484BA8">
                  <w:pPr>
                    <w:spacing w:after="0" w:line="240" w:lineRule="auto"/>
                    <w:jc w:val="center"/>
                    <w:rPr>
                      <w:rFonts w:ascii="Times New Roman" w:eastAsia="Times New Roman" w:hAnsi="Times New Roman"/>
                      <w:bCs/>
                      <w:kern w:val="24"/>
                      <w:sz w:val="20"/>
                      <w:szCs w:val="20"/>
                    </w:rPr>
                  </w:pPr>
                  <w:r>
                    <w:rPr>
                      <w:rStyle w:val="Normal"/>
                      <w:rFonts w:ascii="Times New Roman" w:hAnsi="Times New Roman"/>
                      <w:kern w:val="24"/>
                      <w:sz w:val="20"/>
                    </w:rPr>
                    <w:t>2016</w:t>
                  </w:r>
                </w:p>
              </w:tc>
            </w:tr>
            <w:tr w:rsidR="00484BA8" w:rsidRPr="00D0324A" w:rsidTr="00484BA8">
              <w:trPr>
                <w:cantSplit/>
              </w:trPr>
              <w:tc>
                <w:tcPr>
                  <w:tcW w:w="0" w:type="auto"/>
                  <w:hideMark/>
                </w:tcPr>
                <w:p w:rsidR="00484BA8" w:rsidRPr="00D0324A" w:rsidRDefault="00484BA8" w:rsidP="00484BA8">
                  <w:pPr>
                    <w:spacing w:after="0" w:line="240" w:lineRule="auto"/>
                    <w:rPr>
                      <w:rFonts w:ascii="Times New Roman" w:eastAsia="Times New Roman" w:hAnsi="Times New Roman"/>
                      <w:sz w:val="20"/>
                      <w:szCs w:val="20"/>
                    </w:rPr>
                  </w:pPr>
                  <w:r>
                    <w:rPr>
                      <w:rStyle w:val="Normal"/>
                      <w:rFonts w:ascii="Times New Roman" w:hAnsi="Times New Roman"/>
                      <w:kern w:val="24"/>
                      <w:sz w:val="20"/>
                    </w:rPr>
                    <w:t>Quantité de pneus importés et mis sur le marché en Lettonie (tonnes)</w:t>
                  </w:r>
                </w:p>
              </w:tc>
              <w:tc>
                <w:tcPr>
                  <w:tcW w:w="0" w:type="auto"/>
                  <w:hideMark/>
                </w:tcPr>
                <w:p w:rsidR="00484BA8" w:rsidRPr="00D0324A" w:rsidRDefault="00484BA8" w:rsidP="00484BA8">
                  <w:pPr>
                    <w:spacing w:after="0" w:line="240" w:lineRule="auto"/>
                    <w:jc w:val="center"/>
                    <w:rPr>
                      <w:rFonts w:ascii="Times New Roman" w:eastAsia="Times New Roman" w:hAnsi="Times New Roman"/>
                      <w:sz w:val="20"/>
                      <w:szCs w:val="20"/>
                    </w:rPr>
                  </w:pPr>
                  <w:r>
                    <w:rPr>
                      <w:rStyle w:val="Normal"/>
                      <w:rFonts w:ascii="Times New Roman" w:hAnsi="Times New Roman"/>
                      <w:kern w:val="24"/>
                      <w:sz w:val="20"/>
                    </w:rPr>
                    <w:t>12 762</w:t>
                  </w:r>
                </w:p>
              </w:tc>
              <w:tc>
                <w:tcPr>
                  <w:tcW w:w="0" w:type="auto"/>
                  <w:hideMark/>
                </w:tcPr>
                <w:p w:rsidR="00484BA8" w:rsidRPr="00D0324A" w:rsidRDefault="00484BA8" w:rsidP="00484BA8">
                  <w:pPr>
                    <w:spacing w:after="0" w:line="240" w:lineRule="auto"/>
                    <w:jc w:val="center"/>
                    <w:rPr>
                      <w:rFonts w:ascii="Times New Roman" w:eastAsia="Times New Roman" w:hAnsi="Times New Roman"/>
                      <w:sz w:val="20"/>
                      <w:szCs w:val="20"/>
                    </w:rPr>
                  </w:pPr>
                  <w:r>
                    <w:rPr>
                      <w:rStyle w:val="Normal"/>
                      <w:rFonts w:ascii="Times New Roman" w:hAnsi="Times New Roman"/>
                      <w:kern w:val="24"/>
                      <w:sz w:val="20"/>
                    </w:rPr>
                    <w:t>15 115</w:t>
                  </w:r>
                </w:p>
              </w:tc>
              <w:tc>
                <w:tcPr>
                  <w:tcW w:w="0" w:type="auto"/>
                  <w:hideMark/>
                </w:tcPr>
                <w:p w:rsidR="00484BA8" w:rsidRPr="00D0324A" w:rsidRDefault="00484BA8" w:rsidP="00484BA8">
                  <w:pPr>
                    <w:spacing w:after="0" w:line="240" w:lineRule="auto"/>
                    <w:jc w:val="center"/>
                    <w:rPr>
                      <w:rFonts w:ascii="Times New Roman" w:eastAsia="Times New Roman" w:hAnsi="Times New Roman"/>
                      <w:sz w:val="20"/>
                      <w:szCs w:val="20"/>
                    </w:rPr>
                  </w:pPr>
                  <w:r>
                    <w:rPr>
                      <w:rStyle w:val="Normal"/>
                      <w:rFonts w:ascii="Times New Roman" w:hAnsi="Times New Roman"/>
                      <w:kern w:val="24"/>
                      <w:sz w:val="20"/>
                    </w:rPr>
                    <w:t>15 918</w:t>
                  </w:r>
                </w:p>
              </w:tc>
              <w:tc>
                <w:tcPr>
                  <w:tcW w:w="0" w:type="auto"/>
                  <w:hideMark/>
                </w:tcPr>
                <w:p w:rsidR="00484BA8" w:rsidRPr="00D0324A" w:rsidRDefault="00484BA8" w:rsidP="00484BA8">
                  <w:pPr>
                    <w:spacing w:after="0" w:line="240" w:lineRule="auto"/>
                    <w:jc w:val="center"/>
                    <w:rPr>
                      <w:rFonts w:ascii="Times New Roman" w:eastAsia="Times New Roman" w:hAnsi="Times New Roman"/>
                      <w:kern w:val="24"/>
                      <w:sz w:val="20"/>
                      <w:szCs w:val="20"/>
                    </w:rPr>
                  </w:pPr>
                  <w:r>
                    <w:rPr>
                      <w:rStyle w:val="Normal"/>
                      <w:rFonts w:ascii="Times New Roman" w:hAnsi="Times New Roman"/>
                      <w:kern w:val="24"/>
                      <w:sz w:val="20"/>
                    </w:rPr>
                    <w:t>15 003</w:t>
                  </w:r>
                </w:p>
              </w:tc>
            </w:tr>
            <w:tr w:rsidR="00484BA8" w:rsidRPr="00D0324A" w:rsidTr="00484BA8">
              <w:trPr>
                <w:cantSplit/>
              </w:trPr>
              <w:tc>
                <w:tcPr>
                  <w:tcW w:w="0" w:type="auto"/>
                  <w:hideMark/>
                </w:tcPr>
                <w:p w:rsidR="00484BA8" w:rsidRPr="00D0324A" w:rsidRDefault="00484BA8" w:rsidP="00484BA8">
                  <w:pPr>
                    <w:spacing w:after="0" w:line="240" w:lineRule="auto"/>
                    <w:rPr>
                      <w:rFonts w:ascii="Times New Roman" w:eastAsia="Times New Roman" w:hAnsi="Times New Roman"/>
                      <w:kern w:val="24"/>
                      <w:sz w:val="20"/>
                      <w:szCs w:val="20"/>
                    </w:rPr>
                  </w:pPr>
                  <w:r>
                    <w:rPr>
                      <w:rStyle w:val="Normal"/>
                      <w:rFonts w:ascii="Times New Roman" w:hAnsi="Times New Roman"/>
                      <w:kern w:val="24"/>
                      <w:sz w:val="20"/>
                    </w:rPr>
                    <w:t>Collectés</w:t>
                  </w:r>
                </w:p>
              </w:tc>
              <w:tc>
                <w:tcPr>
                  <w:tcW w:w="0" w:type="auto"/>
                </w:tcPr>
                <w:p w:rsidR="00484BA8" w:rsidRPr="00D0324A" w:rsidRDefault="00484BA8" w:rsidP="00484BA8">
                  <w:pPr>
                    <w:spacing w:after="0" w:line="240" w:lineRule="auto"/>
                    <w:jc w:val="center"/>
                    <w:rPr>
                      <w:rFonts w:ascii="Times New Roman" w:eastAsia="Times New Roman" w:hAnsi="Times New Roman"/>
                      <w:kern w:val="24"/>
                      <w:sz w:val="20"/>
                      <w:szCs w:val="20"/>
                    </w:rPr>
                  </w:pPr>
                  <w:r>
                    <w:rPr>
                      <w:rStyle w:val="Normal"/>
                      <w:rFonts w:ascii="Times New Roman" w:hAnsi="Times New Roman"/>
                      <w:kern w:val="24"/>
                      <w:sz w:val="20"/>
                    </w:rPr>
                    <w:t>8 657</w:t>
                  </w:r>
                </w:p>
              </w:tc>
              <w:tc>
                <w:tcPr>
                  <w:tcW w:w="0" w:type="auto"/>
                </w:tcPr>
                <w:p w:rsidR="00484BA8" w:rsidRPr="00D0324A" w:rsidRDefault="00484BA8" w:rsidP="00484BA8">
                  <w:pPr>
                    <w:spacing w:after="0" w:line="240" w:lineRule="auto"/>
                    <w:jc w:val="center"/>
                    <w:rPr>
                      <w:rFonts w:ascii="Times New Roman" w:eastAsia="Times New Roman" w:hAnsi="Times New Roman"/>
                      <w:kern w:val="24"/>
                      <w:sz w:val="20"/>
                      <w:szCs w:val="20"/>
                    </w:rPr>
                  </w:pPr>
                  <w:r>
                    <w:rPr>
                      <w:rStyle w:val="Normal"/>
                      <w:rFonts w:ascii="Times New Roman" w:hAnsi="Times New Roman"/>
                      <w:kern w:val="24"/>
                      <w:sz w:val="20"/>
                    </w:rPr>
                    <w:t>9 599</w:t>
                  </w:r>
                </w:p>
              </w:tc>
              <w:tc>
                <w:tcPr>
                  <w:tcW w:w="0" w:type="auto"/>
                </w:tcPr>
                <w:p w:rsidR="00484BA8" w:rsidRPr="00D0324A" w:rsidRDefault="00484BA8" w:rsidP="00484BA8">
                  <w:pPr>
                    <w:spacing w:after="0" w:line="240" w:lineRule="auto"/>
                    <w:jc w:val="center"/>
                    <w:rPr>
                      <w:rFonts w:ascii="Times New Roman" w:eastAsia="Times New Roman" w:hAnsi="Times New Roman"/>
                      <w:kern w:val="24"/>
                      <w:sz w:val="20"/>
                      <w:szCs w:val="20"/>
                    </w:rPr>
                  </w:pPr>
                  <w:r>
                    <w:rPr>
                      <w:rStyle w:val="Normal"/>
                      <w:rFonts w:ascii="Times New Roman" w:hAnsi="Times New Roman"/>
                      <w:sz w:val="20"/>
                    </w:rPr>
                    <w:t>11 071</w:t>
                  </w:r>
                </w:p>
              </w:tc>
              <w:tc>
                <w:tcPr>
                  <w:tcW w:w="0" w:type="auto"/>
                  <w:hideMark/>
                </w:tcPr>
                <w:p w:rsidR="00484BA8" w:rsidRPr="00D0324A" w:rsidRDefault="00484BA8" w:rsidP="00484BA8">
                  <w:pPr>
                    <w:spacing w:after="0" w:line="240" w:lineRule="auto"/>
                    <w:jc w:val="center"/>
                    <w:rPr>
                      <w:rFonts w:ascii="Times New Roman" w:eastAsia="Times New Roman" w:hAnsi="Times New Roman"/>
                      <w:kern w:val="24"/>
                      <w:sz w:val="20"/>
                      <w:szCs w:val="20"/>
                    </w:rPr>
                  </w:pPr>
                  <w:r>
                    <w:rPr>
                      <w:rStyle w:val="Normal"/>
                      <w:rFonts w:ascii="Times New Roman" w:hAnsi="Times New Roman"/>
                      <w:kern w:val="24"/>
                      <w:sz w:val="20"/>
                    </w:rPr>
                    <w:t>9 492</w:t>
                  </w:r>
                </w:p>
              </w:tc>
            </w:tr>
            <w:tr w:rsidR="00484BA8" w:rsidRPr="00D0324A" w:rsidTr="00484BA8">
              <w:trPr>
                <w:cantSplit/>
              </w:trPr>
              <w:tc>
                <w:tcPr>
                  <w:tcW w:w="0" w:type="auto"/>
                  <w:hideMark/>
                </w:tcPr>
                <w:p w:rsidR="00484BA8" w:rsidRPr="00D0324A" w:rsidRDefault="00484BA8" w:rsidP="00484BA8">
                  <w:pPr>
                    <w:spacing w:after="0" w:line="240" w:lineRule="auto"/>
                    <w:rPr>
                      <w:rFonts w:ascii="Times New Roman" w:eastAsia="Times New Roman" w:hAnsi="Times New Roman"/>
                      <w:sz w:val="20"/>
                      <w:szCs w:val="20"/>
                    </w:rPr>
                  </w:pPr>
                  <w:r>
                    <w:rPr>
                      <w:rStyle w:val="Normal"/>
                      <w:rFonts w:ascii="Times New Roman" w:hAnsi="Times New Roman"/>
                      <w:kern w:val="24"/>
                      <w:sz w:val="20"/>
                    </w:rPr>
                    <w:t>Recyclés, revalorisés (tonnes)</w:t>
                  </w:r>
                </w:p>
              </w:tc>
              <w:tc>
                <w:tcPr>
                  <w:tcW w:w="0" w:type="auto"/>
                  <w:hideMark/>
                </w:tcPr>
                <w:p w:rsidR="00484BA8" w:rsidRPr="00D0324A" w:rsidRDefault="00484BA8" w:rsidP="00484BA8">
                  <w:pPr>
                    <w:spacing w:after="0" w:line="240" w:lineRule="auto"/>
                    <w:jc w:val="center"/>
                    <w:rPr>
                      <w:rFonts w:ascii="Times New Roman" w:eastAsia="Times New Roman" w:hAnsi="Times New Roman"/>
                      <w:sz w:val="20"/>
                      <w:szCs w:val="20"/>
                    </w:rPr>
                  </w:pPr>
                  <w:r>
                    <w:rPr>
                      <w:rStyle w:val="Normal"/>
                      <w:rFonts w:ascii="Times New Roman" w:hAnsi="Times New Roman"/>
                      <w:kern w:val="24"/>
                      <w:sz w:val="20"/>
                    </w:rPr>
                    <w:t>7 452</w:t>
                  </w:r>
                </w:p>
              </w:tc>
              <w:tc>
                <w:tcPr>
                  <w:tcW w:w="0" w:type="auto"/>
                  <w:hideMark/>
                </w:tcPr>
                <w:p w:rsidR="00484BA8" w:rsidRPr="00D0324A" w:rsidRDefault="00484BA8" w:rsidP="00484BA8">
                  <w:pPr>
                    <w:spacing w:after="0" w:line="240" w:lineRule="auto"/>
                    <w:jc w:val="center"/>
                    <w:rPr>
                      <w:rFonts w:ascii="Times New Roman" w:eastAsia="Times New Roman" w:hAnsi="Times New Roman"/>
                      <w:sz w:val="20"/>
                      <w:szCs w:val="20"/>
                    </w:rPr>
                  </w:pPr>
                  <w:r>
                    <w:rPr>
                      <w:rStyle w:val="Normal"/>
                      <w:rFonts w:ascii="Times New Roman" w:hAnsi="Times New Roman"/>
                      <w:kern w:val="24"/>
                      <w:sz w:val="20"/>
                    </w:rPr>
                    <w:t>8 187</w:t>
                  </w:r>
                </w:p>
              </w:tc>
              <w:tc>
                <w:tcPr>
                  <w:tcW w:w="0" w:type="auto"/>
                  <w:hideMark/>
                </w:tcPr>
                <w:p w:rsidR="00484BA8" w:rsidRPr="00D0324A" w:rsidRDefault="00484BA8" w:rsidP="00484BA8">
                  <w:pPr>
                    <w:spacing w:after="0" w:line="240" w:lineRule="auto"/>
                    <w:jc w:val="center"/>
                    <w:rPr>
                      <w:rFonts w:ascii="Times New Roman" w:eastAsia="Times New Roman" w:hAnsi="Times New Roman"/>
                      <w:sz w:val="20"/>
                      <w:szCs w:val="20"/>
                    </w:rPr>
                  </w:pPr>
                  <w:r>
                    <w:rPr>
                      <w:rStyle w:val="Normal"/>
                      <w:rFonts w:ascii="Times New Roman" w:hAnsi="Times New Roman"/>
                      <w:kern w:val="24"/>
                      <w:sz w:val="20"/>
                    </w:rPr>
                    <w:t>9 243</w:t>
                  </w:r>
                </w:p>
              </w:tc>
              <w:tc>
                <w:tcPr>
                  <w:tcW w:w="0" w:type="auto"/>
                  <w:hideMark/>
                </w:tcPr>
                <w:p w:rsidR="00484BA8" w:rsidRPr="00D0324A" w:rsidRDefault="00484BA8" w:rsidP="00484BA8">
                  <w:pPr>
                    <w:spacing w:after="0" w:line="240" w:lineRule="auto"/>
                    <w:jc w:val="center"/>
                    <w:rPr>
                      <w:rFonts w:ascii="Times New Roman" w:eastAsia="Times New Roman" w:hAnsi="Times New Roman"/>
                      <w:kern w:val="24"/>
                      <w:sz w:val="20"/>
                      <w:szCs w:val="20"/>
                    </w:rPr>
                  </w:pPr>
                  <w:r>
                    <w:rPr>
                      <w:rStyle w:val="Normal"/>
                      <w:rFonts w:ascii="Times New Roman" w:hAnsi="Times New Roman"/>
                      <w:kern w:val="24"/>
                      <w:sz w:val="20"/>
                    </w:rPr>
                    <w:t>9 260</w:t>
                  </w:r>
                </w:p>
              </w:tc>
            </w:tr>
            <w:tr w:rsidR="00484BA8" w:rsidRPr="00D0324A" w:rsidTr="00484BA8">
              <w:trPr>
                <w:cantSplit/>
              </w:trPr>
              <w:tc>
                <w:tcPr>
                  <w:tcW w:w="0" w:type="auto"/>
                  <w:hideMark/>
                </w:tcPr>
                <w:p w:rsidR="00484BA8" w:rsidRPr="00D0324A" w:rsidRDefault="00484BA8" w:rsidP="00484BA8">
                  <w:pPr>
                    <w:spacing w:after="0" w:line="240" w:lineRule="auto"/>
                    <w:rPr>
                      <w:rFonts w:ascii="Times New Roman" w:eastAsia="Times New Roman" w:hAnsi="Times New Roman"/>
                      <w:kern w:val="24"/>
                      <w:sz w:val="20"/>
                      <w:szCs w:val="20"/>
                    </w:rPr>
                  </w:pPr>
                  <w:r>
                    <w:rPr>
                      <w:rStyle w:val="Normal"/>
                      <w:rFonts w:ascii="Times New Roman" w:hAnsi="Times New Roman"/>
                      <w:kern w:val="24"/>
                      <w:sz w:val="20"/>
                    </w:rPr>
                    <w:t>Pourcentage recyclé de la quantité importée et mise sur le marché en Lettonie</w:t>
                  </w:r>
                </w:p>
              </w:tc>
              <w:tc>
                <w:tcPr>
                  <w:tcW w:w="0" w:type="auto"/>
                  <w:hideMark/>
                </w:tcPr>
                <w:p w:rsidR="00484BA8" w:rsidRPr="00D0324A" w:rsidRDefault="00484BA8" w:rsidP="00484BA8">
                  <w:pPr>
                    <w:spacing w:after="0" w:line="240" w:lineRule="auto"/>
                    <w:jc w:val="center"/>
                    <w:rPr>
                      <w:rFonts w:ascii="Times New Roman" w:eastAsia="Times New Roman" w:hAnsi="Times New Roman"/>
                      <w:kern w:val="24"/>
                      <w:sz w:val="20"/>
                      <w:szCs w:val="20"/>
                    </w:rPr>
                  </w:pPr>
                  <w:r>
                    <w:rPr>
                      <w:rStyle w:val="Normal"/>
                      <w:rFonts w:ascii="Times New Roman" w:hAnsi="Times New Roman"/>
                      <w:kern w:val="24"/>
                      <w:sz w:val="20"/>
                    </w:rPr>
                    <w:t>58</w:t>
                  </w:r>
                </w:p>
              </w:tc>
              <w:tc>
                <w:tcPr>
                  <w:tcW w:w="0" w:type="auto"/>
                  <w:hideMark/>
                </w:tcPr>
                <w:p w:rsidR="00484BA8" w:rsidRPr="00D0324A" w:rsidRDefault="00484BA8" w:rsidP="00484BA8">
                  <w:pPr>
                    <w:spacing w:after="0" w:line="240" w:lineRule="auto"/>
                    <w:jc w:val="center"/>
                    <w:rPr>
                      <w:rFonts w:ascii="Times New Roman" w:eastAsia="Times New Roman" w:hAnsi="Times New Roman"/>
                      <w:kern w:val="24"/>
                      <w:sz w:val="20"/>
                      <w:szCs w:val="20"/>
                    </w:rPr>
                  </w:pPr>
                  <w:r>
                    <w:rPr>
                      <w:rStyle w:val="Normal"/>
                      <w:rFonts w:ascii="Times New Roman" w:hAnsi="Times New Roman"/>
                      <w:kern w:val="24"/>
                      <w:sz w:val="20"/>
                    </w:rPr>
                    <w:t>54</w:t>
                  </w:r>
                </w:p>
              </w:tc>
              <w:tc>
                <w:tcPr>
                  <w:tcW w:w="0" w:type="auto"/>
                  <w:hideMark/>
                </w:tcPr>
                <w:p w:rsidR="00484BA8" w:rsidRPr="00D0324A" w:rsidRDefault="00484BA8" w:rsidP="00484BA8">
                  <w:pPr>
                    <w:spacing w:after="0" w:line="240" w:lineRule="auto"/>
                    <w:jc w:val="center"/>
                    <w:rPr>
                      <w:rFonts w:ascii="Times New Roman" w:eastAsia="Times New Roman" w:hAnsi="Times New Roman"/>
                      <w:kern w:val="24"/>
                      <w:sz w:val="20"/>
                      <w:szCs w:val="20"/>
                    </w:rPr>
                  </w:pPr>
                  <w:r>
                    <w:rPr>
                      <w:rStyle w:val="Normal"/>
                      <w:rFonts w:ascii="Times New Roman" w:hAnsi="Times New Roman"/>
                      <w:kern w:val="24"/>
                      <w:sz w:val="20"/>
                    </w:rPr>
                    <w:t>58</w:t>
                  </w:r>
                </w:p>
              </w:tc>
              <w:tc>
                <w:tcPr>
                  <w:tcW w:w="0" w:type="auto"/>
                  <w:hideMark/>
                </w:tcPr>
                <w:p w:rsidR="00484BA8" w:rsidRPr="00D0324A" w:rsidRDefault="00484BA8" w:rsidP="00484BA8">
                  <w:pPr>
                    <w:spacing w:after="0" w:line="240" w:lineRule="auto"/>
                    <w:jc w:val="center"/>
                    <w:rPr>
                      <w:rFonts w:ascii="Times New Roman" w:eastAsia="Times New Roman" w:hAnsi="Times New Roman"/>
                      <w:kern w:val="24"/>
                      <w:sz w:val="20"/>
                      <w:szCs w:val="20"/>
                    </w:rPr>
                  </w:pPr>
                  <w:r>
                    <w:rPr>
                      <w:rStyle w:val="Normal"/>
                      <w:rFonts w:ascii="Times New Roman" w:hAnsi="Times New Roman"/>
                      <w:kern w:val="24"/>
                      <w:sz w:val="20"/>
                    </w:rPr>
                    <w:t>61</w:t>
                  </w:r>
                </w:p>
              </w:tc>
            </w:tr>
          </w:tbl>
          <w:p w:rsidR="00484BA8" w:rsidRPr="00D0324A" w:rsidRDefault="00484BA8" w:rsidP="00484BA8">
            <w:pPr>
              <w:pStyle w:val="ListParagraph"/>
              <w:autoSpaceDE w:val="0"/>
              <w:autoSpaceDN w:val="0"/>
              <w:adjustRightInd w:val="0"/>
              <w:spacing w:after="0" w:line="240" w:lineRule="auto"/>
              <w:ind w:left="0"/>
              <w:jc w:val="both"/>
            </w:pPr>
          </w:p>
          <w:p w:rsidR="00484BA8" w:rsidRPr="00D0324A" w:rsidRDefault="00484BA8" w:rsidP="00484BA8">
            <w:pPr>
              <w:pStyle w:val="ListParagraph"/>
              <w:autoSpaceDE w:val="0"/>
              <w:autoSpaceDN w:val="0"/>
              <w:adjustRightInd w:val="0"/>
              <w:spacing w:after="0" w:line="240" w:lineRule="auto"/>
              <w:ind w:left="0"/>
              <w:jc w:val="both"/>
              <w:rPr>
                <w:rFonts w:ascii="Times New Roman" w:hAnsi="Times New Roman"/>
                <w:sz w:val="24"/>
                <w:szCs w:val="24"/>
              </w:rPr>
            </w:pPr>
            <w:r>
              <w:rPr>
                <w:rStyle w:val="ListParagraph"/>
                <w:rFonts w:ascii="Times New Roman" w:hAnsi="Times New Roman"/>
                <w:sz w:val="24"/>
              </w:rPr>
              <w:t xml:space="preserve">Les principales entreprises de recyclage de pneus sont les suivantes: VVV RECYCLING, SIA; E Daugava, SIA; Cemex, SIA, et AK LRPMK, SIA. </w:t>
            </w:r>
          </w:p>
          <w:p w:rsidR="00484BA8" w:rsidRPr="00D0324A" w:rsidRDefault="00484BA8" w:rsidP="00484BA8">
            <w:pPr>
              <w:pStyle w:val="ListParagraph"/>
              <w:autoSpaceDE w:val="0"/>
              <w:autoSpaceDN w:val="0"/>
              <w:adjustRightInd w:val="0"/>
              <w:spacing w:after="0" w:line="240" w:lineRule="auto"/>
              <w:ind w:left="0"/>
              <w:jc w:val="both"/>
            </w:pPr>
            <w:r>
              <w:rPr>
                <w:rStyle w:val="ListParagraph"/>
                <w:rFonts w:ascii="Times New Roman" w:hAnsi="Times New Roman"/>
                <w:sz w:val="24"/>
              </w:rPr>
              <w:t>Le projet de règlement s’applique aux matériaux de caoutchouc obtenus à partir de pneus hors d’usage à la suite de leur traitement. Ledit projet indique que le fabricant de matériaux de caoutchouc, c’est-à-dire les matières premières secondaires, doit introduire un système de gestion de la qualité pour la production de matériaux de caoutchouc à partir de pneus hors d’usage, et que les personnes qui importent ces matériaux d’autres pays doivent s’assurer que les matériaux sont produits en conformité avec les exigences de qualité. Le projet de règlement indique également que chaque lot de déchets (un transfert) doit être accompagné d’une copie de la déclaration du transformateur démontrant que les matériaux obtenus à partir de pneus hors d’usage répondent aux exigences dudit règlement.</w:t>
            </w:r>
          </w:p>
          <w:p w:rsidR="00484BA8" w:rsidRPr="00D0324A" w:rsidRDefault="00484BA8" w:rsidP="00484BA8">
            <w:pPr>
              <w:pStyle w:val="ListParagraph"/>
              <w:autoSpaceDE w:val="0"/>
              <w:autoSpaceDN w:val="0"/>
              <w:adjustRightInd w:val="0"/>
              <w:spacing w:after="0" w:line="240" w:lineRule="auto"/>
              <w:ind w:left="0"/>
              <w:jc w:val="both"/>
            </w:pPr>
          </w:p>
          <w:p w:rsidR="00484BA8" w:rsidRPr="00D0324A" w:rsidRDefault="00484BA8" w:rsidP="00484BA8">
            <w:pPr>
              <w:pStyle w:val="ListParagraph"/>
              <w:autoSpaceDE w:val="0"/>
              <w:autoSpaceDN w:val="0"/>
              <w:adjustRightInd w:val="0"/>
              <w:spacing w:after="0" w:line="240" w:lineRule="auto"/>
              <w:ind w:left="0"/>
              <w:jc w:val="both"/>
            </w:pPr>
            <w:r>
              <w:rPr>
                <w:rStyle w:val="ListParagraph"/>
                <w:rFonts w:ascii="Times New Roman" w:hAnsi="Times New Roman"/>
                <w:sz w:val="24"/>
              </w:rPr>
              <w:t xml:space="preserve">Le projet de règlement ne s’applique pas aux matériaux de caoutchouc obtenus à partir de pneus hors d’usage utilisés pour l’incinération avec ou sans récupération d’énergie, pour la pyrolyse, la plasmolyse, la gazéification et les processus technologiques similaires impliquant la </w:t>
            </w:r>
            <w:r>
              <w:rPr>
                <w:rStyle w:val="ListParagraph"/>
                <w:rFonts w:ascii="Times New Roman" w:hAnsi="Times New Roman"/>
                <w:sz w:val="24"/>
              </w:rPr>
              <w:lastRenderedPageBreak/>
              <w:t>modification des propriétés physiques ou chimiques des matériaux de caoutchouc. Le projet de règlement s’applique uniquement aux matériaux de caoutchouc obtenus à partir de pneus hors d’usage à la suite de leur recyclage.</w:t>
            </w:r>
          </w:p>
        </w:tc>
      </w:tr>
      <w:tr w:rsidR="00484BA8" w:rsidRPr="00D0324A" w:rsidTr="00484BA8">
        <w:tc>
          <w:tcPr>
            <w:tcW w:w="138"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before="100" w:beforeAutospacing="1" w:after="100" w:afterAutospacing="1" w:line="293" w:lineRule="atLeast"/>
              <w:jc w:val="center"/>
              <w:rPr>
                <w:rFonts w:ascii="Times New Roman" w:eastAsia="Times New Roman" w:hAnsi="Times New Roman"/>
                <w:sz w:val="24"/>
                <w:szCs w:val="24"/>
              </w:rPr>
            </w:pPr>
            <w:r>
              <w:rPr>
                <w:rStyle w:val="Normal"/>
                <w:rFonts w:ascii="Times New Roman" w:hAnsi="Times New Roman"/>
                <w:sz w:val="24"/>
              </w:rPr>
              <w:lastRenderedPageBreak/>
              <w:t>3.</w:t>
            </w:r>
          </w:p>
        </w:tc>
        <w:tc>
          <w:tcPr>
            <w:tcW w:w="767"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Organismes ayant participé à la rédaction</w:t>
            </w:r>
          </w:p>
        </w:tc>
        <w:tc>
          <w:tcPr>
            <w:tcW w:w="4095"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jc w:val="both"/>
              <w:rPr>
                <w:rFonts w:ascii="Times New Roman" w:eastAsia="Times New Roman" w:hAnsi="Times New Roman"/>
                <w:sz w:val="24"/>
                <w:szCs w:val="24"/>
              </w:rPr>
            </w:pPr>
            <w:r>
              <w:rPr>
                <w:rStyle w:val="Normal"/>
                <w:rFonts w:ascii="Times New Roman" w:hAnsi="Times New Roman"/>
                <w:sz w:val="24"/>
              </w:rPr>
              <w:t>Ministère de la protection de l'environnement et du développement régional, Service national de l’environnement.</w:t>
            </w:r>
          </w:p>
        </w:tc>
      </w:tr>
      <w:tr w:rsidR="00484BA8" w:rsidRPr="00D0324A" w:rsidTr="00484BA8">
        <w:tc>
          <w:tcPr>
            <w:tcW w:w="138"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before="100" w:beforeAutospacing="1" w:after="100" w:afterAutospacing="1" w:line="293" w:lineRule="atLeast"/>
              <w:jc w:val="center"/>
              <w:rPr>
                <w:rFonts w:ascii="Times New Roman" w:eastAsia="Times New Roman" w:hAnsi="Times New Roman"/>
                <w:sz w:val="24"/>
                <w:szCs w:val="24"/>
              </w:rPr>
            </w:pPr>
            <w:r>
              <w:rPr>
                <w:rStyle w:val="Normal"/>
                <w:rFonts w:ascii="Times New Roman" w:hAnsi="Times New Roman"/>
                <w:sz w:val="24"/>
              </w:rPr>
              <w:t>4.</w:t>
            </w:r>
          </w:p>
        </w:tc>
        <w:tc>
          <w:tcPr>
            <w:tcW w:w="767"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Informations supplémentaires</w:t>
            </w:r>
          </w:p>
        </w:tc>
        <w:tc>
          <w:tcPr>
            <w:tcW w:w="4095"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before="100" w:beforeAutospacing="1" w:after="100" w:afterAutospacing="1" w:line="293" w:lineRule="atLeast"/>
              <w:rPr>
                <w:rFonts w:ascii="Times New Roman" w:eastAsia="Times New Roman" w:hAnsi="Times New Roman"/>
                <w:sz w:val="24"/>
                <w:szCs w:val="24"/>
              </w:rPr>
            </w:pPr>
            <w:r>
              <w:rPr>
                <w:rStyle w:val="Normal"/>
                <w:rFonts w:ascii="Times New Roman" w:hAnsi="Times New Roman"/>
                <w:sz w:val="24"/>
              </w:rPr>
              <w:t>Non</w:t>
            </w:r>
          </w:p>
        </w:tc>
      </w:tr>
    </w:tbl>
    <w:p w:rsidR="00484BA8" w:rsidRPr="00273236" w:rsidRDefault="00484BA8" w:rsidP="00484BA8">
      <w:pPr>
        <w:spacing w:after="0" w:line="240" w:lineRule="auto"/>
        <w:rPr>
          <w:rFonts w:ascii="Times New Roman" w:eastAsia="Times New Roman" w:hAnsi="Times New Roman"/>
          <w:sz w:val="24"/>
          <w:szCs w:val="24"/>
        </w:rPr>
      </w:pPr>
    </w:p>
    <w:p w:rsidR="00484BA8" w:rsidRPr="00273236" w:rsidRDefault="00484BA8" w:rsidP="00484BA8">
      <w:pPr>
        <w:spacing w:after="0" w:line="240" w:lineRule="auto"/>
        <w:rPr>
          <w:rFonts w:ascii="Times New Roman" w:eastAsia="Times New Roman" w:hAnsi="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776"/>
        <w:gridCol w:w="6895"/>
      </w:tblGrid>
      <w:tr w:rsidR="00484BA8" w:rsidRPr="00D0324A" w:rsidTr="00484BA8">
        <w:tc>
          <w:tcPr>
            <w:tcW w:w="9067" w:type="dxa"/>
            <w:gridSpan w:val="3"/>
          </w:tcPr>
          <w:p w:rsidR="00484BA8" w:rsidRPr="00D0324A" w:rsidRDefault="00484BA8" w:rsidP="00484BA8">
            <w:pPr>
              <w:keepNext/>
              <w:keepLines/>
              <w:spacing w:after="0" w:line="240" w:lineRule="auto"/>
              <w:jc w:val="center"/>
              <w:rPr>
                <w:rFonts w:ascii="Times New Roman" w:eastAsia="Times New Roman" w:hAnsi="Times New Roman"/>
                <w:sz w:val="24"/>
                <w:szCs w:val="24"/>
              </w:rPr>
            </w:pPr>
            <w:r>
              <w:rPr>
                <w:rStyle w:val="Normal"/>
                <w:rFonts w:ascii="Times New Roman" w:hAnsi="Times New Roman"/>
                <w:b/>
                <w:sz w:val="24"/>
              </w:rPr>
              <w:t>II. Impact social, économique et administratif du projet de loi</w:t>
            </w:r>
          </w:p>
        </w:tc>
      </w:tr>
      <w:tr w:rsidR="00484BA8" w:rsidRPr="00D0324A" w:rsidTr="00484BA8">
        <w:tc>
          <w:tcPr>
            <w:tcW w:w="396" w:type="dxa"/>
          </w:tcPr>
          <w:p w:rsidR="00484BA8" w:rsidRPr="00D0324A" w:rsidRDefault="00484BA8" w:rsidP="00484BA8">
            <w:pPr>
              <w:spacing w:before="100" w:beforeAutospacing="1" w:after="100" w:afterAutospacing="1" w:line="240" w:lineRule="auto"/>
              <w:jc w:val="center"/>
              <w:rPr>
                <w:rFonts w:ascii="Times New Roman" w:eastAsia="Times New Roman" w:hAnsi="Times New Roman"/>
                <w:sz w:val="24"/>
                <w:szCs w:val="24"/>
              </w:rPr>
            </w:pPr>
            <w:r>
              <w:rPr>
                <w:rStyle w:val="Normal"/>
                <w:rFonts w:ascii="Times New Roman" w:hAnsi="Times New Roman"/>
                <w:sz w:val="24"/>
              </w:rPr>
              <w:t>1.</w:t>
            </w:r>
          </w:p>
        </w:tc>
        <w:tc>
          <w:tcPr>
            <w:tcW w:w="1736" w:type="dxa"/>
          </w:tcPr>
          <w:p w:rsidR="00484BA8" w:rsidRPr="00D0324A"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Les groupes sociaux cibles qui sont concernés ou susceptibles de l'être par le cadre réglementaire</w:t>
            </w:r>
          </w:p>
        </w:tc>
        <w:tc>
          <w:tcPr>
            <w:tcW w:w="6935" w:type="dxa"/>
          </w:tcPr>
          <w:p w:rsidR="00484BA8" w:rsidRPr="00D0324A"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Les opérateurs économiques qui recyclent des pneus hors d’usage, les systèmes de responsabilisation des fabricants, les importateurs de pneus, le public.</w:t>
            </w:r>
          </w:p>
        </w:tc>
      </w:tr>
      <w:tr w:rsidR="00484BA8" w:rsidRPr="00D0324A" w:rsidTr="00484BA8">
        <w:tc>
          <w:tcPr>
            <w:tcW w:w="396" w:type="dxa"/>
          </w:tcPr>
          <w:p w:rsidR="00484BA8" w:rsidRPr="00D0324A" w:rsidRDefault="00484BA8" w:rsidP="00484BA8">
            <w:pPr>
              <w:spacing w:before="100" w:beforeAutospacing="1" w:after="100" w:afterAutospacing="1" w:line="240" w:lineRule="auto"/>
              <w:jc w:val="center"/>
              <w:rPr>
                <w:rFonts w:ascii="Times New Roman" w:eastAsia="Times New Roman" w:hAnsi="Times New Roman"/>
                <w:sz w:val="24"/>
                <w:szCs w:val="24"/>
              </w:rPr>
            </w:pPr>
            <w:r>
              <w:rPr>
                <w:rStyle w:val="Normal"/>
                <w:rFonts w:ascii="Times New Roman" w:hAnsi="Times New Roman"/>
                <w:sz w:val="24"/>
              </w:rPr>
              <w:t>2.</w:t>
            </w:r>
          </w:p>
        </w:tc>
        <w:tc>
          <w:tcPr>
            <w:tcW w:w="1736" w:type="dxa"/>
          </w:tcPr>
          <w:p w:rsidR="00484BA8" w:rsidRPr="00D0324A"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Impact du cadre réglementaire sur l’économie et les charges administratives</w:t>
            </w:r>
          </w:p>
        </w:tc>
        <w:tc>
          <w:tcPr>
            <w:tcW w:w="6935" w:type="dxa"/>
          </w:tcPr>
          <w:p w:rsidR="00484BA8" w:rsidRPr="00D0324A" w:rsidRDefault="00484BA8" w:rsidP="00484BA8">
            <w:pPr>
              <w:spacing w:after="0" w:line="240" w:lineRule="auto"/>
              <w:jc w:val="both"/>
              <w:rPr>
                <w:rFonts w:ascii="Times New Roman" w:eastAsia="Times New Roman" w:hAnsi="Times New Roman"/>
                <w:sz w:val="24"/>
                <w:szCs w:val="24"/>
              </w:rPr>
            </w:pPr>
            <w:r>
              <w:rPr>
                <w:rStyle w:val="Normal"/>
                <w:rFonts w:ascii="Times New Roman" w:hAnsi="Times New Roman"/>
                <w:sz w:val="24"/>
              </w:rPr>
              <w:t>Si les opérateurs économiques souhaitent que les matériaux de caoutchouc obtenus à partir de pneus hors d’usage ne soient plus considérés comme des déchets mais comme des matières premières secondaires, ils doivent introduire un système de gestion de la qualité et s’assurer que le recyclage des matériaux de caoutchouc répond aux exigences spécifiées dans le projet de règlement.</w:t>
            </w:r>
          </w:p>
          <w:p w:rsidR="00484BA8" w:rsidRPr="00D0324A" w:rsidRDefault="00484BA8" w:rsidP="00484BA8">
            <w:pPr>
              <w:spacing w:after="0" w:line="240" w:lineRule="auto"/>
              <w:jc w:val="both"/>
              <w:rPr>
                <w:rFonts w:ascii="Times New Roman" w:eastAsia="Times New Roman" w:hAnsi="Times New Roman"/>
                <w:sz w:val="24"/>
                <w:szCs w:val="24"/>
              </w:rPr>
            </w:pPr>
          </w:p>
          <w:p w:rsidR="00484BA8" w:rsidRPr="00D0324A" w:rsidRDefault="00484BA8" w:rsidP="00484BA8">
            <w:pPr>
              <w:spacing w:after="0" w:line="240" w:lineRule="auto"/>
              <w:jc w:val="both"/>
              <w:rPr>
                <w:rFonts w:ascii="Times New Roman" w:eastAsia="Times New Roman" w:hAnsi="Times New Roman"/>
                <w:sz w:val="24"/>
                <w:szCs w:val="24"/>
              </w:rPr>
            </w:pPr>
            <w:r>
              <w:rPr>
                <w:rStyle w:val="Normal"/>
                <w:rFonts w:ascii="Times New Roman" w:hAnsi="Times New Roman"/>
                <w:sz w:val="24"/>
              </w:rPr>
              <w:t>L’impact du projet de cadre réglementaire sur l’économie et les groupes cibles, tels que les petites et moyennes entreprises, les microentreprises, les jeunes entreprises et les ONG, ne sera pas significatif. Le projet de règlement aura un impact positif sur l’environnement, la santé et les indicateurs du plan de développement national aux niveaux microéconomique et macroéconomique, étant donné que le cadre juridique règlera le problème du recyclage des pneus, réduira la pollution environnementale et les risques potentiels pour la santé publique et développera la concurrence dans le domaine du recyclage des déchets.</w:t>
            </w:r>
          </w:p>
        </w:tc>
      </w:tr>
      <w:tr w:rsidR="00484BA8" w:rsidRPr="00D0324A" w:rsidTr="00484BA8">
        <w:tc>
          <w:tcPr>
            <w:tcW w:w="396" w:type="dxa"/>
          </w:tcPr>
          <w:p w:rsidR="00484BA8" w:rsidRPr="00D0324A" w:rsidRDefault="00484BA8" w:rsidP="00484BA8">
            <w:pPr>
              <w:spacing w:before="100" w:beforeAutospacing="1" w:after="100" w:afterAutospacing="1" w:line="240" w:lineRule="auto"/>
              <w:jc w:val="center"/>
              <w:rPr>
                <w:rFonts w:ascii="Times New Roman" w:eastAsia="Times New Roman" w:hAnsi="Times New Roman"/>
                <w:sz w:val="24"/>
                <w:szCs w:val="24"/>
              </w:rPr>
            </w:pPr>
            <w:r>
              <w:rPr>
                <w:rStyle w:val="Normal"/>
                <w:rFonts w:ascii="Times New Roman" w:hAnsi="Times New Roman"/>
                <w:sz w:val="24"/>
              </w:rPr>
              <w:t>3.</w:t>
            </w:r>
          </w:p>
        </w:tc>
        <w:tc>
          <w:tcPr>
            <w:tcW w:w="1736" w:type="dxa"/>
          </w:tcPr>
          <w:p w:rsidR="00484BA8" w:rsidRPr="00D0324A"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Évaluation des coûts administratifs</w:t>
            </w:r>
          </w:p>
        </w:tc>
        <w:tc>
          <w:tcPr>
            <w:tcW w:w="6935" w:type="dxa"/>
          </w:tcPr>
          <w:p w:rsidR="00484BA8" w:rsidRPr="00D0324A" w:rsidRDefault="00484BA8" w:rsidP="00484BA8">
            <w:pPr>
              <w:spacing w:after="120" w:line="240" w:lineRule="auto"/>
              <w:jc w:val="both"/>
              <w:rPr>
                <w:rFonts w:ascii="Times New Roman" w:eastAsia="Times New Roman" w:hAnsi="Times New Roman"/>
                <w:sz w:val="24"/>
                <w:szCs w:val="24"/>
              </w:rPr>
            </w:pPr>
            <w:r>
              <w:rPr>
                <w:rStyle w:val="Normal"/>
                <w:rFonts w:ascii="Times New Roman" w:hAnsi="Times New Roman"/>
                <w:sz w:val="24"/>
              </w:rPr>
              <w:t>L’évaluation des coûts administratifs comprend les coûts estimés de la mise en place et de la maintenance du système de gestion de la qualité mentionné dans le projet de règlement.</w:t>
            </w:r>
          </w:p>
          <w:p w:rsidR="00484BA8" w:rsidRPr="00D0324A" w:rsidRDefault="00484BA8" w:rsidP="00484BA8">
            <w:pPr>
              <w:spacing w:after="0" w:line="240" w:lineRule="auto"/>
              <w:jc w:val="center"/>
              <w:rPr>
                <w:rFonts w:ascii="Times New Roman" w:hAnsi="Times New Roman"/>
                <w:sz w:val="24"/>
                <w:szCs w:val="24"/>
              </w:rPr>
            </w:pPr>
            <w:r>
              <w:rPr>
                <w:rStyle w:val="Normal"/>
                <w:rFonts w:ascii="Times New Roman" w:hAnsi="Times New Roman"/>
                <w:sz w:val="24"/>
              </w:rPr>
              <w:t>C = (f x l+k) x (n x b), où</w:t>
            </w:r>
          </w:p>
          <w:p w:rsidR="00484BA8" w:rsidRPr="00D0324A" w:rsidRDefault="00484BA8" w:rsidP="00484BA8">
            <w:pPr>
              <w:spacing w:after="0" w:line="240" w:lineRule="auto"/>
              <w:jc w:val="both"/>
              <w:rPr>
                <w:rFonts w:ascii="Times New Roman" w:hAnsi="Times New Roman"/>
                <w:sz w:val="24"/>
                <w:szCs w:val="24"/>
              </w:rPr>
            </w:pPr>
            <w:r>
              <w:rPr>
                <w:rStyle w:val="Normal"/>
                <w:rFonts w:ascii="Times New Roman" w:hAnsi="Times New Roman"/>
                <w:b/>
                <w:sz w:val="24"/>
              </w:rPr>
              <w:t>C</w:t>
            </w:r>
            <w:r>
              <w:rPr>
                <w:rStyle w:val="Normal"/>
                <w:rFonts w:ascii="Times New Roman" w:hAnsi="Times New Roman"/>
                <w:sz w:val="24"/>
              </w:rPr>
              <w:t xml:space="preserve"> est le coût de la mise en place et de la maintenance du système de gestion de la qualité;</w:t>
            </w:r>
          </w:p>
          <w:p w:rsidR="00484BA8" w:rsidRPr="00273236" w:rsidRDefault="00484BA8" w:rsidP="00484BA8">
            <w:pPr>
              <w:pStyle w:val="tv213"/>
              <w:spacing w:before="0" w:beforeAutospacing="0" w:after="0" w:afterAutospacing="0"/>
              <w:jc w:val="both"/>
            </w:pPr>
            <w:r>
              <w:rPr>
                <w:rStyle w:val="tv213"/>
                <w:b/>
              </w:rPr>
              <w:t>f</w:t>
            </w:r>
            <w:r>
              <w:rPr>
                <w:rStyle w:val="tv213"/>
              </w:rPr>
              <w:t xml:space="preserve"> est le tarif horaire dans le secteur privé, obtenu en divisant le salaire mensuel moyen dans le secteur privé (s’élevant, selon les données du bureau central des statistiques de Lettonie [</w:t>
            </w:r>
            <w:hyperlink r:id="rId8" w:history="1">
              <w:r>
                <w:rPr>
                  <w:rStyle w:val="Hyperlink"/>
                </w:rPr>
                <w:t>www.csb.gov.lv</w:t>
              </w:r>
            </w:hyperlink>
            <w:r>
              <w:rPr>
                <w:rStyle w:val="tv213"/>
              </w:rPr>
              <w:t xml:space="preserve">], à 845 €/mois en 2016) par les heures normales de travail stipulées à l’article 131, paragraphe 1, de la loi sur le travail (40 heures/semaine x 4 = 160 heures/mois) = </w:t>
            </w:r>
            <w:r>
              <w:rPr>
                <w:rStyle w:val="tv213"/>
                <w:b/>
              </w:rPr>
              <w:t>5,28 €/heure</w:t>
            </w:r>
            <w:r>
              <w:rPr>
                <w:rStyle w:val="tv213"/>
              </w:rPr>
              <w:t>;</w:t>
            </w:r>
          </w:p>
          <w:p w:rsidR="00484BA8" w:rsidRPr="00273236" w:rsidRDefault="00484BA8" w:rsidP="00484BA8">
            <w:pPr>
              <w:pStyle w:val="tv213"/>
              <w:spacing w:before="0" w:beforeAutospacing="0" w:after="0" w:afterAutospacing="0"/>
              <w:jc w:val="both"/>
            </w:pPr>
            <w:r>
              <w:rPr>
                <w:rStyle w:val="tv213"/>
                <w:b/>
              </w:rPr>
              <w:t>l</w:t>
            </w:r>
            <w:r>
              <w:rPr>
                <w:rStyle w:val="tv213"/>
              </w:rPr>
              <w:t xml:space="preserve"> est le temps requis pour mettre en place le système de gestion de la </w:t>
            </w:r>
            <w:r>
              <w:rPr>
                <w:rStyle w:val="tv213"/>
              </w:rPr>
              <w:lastRenderedPageBreak/>
              <w:t xml:space="preserve">qualité mentionné dans le projet de règlement – </w:t>
            </w:r>
            <w:r>
              <w:rPr>
                <w:rStyle w:val="tv213"/>
                <w:b/>
              </w:rPr>
              <w:t>40 heures</w:t>
            </w:r>
            <w:r>
              <w:rPr>
                <w:rStyle w:val="tv213"/>
              </w:rPr>
              <w:t>;</w:t>
            </w:r>
          </w:p>
          <w:p w:rsidR="00484BA8" w:rsidRPr="00273236" w:rsidRDefault="00484BA8" w:rsidP="00484BA8">
            <w:pPr>
              <w:pStyle w:val="tv213"/>
              <w:spacing w:before="0" w:beforeAutospacing="0" w:after="0" w:afterAutospacing="0"/>
              <w:jc w:val="both"/>
            </w:pPr>
            <w:r>
              <w:rPr>
                <w:rStyle w:val="tv213"/>
                <w:b/>
              </w:rPr>
              <w:t>k</w:t>
            </w:r>
            <w:r>
              <w:rPr>
                <w:rStyle w:val="tv213"/>
              </w:rPr>
              <w:t xml:space="preserve"> est le coût de la création du système de gestion de la qualité – </w:t>
            </w:r>
            <w:r>
              <w:rPr>
                <w:rStyle w:val="tv213"/>
                <w:b/>
              </w:rPr>
              <w:t>5 000 €</w:t>
            </w:r>
            <w:r>
              <w:rPr>
                <w:rStyle w:val="tv213"/>
                <w:b/>
                <w:i/>
              </w:rPr>
              <w:t>;</w:t>
            </w:r>
          </w:p>
          <w:p w:rsidR="00484BA8" w:rsidRPr="00D0324A" w:rsidRDefault="00484BA8" w:rsidP="00484BA8">
            <w:pPr>
              <w:pStyle w:val="tv213"/>
              <w:spacing w:before="0" w:beforeAutospacing="0" w:after="0" w:afterAutospacing="0"/>
              <w:jc w:val="both"/>
              <w:rPr>
                <w:b/>
              </w:rPr>
            </w:pPr>
            <w:r>
              <w:rPr>
                <w:rStyle w:val="tv213"/>
                <w:b/>
              </w:rPr>
              <w:t>n</w:t>
            </w:r>
            <w:r>
              <w:rPr>
                <w:rStyle w:val="tv213"/>
              </w:rPr>
              <w:t xml:space="preserve"> est le nombre d’entreprises de gestion des déchets ménagers auxquelles le projet de règlement devrait s’appliquer –</w:t>
            </w:r>
            <w:r>
              <w:rPr>
                <w:rStyle w:val="tv213"/>
                <w:b/>
              </w:rPr>
              <w:t xml:space="preserve"> il existe actuellement 6 entreprises de ce type</w:t>
            </w:r>
            <w:r>
              <w:rPr>
                <w:rStyle w:val="tv213"/>
              </w:rPr>
              <w:t>;</w:t>
            </w:r>
          </w:p>
          <w:p w:rsidR="00484BA8" w:rsidRPr="00273236" w:rsidRDefault="00484BA8" w:rsidP="00484BA8">
            <w:pPr>
              <w:pStyle w:val="tv213"/>
              <w:spacing w:before="0" w:beforeAutospacing="0" w:after="0" w:afterAutospacing="0"/>
              <w:jc w:val="both"/>
            </w:pPr>
            <w:r>
              <w:rPr>
                <w:rStyle w:val="tv213"/>
                <w:b/>
              </w:rPr>
              <w:t>b</w:t>
            </w:r>
            <w:r>
              <w:rPr>
                <w:rStyle w:val="tv213"/>
              </w:rPr>
              <w:t xml:space="preserve"> est la fréquence des mesures du rapport masse/volume – une activité ponctuelle.</w:t>
            </w:r>
          </w:p>
          <w:p w:rsidR="00484BA8" w:rsidRPr="00273236" w:rsidRDefault="00484BA8" w:rsidP="00484BA8">
            <w:pPr>
              <w:pStyle w:val="tv213"/>
              <w:spacing w:before="0" w:beforeAutospacing="0" w:after="0" w:afterAutospacing="0"/>
              <w:jc w:val="both"/>
            </w:pPr>
            <w:r>
              <w:rPr>
                <w:rStyle w:val="tv213"/>
              </w:rPr>
              <w:t xml:space="preserve">Estimation: </w:t>
            </w:r>
          </w:p>
          <w:p w:rsidR="00484BA8" w:rsidRPr="00D0324A" w:rsidRDefault="00484BA8" w:rsidP="00484BA8">
            <w:pPr>
              <w:pStyle w:val="tv213"/>
              <w:spacing w:before="0" w:beforeAutospacing="0" w:after="0" w:afterAutospacing="0"/>
              <w:jc w:val="center"/>
              <w:rPr>
                <w:b/>
              </w:rPr>
            </w:pPr>
            <w:r>
              <w:rPr>
                <w:rStyle w:val="tv213"/>
                <w:b/>
              </w:rPr>
              <w:t>C = (5,28 x 40 + 5 000) x (6 x 1) = 31 267,20 €</w:t>
            </w:r>
          </w:p>
        </w:tc>
      </w:tr>
      <w:tr w:rsidR="00484BA8" w:rsidRPr="00D0324A" w:rsidTr="00484BA8">
        <w:tc>
          <w:tcPr>
            <w:tcW w:w="396" w:type="dxa"/>
          </w:tcPr>
          <w:p w:rsidR="00484BA8" w:rsidRPr="00D0324A" w:rsidRDefault="00484BA8" w:rsidP="00484BA8">
            <w:pPr>
              <w:spacing w:before="100" w:beforeAutospacing="1" w:after="100" w:afterAutospacing="1" w:line="240" w:lineRule="auto"/>
              <w:jc w:val="center"/>
              <w:rPr>
                <w:rFonts w:ascii="Times New Roman" w:eastAsia="Times New Roman" w:hAnsi="Times New Roman"/>
                <w:sz w:val="24"/>
                <w:szCs w:val="24"/>
              </w:rPr>
            </w:pPr>
            <w:r>
              <w:rPr>
                <w:rStyle w:val="Normal"/>
                <w:rFonts w:ascii="Times New Roman" w:hAnsi="Times New Roman"/>
                <w:sz w:val="24"/>
              </w:rPr>
              <w:lastRenderedPageBreak/>
              <w:t>4.</w:t>
            </w:r>
          </w:p>
        </w:tc>
        <w:tc>
          <w:tcPr>
            <w:tcW w:w="1736" w:type="dxa"/>
          </w:tcPr>
          <w:p w:rsidR="00484BA8" w:rsidRPr="00D0324A"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Évaluation des coûts de mise en conformité</w:t>
            </w:r>
          </w:p>
        </w:tc>
        <w:tc>
          <w:tcPr>
            <w:tcW w:w="6935" w:type="dxa"/>
          </w:tcPr>
          <w:p w:rsidR="00484BA8" w:rsidRPr="00D0324A" w:rsidRDefault="00484BA8" w:rsidP="00484BA8">
            <w:pPr>
              <w:spacing w:after="0" w:line="240" w:lineRule="auto"/>
              <w:jc w:val="both"/>
              <w:rPr>
                <w:rFonts w:ascii="Times New Roman" w:eastAsia="Times New Roman" w:hAnsi="Times New Roman"/>
                <w:sz w:val="24"/>
                <w:szCs w:val="24"/>
              </w:rPr>
            </w:pPr>
            <w:r>
              <w:rPr>
                <w:rStyle w:val="Normal"/>
                <w:rFonts w:ascii="Times New Roman" w:hAnsi="Times New Roman"/>
                <w:sz w:val="24"/>
              </w:rPr>
              <w:t>Les coûts de mise en conformité sont similaires aux coûts administratifs calculés conformément à la formule de la section II, paragraphe 3, du résumé. Toutefois, une estimation précise ne peut être établie que lorsque le nombre d’opérateurs économiques participant à la production de matériaux de caoutchouc à partir de pneus hors d’usage est connu.</w:t>
            </w:r>
          </w:p>
        </w:tc>
      </w:tr>
      <w:tr w:rsidR="00484BA8" w:rsidRPr="00D0324A" w:rsidTr="00484BA8">
        <w:tc>
          <w:tcPr>
            <w:tcW w:w="396" w:type="dxa"/>
          </w:tcPr>
          <w:p w:rsidR="00484BA8" w:rsidRPr="00D0324A" w:rsidRDefault="00484BA8" w:rsidP="00484BA8">
            <w:pPr>
              <w:spacing w:before="100" w:beforeAutospacing="1" w:after="100" w:afterAutospacing="1" w:line="240" w:lineRule="auto"/>
              <w:jc w:val="center"/>
              <w:rPr>
                <w:rFonts w:ascii="Times New Roman" w:eastAsia="Times New Roman" w:hAnsi="Times New Roman"/>
                <w:sz w:val="24"/>
                <w:szCs w:val="24"/>
              </w:rPr>
            </w:pPr>
            <w:r>
              <w:rPr>
                <w:rStyle w:val="Normal"/>
                <w:rFonts w:ascii="Times New Roman" w:hAnsi="Times New Roman"/>
                <w:sz w:val="24"/>
              </w:rPr>
              <w:t>5.</w:t>
            </w:r>
          </w:p>
        </w:tc>
        <w:tc>
          <w:tcPr>
            <w:tcW w:w="1736" w:type="dxa"/>
          </w:tcPr>
          <w:p w:rsidR="00484BA8" w:rsidRPr="00D0324A"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Informations supplémentaires</w:t>
            </w:r>
          </w:p>
        </w:tc>
        <w:tc>
          <w:tcPr>
            <w:tcW w:w="6935" w:type="dxa"/>
          </w:tcPr>
          <w:p w:rsidR="00484BA8" w:rsidRPr="00D0324A"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Non</w:t>
            </w:r>
          </w:p>
        </w:tc>
      </w:tr>
    </w:tbl>
    <w:p w:rsidR="00484BA8" w:rsidRPr="00273236" w:rsidRDefault="00484BA8" w:rsidP="00484BA8">
      <w:pPr>
        <w:spacing w:after="0" w:line="240" w:lineRule="auto"/>
        <w:rPr>
          <w:rFonts w:ascii="Times New Roman" w:eastAsia="Times New Roman" w:hAnsi="Times New Roman"/>
          <w:sz w:val="24"/>
          <w:szCs w:val="24"/>
        </w:rPr>
      </w:pPr>
    </w:p>
    <w:p w:rsidR="00484BA8" w:rsidRPr="00273236" w:rsidRDefault="00484BA8" w:rsidP="00484BA8">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84BA8" w:rsidRPr="00D0324A" w:rsidTr="00484BA8">
        <w:trPr>
          <w:cantSplit/>
        </w:trPr>
        <w:tc>
          <w:tcPr>
            <w:tcW w:w="9061" w:type="dxa"/>
          </w:tcPr>
          <w:p w:rsidR="00484BA8" w:rsidRPr="00D0324A" w:rsidRDefault="00484BA8" w:rsidP="00484BA8">
            <w:pPr>
              <w:keepNext/>
              <w:keepLines/>
              <w:spacing w:after="0" w:line="240" w:lineRule="auto"/>
              <w:jc w:val="center"/>
              <w:rPr>
                <w:rFonts w:ascii="Times New Roman" w:eastAsia="Times New Roman" w:hAnsi="Times New Roman"/>
                <w:b/>
                <w:sz w:val="24"/>
                <w:szCs w:val="24"/>
              </w:rPr>
            </w:pPr>
            <w:r>
              <w:rPr>
                <w:rStyle w:val="Normal"/>
                <w:rFonts w:ascii="Times New Roman" w:hAnsi="Times New Roman"/>
                <w:b/>
                <w:sz w:val="24"/>
              </w:rPr>
              <w:t>III. Impact du projet de loi sur le budget de l’État et celui des collectivités locales</w:t>
            </w:r>
          </w:p>
        </w:tc>
      </w:tr>
      <w:tr w:rsidR="00484BA8" w:rsidRPr="00D0324A" w:rsidTr="00484BA8">
        <w:trPr>
          <w:cantSplit/>
        </w:trPr>
        <w:tc>
          <w:tcPr>
            <w:tcW w:w="9061" w:type="dxa"/>
          </w:tcPr>
          <w:p w:rsidR="00484BA8" w:rsidRPr="00D0324A" w:rsidRDefault="00484BA8" w:rsidP="00484BA8">
            <w:pPr>
              <w:spacing w:after="0" w:line="240" w:lineRule="auto"/>
              <w:jc w:val="center"/>
              <w:rPr>
                <w:rFonts w:ascii="Times New Roman" w:eastAsia="Times New Roman" w:hAnsi="Times New Roman"/>
                <w:sz w:val="24"/>
                <w:szCs w:val="24"/>
              </w:rPr>
            </w:pPr>
            <w:r>
              <w:rPr>
                <w:rStyle w:val="Normal"/>
                <w:rFonts w:ascii="Times New Roman" w:hAnsi="Times New Roman"/>
                <w:sz w:val="24"/>
              </w:rPr>
              <w:t>Le projet ne concerne pas ce domaine.</w:t>
            </w:r>
          </w:p>
        </w:tc>
      </w:tr>
    </w:tbl>
    <w:p w:rsidR="00484BA8" w:rsidRPr="00273236" w:rsidRDefault="00484BA8" w:rsidP="00484BA8">
      <w:pPr>
        <w:shd w:val="clear" w:color="auto" w:fill="FFFFFF"/>
        <w:spacing w:after="0" w:line="240" w:lineRule="auto"/>
        <w:rPr>
          <w:rFonts w:ascii="Times New Roman" w:eastAsia="Times New Roman" w:hAnsi="Times New Roman"/>
          <w:sz w:val="24"/>
          <w:szCs w:val="24"/>
        </w:rPr>
      </w:pPr>
    </w:p>
    <w:p w:rsidR="00484BA8" w:rsidRPr="00273236" w:rsidRDefault="00484BA8" w:rsidP="00484BA8">
      <w:pPr>
        <w:shd w:val="clear" w:color="auto" w:fill="FFFFFF"/>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84BA8" w:rsidRPr="00D0324A" w:rsidTr="00484BA8">
        <w:trPr>
          <w:cantSplit/>
        </w:trPr>
        <w:tc>
          <w:tcPr>
            <w:tcW w:w="9061" w:type="dxa"/>
          </w:tcPr>
          <w:p w:rsidR="00484BA8" w:rsidRPr="00D0324A" w:rsidRDefault="00484BA8" w:rsidP="00484BA8">
            <w:pPr>
              <w:keepNext/>
              <w:keepLines/>
              <w:spacing w:after="0" w:line="240" w:lineRule="auto"/>
              <w:jc w:val="center"/>
              <w:rPr>
                <w:rFonts w:ascii="Times New Roman" w:eastAsia="Times New Roman" w:hAnsi="Times New Roman"/>
                <w:b/>
                <w:sz w:val="24"/>
                <w:szCs w:val="24"/>
              </w:rPr>
            </w:pPr>
            <w:r>
              <w:rPr>
                <w:rStyle w:val="Normal"/>
                <w:rFonts w:ascii="Times New Roman" w:hAnsi="Times New Roman"/>
                <w:b/>
                <w:sz w:val="24"/>
              </w:rPr>
              <w:t>IV. Impact du projet de loi sur le cadre réglementaire existant</w:t>
            </w:r>
          </w:p>
        </w:tc>
      </w:tr>
      <w:tr w:rsidR="00484BA8" w:rsidRPr="00D0324A" w:rsidTr="00484BA8">
        <w:trPr>
          <w:cantSplit/>
        </w:trPr>
        <w:tc>
          <w:tcPr>
            <w:tcW w:w="9061" w:type="dxa"/>
          </w:tcPr>
          <w:p w:rsidR="00484BA8" w:rsidRPr="00D0324A" w:rsidRDefault="00484BA8" w:rsidP="00484BA8">
            <w:pPr>
              <w:spacing w:after="0" w:line="240" w:lineRule="auto"/>
              <w:jc w:val="center"/>
              <w:rPr>
                <w:rFonts w:ascii="Times New Roman" w:eastAsia="Times New Roman" w:hAnsi="Times New Roman"/>
                <w:sz w:val="24"/>
                <w:szCs w:val="24"/>
              </w:rPr>
            </w:pPr>
            <w:r>
              <w:rPr>
                <w:rStyle w:val="Normal"/>
                <w:rFonts w:ascii="Times New Roman" w:hAnsi="Times New Roman"/>
                <w:sz w:val="24"/>
              </w:rPr>
              <w:t>Le projet ne concerne pas ce domaine.</w:t>
            </w:r>
          </w:p>
        </w:tc>
      </w:tr>
    </w:tbl>
    <w:p w:rsidR="00484BA8" w:rsidRPr="00273236" w:rsidRDefault="00484BA8" w:rsidP="00484BA8">
      <w:pPr>
        <w:shd w:val="clear" w:color="auto" w:fill="FFFFFF"/>
        <w:spacing w:after="0" w:line="240" w:lineRule="auto"/>
        <w:rPr>
          <w:rFonts w:ascii="Times New Roman" w:eastAsia="Times New Roman" w:hAnsi="Times New Roman"/>
          <w:sz w:val="24"/>
          <w:szCs w:val="24"/>
        </w:rPr>
      </w:pPr>
    </w:p>
    <w:p w:rsidR="00484BA8" w:rsidRPr="00273236" w:rsidRDefault="00484BA8" w:rsidP="00484BA8">
      <w:pPr>
        <w:shd w:val="clear" w:color="auto" w:fill="FFFFFF"/>
        <w:spacing w:after="0" w:line="240" w:lineRule="auto"/>
        <w:rPr>
          <w:rFonts w:ascii="Times New Roman" w:eastAsia="Times New Roman" w:hAnsi="Times New Roman"/>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982"/>
      </w:tblGrid>
      <w:tr w:rsidR="00484BA8" w:rsidRPr="00D0324A" w:rsidTr="00484BA8">
        <w:trPr>
          <w:cantSplit/>
        </w:trPr>
        <w:tc>
          <w:tcPr>
            <w:tcW w:w="9072" w:type="dxa"/>
            <w:gridSpan w:val="2"/>
          </w:tcPr>
          <w:p w:rsidR="00484BA8" w:rsidRPr="00D0324A" w:rsidRDefault="00484BA8" w:rsidP="00484BA8">
            <w:pPr>
              <w:keepNext/>
              <w:keepLines/>
              <w:spacing w:after="0" w:line="240" w:lineRule="auto"/>
              <w:jc w:val="center"/>
              <w:rPr>
                <w:rFonts w:ascii="Times New Roman" w:eastAsia="Times New Roman" w:hAnsi="Times New Roman"/>
                <w:b/>
                <w:sz w:val="24"/>
                <w:szCs w:val="24"/>
              </w:rPr>
            </w:pPr>
            <w:r>
              <w:rPr>
                <w:rStyle w:val="Normal"/>
                <w:rFonts w:ascii="Times New Roman" w:hAnsi="Times New Roman"/>
                <w:b/>
                <w:sz w:val="24"/>
              </w:rPr>
              <w:t>V. Conformité du projet de loi avec les obligations internationales de la République de Lettonie</w:t>
            </w:r>
          </w:p>
        </w:tc>
      </w:tr>
      <w:tr w:rsidR="00484BA8" w:rsidRPr="00D0324A" w:rsidTr="00484BA8">
        <w:trPr>
          <w:cantSplit/>
        </w:trPr>
        <w:tc>
          <w:tcPr>
            <w:tcW w:w="3090" w:type="dxa"/>
          </w:tcPr>
          <w:p w:rsidR="00484BA8" w:rsidRPr="00D0324A" w:rsidRDefault="00484BA8" w:rsidP="00484BA8">
            <w:pPr>
              <w:spacing w:after="0" w:line="240" w:lineRule="auto"/>
              <w:rPr>
                <w:rFonts w:ascii="Times New Roman" w:eastAsia="Times New Roman" w:hAnsi="Times New Roman"/>
                <w:b/>
                <w:sz w:val="24"/>
                <w:szCs w:val="24"/>
              </w:rPr>
            </w:pPr>
            <w:r>
              <w:rPr>
                <w:rStyle w:val="Normal"/>
                <w:rFonts w:ascii="Times New Roman" w:hAnsi="Times New Roman"/>
                <w:b/>
                <w:sz w:val="24"/>
              </w:rPr>
              <w:t>Obligations vis-à-vis de l'Union européenne</w:t>
            </w:r>
          </w:p>
        </w:tc>
        <w:tc>
          <w:tcPr>
            <w:tcW w:w="5982" w:type="dxa"/>
          </w:tcPr>
          <w:p w:rsidR="00484BA8" w:rsidRPr="00D0324A" w:rsidRDefault="00484BA8" w:rsidP="00484BA8">
            <w:pPr>
              <w:spacing w:after="0" w:line="240" w:lineRule="auto"/>
              <w:jc w:val="both"/>
              <w:rPr>
                <w:rFonts w:ascii="Times New Roman" w:hAnsi="Times New Roman"/>
                <w:sz w:val="24"/>
                <w:szCs w:val="24"/>
                <w:shd w:val="clear" w:color="000000" w:fill="000000"/>
              </w:rPr>
            </w:pPr>
            <w:r>
              <w:rPr>
                <w:rStyle w:val="Normal"/>
                <w:rFonts w:ascii="Times New Roman" w:hAnsi="Times New Roman"/>
                <w:sz w:val="24"/>
              </w:rPr>
              <w:t>Règlement (CE) nº 1013/2006 du Parlement européen et du Conseil du 14 juin 2006 concernant les transferts de déchets</w:t>
            </w:r>
          </w:p>
          <w:p w:rsidR="00484BA8" w:rsidRPr="00D0324A" w:rsidRDefault="00484BA8" w:rsidP="00484BA8">
            <w:pPr>
              <w:spacing w:before="240" w:after="0" w:line="240" w:lineRule="auto"/>
              <w:jc w:val="both"/>
              <w:rPr>
                <w:rFonts w:ascii="Times New Roman" w:eastAsia="Times New Roman" w:hAnsi="Times New Roman"/>
                <w:b/>
                <w:sz w:val="24"/>
                <w:szCs w:val="24"/>
              </w:rPr>
            </w:pPr>
            <w:r>
              <w:rPr>
                <w:rStyle w:val="Normal"/>
                <w:rFonts w:ascii="Times New Roman" w:hAnsi="Times New Roman"/>
                <w:sz w:val="24"/>
              </w:rPr>
              <w:t>Lorsque, lors de l’importation de matériaux de caoutchouc obtenus à partir de pneus hors d’usage provenant d’autres pays, les autorités compétentes du pays d’expédition et du pays de destination ne peuvent s’accorder sur la classification des matériaux de caoutchouc, le transfert doit être considéré comme un déchet.</w:t>
            </w:r>
          </w:p>
        </w:tc>
      </w:tr>
    </w:tbl>
    <w:p w:rsidR="00484BA8" w:rsidRPr="00273236" w:rsidRDefault="00484BA8" w:rsidP="00484BA8">
      <w:pPr>
        <w:spacing w:after="0" w:line="240" w:lineRule="auto"/>
        <w:rPr>
          <w:rFonts w:ascii="Times New Roman" w:eastAsia="Times New Roman" w:hAnsi="Times New Roman"/>
          <w:sz w:val="24"/>
          <w:szCs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0"/>
        <w:gridCol w:w="1984"/>
        <w:gridCol w:w="2268"/>
        <w:gridCol w:w="2868"/>
      </w:tblGrid>
      <w:tr w:rsidR="00484BA8" w:rsidRPr="00D0324A" w:rsidTr="00484BA8">
        <w:tc>
          <w:tcPr>
            <w:tcW w:w="9100" w:type="dxa"/>
            <w:gridSpan w:val="4"/>
            <w:vAlign w:val="center"/>
          </w:tcPr>
          <w:p w:rsidR="00484BA8" w:rsidRPr="00D0324A" w:rsidRDefault="00484BA8" w:rsidP="00484BA8">
            <w:pPr>
              <w:keepNext/>
              <w:keepLines/>
              <w:jc w:val="center"/>
              <w:rPr>
                <w:rFonts w:ascii="Times New Roman" w:hAnsi="Times New Roman"/>
                <w:b/>
                <w:bCs/>
                <w:sz w:val="24"/>
                <w:szCs w:val="24"/>
              </w:rPr>
            </w:pPr>
            <w:r>
              <w:rPr>
                <w:rStyle w:val="Normal"/>
                <w:rFonts w:ascii="Times New Roman" w:hAnsi="Times New Roman"/>
                <w:b/>
                <w:sz w:val="24"/>
              </w:rPr>
              <w:t>Tableau 1</w:t>
            </w:r>
          </w:p>
          <w:p w:rsidR="00484BA8" w:rsidRPr="00D0324A" w:rsidRDefault="00484BA8" w:rsidP="00484BA8">
            <w:pPr>
              <w:keepNext/>
              <w:keepLines/>
              <w:jc w:val="center"/>
              <w:rPr>
                <w:rFonts w:ascii="Times New Roman" w:hAnsi="Times New Roman"/>
                <w:b/>
                <w:bCs/>
                <w:i/>
                <w:sz w:val="24"/>
                <w:szCs w:val="24"/>
              </w:rPr>
            </w:pPr>
            <w:r>
              <w:rPr>
                <w:rStyle w:val="Normal"/>
                <w:rFonts w:ascii="Times New Roman" w:hAnsi="Times New Roman"/>
                <w:b/>
                <w:sz w:val="24"/>
              </w:rPr>
              <w:t>Conformité du projet de loi avec la législation de l’UE</w:t>
            </w:r>
          </w:p>
        </w:tc>
      </w:tr>
      <w:tr w:rsidR="00484BA8" w:rsidRPr="00D0324A" w:rsidTr="00484BA8">
        <w:tc>
          <w:tcPr>
            <w:tcW w:w="1980" w:type="dxa"/>
            <w:vAlign w:val="center"/>
          </w:tcPr>
          <w:p w:rsidR="00484BA8" w:rsidRPr="00D0324A" w:rsidRDefault="00484BA8" w:rsidP="00484BA8">
            <w:pPr>
              <w:ind w:hanging="10"/>
              <w:jc w:val="both"/>
              <w:rPr>
                <w:rFonts w:ascii="Times New Roman" w:hAnsi="Times New Roman"/>
                <w:b/>
                <w:sz w:val="24"/>
                <w:szCs w:val="24"/>
              </w:rPr>
            </w:pPr>
            <w:r>
              <w:rPr>
                <w:rStyle w:val="Normal"/>
                <w:rFonts w:ascii="Times New Roman" w:hAnsi="Times New Roman"/>
                <w:b/>
                <w:sz w:val="24"/>
              </w:rPr>
              <w:t>Date, numéro et titre du règlement respectif de l’UE</w:t>
            </w:r>
          </w:p>
        </w:tc>
        <w:tc>
          <w:tcPr>
            <w:tcW w:w="7120" w:type="dxa"/>
            <w:gridSpan w:val="3"/>
            <w:vAlign w:val="center"/>
          </w:tcPr>
          <w:p w:rsidR="00484BA8" w:rsidRPr="00D0324A" w:rsidRDefault="00484BA8" w:rsidP="00484BA8">
            <w:pPr>
              <w:pStyle w:val="ListParagraph"/>
              <w:numPr>
                <w:ilvl w:val="0"/>
                <w:numId w:val="3"/>
              </w:numPr>
              <w:ind w:left="397"/>
              <w:jc w:val="both"/>
              <w:rPr>
                <w:rFonts w:ascii="Times New Roman" w:hAnsi="Times New Roman"/>
                <w:sz w:val="24"/>
                <w:szCs w:val="24"/>
                <w:shd w:val="clear" w:color="000000" w:fill="000000"/>
              </w:rPr>
            </w:pPr>
            <w:r>
              <w:rPr>
                <w:rStyle w:val="ListParagraph"/>
                <w:rFonts w:ascii="Times New Roman" w:hAnsi="Times New Roman"/>
                <w:sz w:val="24"/>
              </w:rPr>
              <w:t>règlement (CE) nº 1013/2006 du Parlement européen et du Conseil du 14 juin 2006 concernant les transferts de déchets (ci-après dénommé le «règlement (CE) nº 1013/2006»);</w:t>
            </w:r>
          </w:p>
          <w:p w:rsidR="00484BA8" w:rsidRPr="00D0324A" w:rsidRDefault="00484BA8" w:rsidP="00484BA8">
            <w:pPr>
              <w:pStyle w:val="ListParagraph"/>
              <w:numPr>
                <w:ilvl w:val="0"/>
                <w:numId w:val="3"/>
              </w:numPr>
              <w:ind w:left="397"/>
              <w:jc w:val="both"/>
              <w:rPr>
                <w:rFonts w:ascii="Times New Roman" w:hAnsi="Times New Roman"/>
                <w:sz w:val="24"/>
                <w:szCs w:val="24"/>
                <w:shd w:val="clear" w:color="000000" w:fill="000000"/>
              </w:rPr>
            </w:pPr>
            <w:r>
              <w:rPr>
                <w:rStyle w:val="ListParagraph"/>
                <w:rFonts w:ascii="Times New Roman" w:hAnsi="Times New Roman"/>
                <w:sz w:val="24"/>
              </w:rPr>
              <w:t xml:space="preserve">règlement (UE) nº 1357/2014 de la Commission du 18 décembre 2014 remplaçant l'annexe III de la directive 2008/98/CE du Parlement européen et du Conseil relative aux déchets et abrogeant certaines directives (ci-après dénommé le «règlement (UE) </w:t>
            </w:r>
            <w:r>
              <w:rPr>
                <w:rStyle w:val="ListParagraph"/>
                <w:rFonts w:ascii="Times New Roman" w:hAnsi="Times New Roman"/>
                <w:sz w:val="24"/>
              </w:rPr>
              <w:lastRenderedPageBreak/>
              <w:t>nº 1357/2014»);</w:t>
            </w:r>
          </w:p>
          <w:p w:rsidR="00484BA8" w:rsidRPr="00D0324A" w:rsidRDefault="00484BA8" w:rsidP="00484BA8">
            <w:pPr>
              <w:pStyle w:val="ListParagraph"/>
              <w:numPr>
                <w:ilvl w:val="0"/>
                <w:numId w:val="3"/>
              </w:numPr>
              <w:ind w:left="397"/>
              <w:jc w:val="both"/>
              <w:rPr>
                <w:rFonts w:ascii="Times New Roman" w:hAnsi="Times New Roman"/>
                <w:sz w:val="24"/>
                <w:szCs w:val="24"/>
                <w:shd w:val="clear" w:color="000000" w:fill="000000"/>
              </w:rPr>
            </w:pPr>
            <w:r>
              <w:rPr>
                <w:rStyle w:val="ListParagraph"/>
                <w:rFonts w:ascii="Times New Roman" w:hAnsi="Times New Roman"/>
                <w:sz w:val="24"/>
              </w:rPr>
              <w:t>règlement (CE) nº 850/2004 du Parlement européen et du Conseil du 29 avril 2004 concernant les polluants organiques persistants et modifiant la directive 79/117/CEE (ci-après dénommé le «règlement (CE) nº 850/2004»);</w:t>
            </w:r>
          </w:p>
          <w:p w:rsidR="00484BA8" w:rsidRPr="00D0324A" w:rsidRDefault="00484BA8" w:rsidP="00484BA8">
            <w:pPr>
              <w:pStyle w:val="ListParagraph"/>
              <w:numPr>
                <w:ilvl w:val="0"/>
                <w:numId w:val="3"/>
              </w:numPr>
              <w:ind w:left="397"/>
              <w:jc w:val="both"/>
              <w:rPr>
                <w:rFonts w:ascii="Times New Roman" w:hAnsi="Times New Roman"/>
                <w:b/>
                <w:sz w:val="24"/>
                <w:szCs w:val="24"/>
                <w:shd w:val="clear" w:color="000000" w:fill="000000"/>
              </w:rPr>
            </w:pPr>
            <w:r>
              <w:rPr>
                <w:rStyle w:val="ListParagraph"/>
                <w:rFonts w:ascii="Times New Roman" w:hAnsi="Times New Roman"/>
                <w:sz w:val="24"/>
              </w:rPr>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ci-après dénommé le «règlement REACH»).</w:t>
            </w:r>
          </w:p>
        </w:tc>
      </w:tr>
      <w:tr w:rsidR="00484BA8" w:rsidRPr="00D0324A" w:rsidTr="00484BA8">
        <w:tc>
          <w:tcPr>
            <w:tcW w:w="1980" w:type="dxa"/>
            <w:vAlign w:val="center"/>
          </w:tcPr>
          <w:p w:rsidR="00484BA8" w:rsidRPr="00D0324A" w:rsidRDefault="00484BA8" w:rsidP="00484BA8">
            <w:pPr>
              <w:keepNext/>
              <w:keepLines/>
              <w:jc w:val="both"/>
              <w:rPr>
                <w:rFonts w:ascii="Times New Roman" w:hAnsi="Times New Roman"/>
                <w:b/>
                <w:sz w:val="24"/>
                <w:szCs w:val="24"/>
              </w:rPr>
            </w:pPr>
            <w:r>
              <w:rPr>
                <w:rStyle w:val="Normal"/>
                <w:rFonts w:ascii="Times New Roman" w:hAnsi="Times New Roman"/>
                <w:b/>
                <w:sz w:val="24"/>
              </w:rPr>
              <w:lastRenderedPageBreak/>
              <w:t>A</w:t>
            </w:r>
          </w:p>
        </w:tc>
        <w:tc>
          <w:tcPr>
            <w:tcW w:w="1984" w:type="dxa"/>
            <w:vAlign w:val="center"/>
          </w:tcPr>
          <w:p w:rsidR="00484BA8" w:rsidRPr="00D0324A" w:rsidRDefault="00484BA8" w:rsidP="00484BA8">
            <w:pPr>
              <w:keepNext/>
              <w:keepLines/>
              <w:jc w:val="both"/>
              <w:rPr>
                <w:rFonts w:ascii="Times New Roman" w:hAnsi="Times New Roman"/>
                <w:b/>
                <w:sz w:val="24"/>
                <w:szCs w:val="24"/>
              </w:rPr>
            </w:pPr>
            <w:r>
              <w:rPr>
                <w:rStyle w:val="Normal"/>
                <w:rFonts w:ascii="Times New Roman" w:hAnsi="Times New Roman"/>
                <w:b/>
                <w:sz w:val="24"/>
              </w:rPr>
              <w:t>B</w:t>
            </w:r>
          </w:p>
        </w:tc>
        <w:tc>
          <w:tcPr>
            <w:tcW w:w="2268" w:type="dxa"/>
            <w:vAlign w:val="center"/>
          </w:tcPr>
          <w:p w:rsidR="00484BA8" w:rsidRPr="00D0324A" w:rsidRDefault="00484BA8" w:rsidP="00484BA8">
            <w:pPr>
              <w:keepNext/>
              <w:keepLines/>
              <w:jc w:val="both"/>
              <w:rPr>
                <w:rFonts w:ascii="Times New Roman" w:hAnsi="Times New Roman"/>
                <w:b/>
                <w:sz w:val="24"/>
                <w:szCs w:val="24"/>
              </w:rPr>
            </w:pPr>
            <w:r>
              <w:rPr>
                <w:rStyle w:val="Normal"/>
                <w:rFonts w:ascii="Times New Roman" w:hAnsi="Times New Roman"/>
                <w:b/>
                <w:sz w:val="24"/>
              </w:rPr>
              <w:t>C</w:t>
            </w:r>
          </w:p>
        </w:tc>
        <w:tc>
          <w:tcPr>
            <w:tcW w:w="2868" w:type="dxa"/>
            <w:vAlign w:val="center"/>
          </w:tcPr>
          <w:p w:rsidR="00484BA8" w:rsidRPr="00D0324A" w:rsidRDefault="00484BA8" w:rsidP="00484BA8">
            <w:pPr>
              <w:keepNext/>
              <w:keepLines/>
              <w:jc w:val="both"/>
              <w:rPr>
                <w:rFonts w:ascii="Times New Roman" w:hAnsi="Times New Roman"/>
                <w:b/>
                <w:sz w:val="24"/>
                <w:szCs w:val="24"/>
              </w:rPr>
            </w:pPr>
            <w:r>
              <w:rPr>
                <w:rStyle w:val="Normal"/>
                <w:rFonts w:ascii="Times New Roman" w:hAnsi="Times New Roman"/>
                <w:b/>
                <w:sz w:val="24"/>
              </w:rPr>
              <w:t>D</w:t>
            </w:r>
          </w:p>
        </w:tc>
      </w:tr>
      <w:tr w:rsidR="00484BA8" w:rsidRPr="00D0324A" w:rsidTr="00484BA8">
        <w:tc>
          <w:tcPr>
            <w:tcW w:w="1980" w:type="dxa"/>
          </w:tcPr>
          <w:p w:rsidR="00484BA8" w:rsidRPr="00D0324A" w:rsidRDefault="00484BA8" w:rsidP="00484BA8">
            <w:pPr>
              <w:jc w:val="both"/>
              <w:rPr>
                <w:rFonts w:ascii="Times New Roman" w:hAnsi="Times New Roman"/>
                <w:sz w:val="24"/>
                <w:szCs w:val="24"/>
              </w:rPr>
            </w:pPr>
            <w:r>
              <w:rPr>
                <w:rStyle w:val="Normal"/>
                <w:rFonts w:ascii="Times New Roman" w:hAnsi="Times New Roman"/>
                <w:sz w:val="24"/>
              </w:rPr>
              <w:t xml:space="preserve">Article 28, paragraphe 1, du règlement (CE) nº 1013/2006 </w:t>
            </w:r>
          </w:p>
        </w:tc>
        <w:tc>
          <w:tcPr>
            <w:tcW w:w="1984" w:type="dxa"/>
          </w:tcPr>
          <w:p w:rsidR="00484BA8" w:rsidRPr="00D0324A" w:rsidRDefault="00484BA8" w:rsidP="00484BA8">
            <w:pPr>
              <w:jc w:val="both"/>
              <w:rPr>
                <w:rFonts w:ascii="Times New Roman" w:hAnsi="Times New Roman"/>
                <w:sz w:val="24"/>
                <w:szCs w:val="24"/>
              </w:rPr>
            </w:pPr>
            <w:r>
              <w:rPr>
                <w:rStyle w:val="Normal"/>
                <w:rFonts w:ascii="Times New Roman" w:hAnsi="Times New Roman"/>
                <w:sz w:val="24"/>
              </w:rPr>
              <w:t>Alinéa 11</w:t>
            </w:r>
          </w:p>
        </w:tc>
        <w:tc>
          <w:tcPr>
            <w:tcW w:w="2268" w:type="dxa"/>
          </w:tcPr>
          <w:p w:rsidR="00484BA8" w:rsidRPr="00D0324A" w:rsidRDefault="00484BA8" w:rsidP="00484BA8">
            <w:pPr>
              <w:jc w:val="both"/>
              <w:rPr>
                <w:rFonts w:ascii="Times New Roman" w:hAnsi="Times New Roman"/>
                <w:sz w:val="24"/>
                <w:szCs w:val="24"/>
              </w:rPr>
            </w:pPr>
            <w:r>
              <w:rPr>
                <w:rStyle w:val="Normal"/>
                <w:rFonts w:ascii="Times New Roman" w:hAnsi="Times New Roman"/>
                <w:sz w:val="24"/>
              </w:rPr>
              <w:t>Pleinement conforme</w:t>
            </w:r>
          </w:p>
        </w:tc>
        <w:tc>
          <w:tcPr>
            <w:tcW w:w="2868" w:type="dxa"/>
          </w:tcPr>
          <w:p w:rsidR="00484BA8" w:rsidRPr="00D0324A" w:rsidRDefault="00484BA8" w:rsidP="00484BA8">
            <w:pPr>
              <w:jc w:val="both"/>
              <w:rPr>
                <w:rFonts w:ascii="Times New Roman" w:hAnsi="Times New Roman"/>
                <w:sz w:val="24"/>
                <w:szCs w:val="24"/>
              </w:rPr>
            </w:pPr>
            <w:r>
              <w:rPr>
                <w:rStyle w:val="Normal"/>
                <w:rFonts w:ascii="Times New Roman" w:hAnsi="Times New Roman"/>
                <w:sz w:val="24"/>
              </w:rPr>
              <w:t>Les exigences ne sont pas plus strictes que celles que prévoit le règlement.</w:t>
            </w:r>
          </w:p>
        </w:tc>
      </w:tr>
      <w:tr w:rsidR="00484BA8" w:rsidRPr="00D0324A" w:rsidTr="00484BA8">
        <w:tc>
          <w:tcPr>
            <w:tcW w:w="1980" w:type="dxa"/>
          </w:tcPr>
          <w:p w:rsidR="00484BA8" w:rsidRPr="00D0324A" w:rsidRDefault="00484BA8" w:rsidP="00484BA8">
            <w:pPr>
              <w:jc w:val="both"/>
              <w:rPr>
                <w:rFonts w:ascii="Times New Roman" w:hAnsi="Times New Roman"/>
                <w:sz w:val="24"/>
                <w:szCs w:val="24"/>
              </w:rPr>
            </w:pPr>
            <w:r>
              <w:rPr>
                <w:rStyle w:val="Normal"/>
                <w:rFonts w:ascii="Times New Roman" w:hAnsi="Times New Roman"/>
                <w:sz w:val="24"/>
              </w:rPr>
              <w:t>Annexe du règlement (UE) nº 1357/2014</w:t>
            </w:r>
          </w:p>
        </w:tc>
        <w:tc>
          <w:tcPr>
            <w:tcW w:w="1984" w:type="dxa"/>
          </w:tcPr>
          <w:p w:rsidR="00484BA8" w:rsidRPr="00D0324A" w:rsidRDefault="00484BA8" w:rsidP="00484BA8">
            <w:pPr>
              <w:jc w:val="both"/>
              <w:rPr>
                <w:rFonts w:ascii="Times New Roman" w:hAnsi="Times New Roman"/>
                <w:sz w:val="24"/>
                <w:szCs w:val="24"/>
              </w:rPr>
            </w:pPr>
            <w:r>
              <w:rPr>
                <w:rStyle w:val="Normal"/>
                <w:rFonts w:ascii="Times New Roman" w:hAnsi="Times New Roman"/>
                <w:sz w:val="24"/>
              </w:rPr>
              <w:t>Point 1.2 de l’annexe 1</w:t>
            </w:r>
          </w:p>
        </w:tc>
        <w:tc>
          <w:tcPr>
            <w:tcW w:w="2268" w:type="dxa"/>
          </w:tcPr>
          <w:p w:rsidR="00484BA8" w:rsidRPr="00D0324A" w:rsidRDefault="00484BA8" w:rsidP="00484BA8">
            <w:pPr>
              <w:jc w:val="both"/>
              <w:rPr>
                <w:rFonts w:ascii="Times New Roman" w:hAnsi="Times New Roman"/>
                <w:sz w:val="24"/>
                <w:szCs w:val="24"/>
              </w:rPr>
            </w:pPr>
            <w:r>
              <w:rPr>
                <w:rStyle w:val="Normal"/>
                <w:rFonts w:ascii="Times New Roman" w:hAnsi="Times New Roman"/>
                <w:sz w:val="24"/>
              </w:rPr>
              <w:t>Pleinement conforme</w:t>
            </w:r>
          </w:p>
        </w:tc>
        <w:tc>
          <w:tcPr>
            <w:tcW w:w="2868" w:type="dxa"/>
          </w:tcPr>
          <w:p w:rsidR="00484BA8" w:rsidRPr="00D0324A" w:rsidRDefault="00484BA8" w:rsidP="00484BA8">
            <w:pPr>
              <w:jc w:val="both"/>
              <w:rPr>
                <w:rFonts w:ascii="Times New Roman" w:hAnsi="Times New Roman"/>
                <w:sz w:val="24"/>
                <w:szCs w:val="24"/>
              </w:rPr>
            </w:pPr>
            <w:r>
              <w:rPr>
                <w:rStyle w:val="Normal"/>
                <w:rFonts w:ascii="Times New Roman" w:hAnsi="Times New Roman"/>
                <w:sz w:val="24"/>
              </w:rPr>
              <w:t>Les exigences ne sont pas plus strictes que celles que prévoit le règlement.</w:t>
            </w:r>
          </w:p>
        </w:tc>
      </w:tr>
      <w:tr w:rsidR="00484BA8" w:rsidRPr="00D0324A" w:rsidTr="00484BA8">
        <w:tc>
          <w:tcPr>
            <w:tcW w:w="1980" w:type="dxa"/>
          </w:tcPr>
          <w:p w:rsidR="00484BA8" w:rsidRPr="00D0324A" w:rsidRDefault="00484BA8" w:rsidP="00484BA8">
            <w:pPr>
              <w:jc w:val="both"/>
              <w:rPr>
                <w:rFonts w:ascii="Times New Roman" w:hAnsi="Times New Roman"/>
                <w:sz w:val="24"/>
                <w:szCs w:val="24"/>
              </w:rPr>
            </w:pPr>
            <w:r>
              <w:rPr>
                <w:rStyle w:val="Normal"/>
                <w:rFonts w:ascii="Times New Roman" w:hAnsi="Times New Roman"/>
                <w:sz w:val="24"/>
              </w:rPr>
              <w:t>Annexe IV du règlement (UE) nº 850/2004</w:t>
            </w:r>
          </w:p>
        </w:tc>
        <w:tc>
          <w:tcPr>
            <w:tcW w:w="1984" w:type="dxa"/>
          </w:tcPr>
          <w:p w:rsidR="00484BA8" w:rsidRPr="00D0324A" w:rsidRDefault="00484BA8" w:rsidP="00484BA8">
            <w:pPr>
              <w:jc w:val="both"/>
              <w:rPr>
                <w:rFonts w:ascii="Times New Roman" w:hAnsi="Times New Roman"/>
                <w:sz w:val="24"/>
                <w:szCs w:val="24"/>
              </w:rPr>
            </w:pPr>
            <w:r>
              <w:rPr>
                <w:rStyle w:val="Normal"/>
                <w:rFonts w:ascii="Times New Roman" w:hAnsi="Times New Roman"/>
                <w:sz w:val="24"/>
              </w:rPr>
              <w:t>Point 1.2 de l’annexe 1</w:t>
            </w:r>
          </w:p>
        </w:tc>
        <w:tc>
          <w:tcPr>
            <w:tcW w:w="2268" w:type="dxa"/>
          </w:tcPr>
          <w:p w:rsidR="00484BA8" w:rsidRPr="00D0324A" w:rsidRDefault="00484BA8" w:rsidP="00484BA8">
            <w:pPr>
              <w:jc w:val="both"/>
              <w:rPr>
                <w:rFonts w:ascii="Times New Roman" w:hAnsi="Times New Roman"/>
                <w:sz w:val="24"/>
                <w:szCs w:val="24"/>
              </w:rPr>
            </w:pPr>
            <w:r>
              <w:rPr>
                <w:rStyle w:val="Normal"/>
                <w:rFonts w:ascii="Times New Roman" w:hAnsi="Times New Roman"/>
                <w:sz w:val="24"/>
              </w:rPr>
              <w:t>Pleinement conforme</w:t>
            </w:r>
          </w:p>
        </w:tc>
        <w:tc>
          <w:tcPr>
            <w:tcW w:w="2868" w:type="dxa"/>
          </w:tcPr>
          <w:p w:rsidR="00484BA8" w:rsidRPr="00D0324A" w:rsidRDefault="00484BA8" w:rsidP="00484BA8">
            <w:pPr>
              <w:jc w:val="both"/>
              <w:rPr>
                <w:rFonts w:ascii="Times New Roman" w:hAnsi="Times New Roman"/>
                <w:sz w:val="24"/>
                <w:szCs w:val="24"/>
              </w:rPr>
            </w:pPr>
            <w:r>
              <w:rPr>
                <w:rStyle w:val="Normal"/>
                <w:rFonts w:ascii="Times New Roman" w:hAnsi="Times New Roman"/>
                <w:sz w:val="24"/>
              </w:rPr>
              <w:t>Les exigences ne sont pas plus strictes que celles que prévoit le règlement.</w:t>
            </w:r>
          </w:p>
        </w:tc>
      </w:tr>
      <w:tr w:rsidR="00484BA8" w:rsidRPr="00D0324A" w:rsidTr="00484BA8">
        <w:tc>
          <w:tcPr>
            <w:tcW w:w="1980" w:type="dxa"/>
          </w:tcPr>
          <w:p w:rsidR="00484BA8" w:rsidRPr="00D0324A" w:rsidRDefault="00484BA8" w:rsidP="00484BA8">
            <w:pPr>
              <w:jc w:val="both"/>
              <w:rPr>
                <w:rFonts w:ascii="Times New Roman" w:hAnsi="Times New Roman"/>
                <w:sz w:val="24"/>
                <w:szCs w:val="24"/>
              </w:rPr>
            </w:pPr>
            <w:r>
              <w:rPr>
                <w:rStyle w:val="Normal"/>
                <w:rFonts w:ascii="Times New Roman" w:hAnsi="Times New Roman"/>
                <w:sz w:val="24"/>
              </w:rPr>
              <w:t>Annexe XVII du règlement REACH</w:t>
            </w:r>
          </w:p>
        </w:tc>
        <w:tc>
          <w:tcPr>
            <w:tcW w:w="1984" w:type="dxa"/>
          </w:tcPr>
          <w:p w:rsidR="00484BA8" w:rsidRPr="00D0324A" w:rsidRDefault="00484BA8" w:rsidP="00484BA8">
            <w:pPr>
              <w:jc w:val="both"/>
              <w:rPr>
                <w:rFonts w:ascii="Times New Roman" w:hAnsi="Times New Roman"/>
                <w:sz w:val="24"/>
                <w:szCs w:val="24"/>
              </w:rPr>
            </w:pPr>
            <w:r>
              <w:rPr>
                <w:rStyle w:val="Normal"/>
                <w:rFonts w:ascii="Times New Roman" w:hAnsi="Times New Roman"/>
                <w:sz w:val="24"/>
              </w:rPr>
              <w:t>Point 1.3 de l’annexe 1</w:t>
            </w:r>
          </w:p>
        </w:tc>
        <w:tc>
          <w:tcPr>
            <w:tcW w:w="2268" w:type="dxa"/>
          </w:tcPr>
          <w:p w:rsidR="00484BA8" w:rsidRPr="00D0324A" w:rsidRDefault="00484BA8" w:rsidP="00484BA8">
            <w:pPr>
              <w:jc w:val="both"/>
              <w:rPr>
                <w:rFonts w:ascii="Times New Roman" w:hAnsi="Times New Roman"/>
                <w:sz w:val="24"/>
                <w:szCs w:val="24"/>
              </w:rPr>
            </w:pPr>
            <w:r>
              <w:rPr>
                <w:rStyle w:val="Normal"/>
                <w:rFonts w:ascii="Times New Roman" w:hAnsi="Times New Roman"/>
                <w:sz w:val="24"/>
              </w:rPr>
              <w:t>Pleinement conforme</w:t>
            </w:r>
          </w:p>
        </w:tc>
        <w:tc>
          <w:tcPr>
            <w:tcW w:w="2868" w:type="dxa"/>
          </w:tcPr>
          <w:p w:rsidR="00484BA8" w:rsidRPr="00D0324A" w:rsidRDefault="00484BA8" w:rsidP="00484BA8">
            <w:pPr>
              <w:jc w:val="both"/>
              <w:rPr>
                <w:rFonts w:ascii="Times New Roman" w:hAnsi="Times New Roman"/>
                <w:sz w:val="24"/>
                <w:szCs w:val="24"/>
              </w:rPr>
            </w:pPr>
            <w:r>
              <w:rPr>
                <w:rStyle w:val="Normal"/>
                <w:rFonts w:ascii="Times New Roman" w:hAnsi="Times New Roman"/>
                <w:sz w:val="24"/>
              </w:rPr>
              <w:t>Les exigences ne sont pas plus strictes que celles que prévoit le règlement.</w:t>
            </w:r>
          </w:p>
        </w:tc>
      </w:tr>
      <w:tr w:rsidR="00484BA8" w:rsidRPr="00D0324A" w:rsidTr="00484BA8">
        <w:tc>
          <w:tcPr>
            <w:tcW w:w="1980" w:type="dxa"/>
          </w:tcPr>
          <w:p w:rsidR="00484BA8" w:rsidRPr="00D0324A" w:rsidRDefault="00484BA8" w:rsidP="00484BA8">
            <w:pPr>
              <w:ind w:left="57"/>
              <w:jc w:val="both"/>
              <w:rPr>
                <w:rFonts w:ascii="Times New Roman" w:hAnsi="Times New Roman"/>
                <w:sz w:val="24"/>
                <w:szCs w:val="24"/>
              </w:rPr>
            </w:pPr>
            <w:r>
              <w:rPr>
                <w:rStyle w:val="Normal"/>
                <w:rFonts w:ascii="Times New Roman" w:hAnsi="Times New Roman"/>
                <w:sz w:val="24"/>
              </w:rPr>
              <w:t>L’État membre a-t-il utilisé les droits discrétionnaires afin de transposer ou mettre en œuvre certaines dispositions de la législation de l’UE?</w:t>
            </w:r>
          </w:p>
          <w:p w:rsidR="00484BA8" w:rsidRPr="00D0324A" w:rsidRDefault="00484BA8" w:rsidP="00484BA8">
            <w:pPr>
              <w:ind w:left="57"/>
              <w:jc w:val="both"/>
              <w:rPr>
                <w:rFonts w:ascii="Times New Roman" w:hAnsi="Times New Roman"/>
                <w:sz w:val="24"/>
                <w:szCs w:val="24"/>
              </w:rPr>
            </w:pPr>
            <w:r>
              <w:rPr>
                <w:rStyle w:val="Normal"/>
                <w:rFonts w:ascii="Times New Roman" w:hAnsi="Times New Roman"/>
                <w:sz w:val="24"/>
              </w:rPr>
              <w:t>Pourquoi?</w:t>
            </w:r>
          </w:p>
        </w:tc>
        <w:tc>
          <w:tcPr>
            <w:tcW w:w="7120" w:type="dxa"/>
            <w:gridSpan w:val="3"/>
          </w:tcPr>
          <w:p w:rsidR="00484BA8" w:rsidRPr="00D0324A" w:rsidRDefault="00484BA8" w:rsidP="00484BA8">
            <w:pPr>
              <w:jc w:val="both"/>
              <w:rPr>
                <w:rFonts w:ascii="Times New Roman" w:hAnsi="Times New Roman"/>
                <w:sz w:val="24"/>
                <w:szCs w:val="24"/>
              </w:rPr>
            </w:pPr>
            <w:r>
              <w:rPr>
                <w:rStyle w:val="Normal"/>
                <w:rFonts w:ascii="Times New Roman" w:hAnsi="Times New Roman"/>
                <w:sz w:val="24"/>
              </w:rPr>
              <w:t>Non</w:t>
            </w:r>
          </w:p>
        </w:tc>
      </w:tr>
      <w:tr w:rsidR="00484BA8" w:rsidRPr="00D0324A" w:rsidTr="00484BA8">
        <w:tc>
          <w:tcPr>
            <w:tcW w:w="1980" w:type="dxa"/>
          </w:tcPr>
          <w:p w:rsidR="00484BA8" w:rsidRPr="00D0324A" w:rsidRDefault="00484BA8" w:rsidP="00484BA8">
            <w:pPr>
              <w:ind w:left="57"/>
              <w:jc w:val="both"/>
              <w:rPr>
                <w:rFonts w:ascii="Times New Roman" w:hAnsi="Times New Roman"/>
                <w:sz w:val="24"/>
                <w:szCs w:val="24"/>
              </w:rPr>
            </w:pPr>
            <w:r>
              <w:rPr>
                <w:rStyle w:val="Normal"/>
                <w:rFonts w:ascii="Times New Roman" w:hAnsi="Times New Roman"/>
                <w:sz w:val="24"/>
              </w:rPr>
              <w:t xml:space="preserve">Obligation de faire rapport aux </w:t>
            </w:r>
            <w:r>
              <w:rPr>
                <w:rStyle w:val="Normal"/>
                <w:rFonts w:ascii="Times New Roman" w:hAnsi="Times New Roman"/>
                <w:sz w:val="24"/>
              </w:rPr>
              <w:lastRenderedPageBreak/>
              <w:t>institutions de l’UE et aux États membres de l’UE conformément aux réglementations qui régissent la fourniture d’informations sur les projets de règlements techniques, le soutien de l’État et les règlements financiers (concernant la politique monétaire)</w:t>
            </w:r>
          </w:p>
        </w:tc>
        <w:tc>
          <w:tcPr>
            <w:tcW w:w="7120" w:type="dxa"/>
            <w:gridSpan w:val="3"/>
          </w:tcPr>
          <w:p w:rsidR="00484BA8" w:rsidRPr="00D0324A" w:rsidRDefault="00484BA8" w:rsidP="00484BA8">
            <w:pPr>
              <w:jc w:val="both"/>
              <w:rPr>
                <w:rFonts w:ascii="Times New Roman" w:hAnsi="Times New Roman"/>
                <w:sz w:val="24"/>
                <w:szCs w:val="24"/>
              </w:rPr>
            </w:pPr>
            <w:r>
              <w:rPr>
                <w:rStyle w:val="Normal"/>
                <w:rFonts w:ascii="Times New Roman" w:hAnsi="Times New Roman"/>
                <w:sz w:val="24"/>
              </w:rPr>
              <w:lastRenderedPageBreak/>
              <w:t xml:space="preserve">Le projet de règlement est considéré comme un projet de règlement technique, ce qui signifie qu’il sera notifié à la Commission européenne </w:t>
            </w:r>
            <w:r>
              <w:rPr>
                <w:rStyle w:val="Normal"/>
                <w:rFonts w:ascii="Times New Roman" w:hAnsi="Times New Roman"/>
                <w:sz w:val="24"/>
              </w:rPr>
              <w:lastRenderedPageBreak/>
              <w:t>conformément aux procédures prévues dans l’instruction du Conseil des ministres nº 1 du 23 février 2010 sur les procédures dans le cadre desquelles les autorités publiques fournissent des informations sur les projets de règlements techniques.</w:t>
            </w:r>
          </w:p>
        </w:tc>
      </w:tr>
      <w:tr w:rsidR="00484BA8" w:rsidRPr="00D0324A" w:rsidTr="00484BA8">
        <w:tc>
          <w:tcPr>
            <w:tcW w:w="1980" w:type="dxa"/>
          </w:tcPr>
          <w:p w:rsidR="00484BA8" w:rsidRPr="00D0324A" w:rsidRDefault="00484BA8" w:rsidP="00484BA8">
            <w:pPr>
              <w:ind w:left="57"/>
              <w:jc w:val="both"/>
              <w:rPr>
                <w:rFonts w:ascii="Times New Roman" w:hAnsi="Times New Roman"/>
                <w:b/>
                <w:sz w:val="24"/>
                <w:szCs w:val="24"/>
              </w:rPr>
            </w:pPr>
            <w:r>
              <w:rPr>
                <w:rStyle w:val="Normal"/>
                <w:rFonts w:ascii="Times New Roman" w:hAnsi="Times New Roman"/>
                <w:b/>
                <w:sz w:val="24"/>
              </w:rPr>
              <w:lastRenderedPageBreak/>
              <w:t>Informations supplémentaires</w:t>
            </w:r>
          </w:p>
        </w:tc>
        <w:tc>
          <w:tcPr>
            <w:tcW w:w="7120" w:type="dxa"/>
            <w:gridSpan w:val="3"/>
          </w:tcPr>
          <w:p w:rsidR="00484BA8" w:rsidRPr="00D0324A" w:rsidRDefault="00484BA8" w:rsidP="00484BA8">
            <w:pPr>
              <w:jc w:val="both"/>
              <w:rPr>
                <w:rFonts w:ascii="Times New Roman" w:hAnsi="Times New Roman"/>
                <w:b/>
                <w:sz w:val="24"/>
                <w:szCs w:val="24"/>
              </w:rPr>
            </w:pPr>
            <w:r>
              <w:rPr>
                <w:rStyle w:val="Normal"/>
                <w:rFonts w:ascii="Times New Roman" w:hAnsi="Times New Roman"/>
                <w:b/>
                <w:sz w:val="24"/>
              </w:rPr>
              <w:t>Non</w:t>
            </w:r>
          </w:p>
        </w:tc>
      </w:tr>
    </w:tbl>
    <w:p w:rsidR="00484BA8" w:rsidRPr="00273236" w:rsidRDefault="00484BA8" w:rsidP="00484BA8">
      <w:pPr>
        <w:spacing w:after="0" w:line="240" w:lineRule="auto"/>
        <w:rPr>
          <w:rFonts w:ascii="Times New Roman" w:eastAsia="Times New Roman" w:hAnsi="Times New Roman"/>
          <w:sz w:val="24"/>
          <w:szCs w:val="24"/>
        </w:rPr>
      </w:pPr>
    </w:p>
    <w:p w:rsidR="00484BA8" w:rsidRPr="00273236" w:rsidRDefault="00484BA8" w:rsidP="00484BA8">
      <w:pPr>
        <w:spacing w:after="0" w:line="240" w:lineRule="auto"/>
        <w:rPr>
          <w:rFonts w:ascii="Times New Roman" w:eastAsia="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57" w:type="dxa"/>
          <w:bottom w:w="24" w:type="dxa"/>
          <w:right w:w="57" w:type="dxa"/>
        </w:tblCellMar>
        <w:tblLook w:val="04A0" w:firstRow="1" w:lastRow="0" w:firstColumn="1" w:lastColumn="0" w:noHBand="0" w:noVBand="1"/>
      </w:tblPr>
      <w:tblGrid>
        <w:gridCol w:w="459"/>
        <w:gridCol w:w="2756"/>
        <w:gridCol w:w="5970"/>
      </w:tblGrid>
      <w:tr w:rsidR="00484BA8" w:rsidRPr="00D0324A" w:rsidTr="00484BA8">
        <w:trPr>
          <w:cantSplit/>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84BA8" w:rsidRPr="00273236" w:rsidRDefault="00484BA8" w:rsidP="00484BA8">
            <w:pPr>
              <w:keepNext/>
              <w:keepLines/>
              <w:spacing w:before="100" w:beforeAutospacing="1" w:after="100" w:afterAutospacing="1" w:line="293" w:lineRule="atLeast"/>
              <w:jc w:val="center"/>
              <w:rPr>
                <w:rFonts w:ascii="Times New Roman" w:eastAsia="Times New Roman" w:hAnsi="Times New Roman"/>
                <w:b/>
                <w:bCs/>
                <w:sz w:val="24"/>
                <w:szCs w:val="24"/>
              </w:rPr>
            </w:pPr>
            <w:r>
              <w:rPr>
                <w:rStyle w:val="Normal"/>
                <w:rFonts w:ascii="Times New Roman" w:hAnsi="Times New Roman"/>
                <w:b/>
                <w:sz w:val="24"/>
              </w:rPr>
              <w:t>VI. Participation et efforts de communication du public</w:t>
            </w:r>
          </w:p>
        </w:tc>
      </w:tr>
      <w:tr w:rsidR="00484BA8" w:rsidRPr="00D0324A" w:rsidTr="00484BA8">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1.</w:t>
            </w:r>
          </w:p>
        </w:tc>
        <w:tc>
          <w:tcPr>
            <w:tcW w:w="150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 xml:space="preserve">Efforts de participation et de communication du public prévus en relation avec le projet </w:t>
            </w:r>
          </w:p>
        </w:tc>
        <w:tc>
          <w:tcPr>
            <w:tcW w:w="325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pStyle w:val="naisf"/>
              <w:spacing w:before="0" w:after="0"/>
              <w:ind w:right="57" w:firstLine="0"/>
            </w:pPr>
            <w:r>
              <w:rPr>
                <w:rStyle w:val="naisf"/>
              </w:rPr>
              <w:t>Le public a participé à l’élaboration du règlement conformément à la procédure prévue au point 7.4</w:t>
            </w:r>
            <w:r>
              <w:rPr>
                <w:rStyle w:val="naisf"/>
                <w:vertAlign w:val="superscript"/>
              </w:rPr>
              <w:t>1</w:t>
            </w:r>
            <w:r>
              <w:rPr>
                <w:rStyle w:val="naisf"/>
              </w:rPr>
              <w:t xml:space="preserve"> du règlement du Conseil des ministres nº 970 du 25 août 2009 sur la procédure de participation du public au processus de planification du développement, c’est-à-dire que les membres du public ont eu la possibilité de présenter des propositions écrites lors de la phase de rédaction. </w:t>
            </w:r>
          </w:p>
        </w:tc>
      </w:tr>
      <w:tr w:rsidR="00484BA8" w:rsidRPr="00D0324A" w:rsidTr="00484BA8">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2.</w:t>
            </w:r>
          </w:p>
        </w:tc>
        <w:tc>
          <w:tcPr>
            <w:tcW w:w="150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Participation du public à l'élaboration du règlement</w:t>
            </w:r>
          </w:p>
        </w:tc>
        <w:tc>
          <w:tcPr>
            <w:tcW w:w="325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jc w:val="both"/>
              <w:rPr>
                <w:rFonts w:ascii="Times New Roman" w:eastAsia="Times New Roman" w:hAnsi="Times New Roman"/>
                <w:sz w:val="24"/>
                <w:szCs w:val="24"/>
              </w:rPr>
            </w:pPr>
            <w:r>
              <w:rPr>
                <w:rStyle w:val="Normal"/>
                <w:rFonts w:ascii="Times New Roman" w:hAnsi="Times New Roman"/>
                <w:sz w:val="24"/>
              </w:rPr>
              <w:t>Le projet de règlement a été publié sur le site internet du Ministère de la protection de l'environnement et du développement régional (</w:t>
            </w:r>
            <w:hyperlink r:id="rId9" w:history="1">
              <w:r>
                <w:rPr>
                  <w:rStyle w:val="Normal"/>
                  <w:rFonts w:ascii="Times New Roman" w:hAnsi="Times New Roman"/>
                  <w:color w:val="0000FF"/>
                  <w:sz w:val="24"/>
                  <w:u w:val="single"/>
                </w:rPr>
                <w:t>www.varam.gov.lv</w:t>
              </w:r>
            </w:hyperlink>
            <w:r>
              <w:rPr>
                <w:rStyle w:val="Normal"/>
                <w:rFonts w:ascii="Times New Roman" w:hAnsi="Times New Roman"/>
                <w:sz w:val="24"/>
              </w:rPr>
              <w:t>) le 18 janvier 2018, donnant ainsi la possibilité aux parties intéressées d’exprimer leur point de vue et de faire des suggestions.</w:t>
            </w:r>
          </w:p>
        </w:tc>
      </w:tr>
      <w:tr w:rsidR="00484BA8" w:rsidRPr="00D0324A" w:rsidTr="00484BA8">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3.</w:t>
            </w:r>
          </w:p>
        </w:tc>
        <w:tc>
          <w:tcPr>
            <w:tcW w:w="150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Résultats de la participation du public</w:t>
            </w:r>
          </w:p>
        </w:tc>
        <w:tc>
          <w:tcPr>
            <w:tcW w:w="325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jc w:val="both"/>
              <w:rPr>
                <w:rFonts w:ascii="Times New Roman" w:eastAsia="Times New Roman" w:hAnsi="Times New Roman"/>
                <w:sz w:val="24"/>
                <w:szCs w:val="24"/>
              </w:rPr>
            </w:pPr>
            <w:r>
              <w:rPr>
                <w:rStyle w:val="Normal"/>
                <w:rFonts w:ascii="Times New Roman" w:hAnsi="Times New Roman"/>
                <w:sz w:val="24"/>
              </w:rPr>
              <w:t xml:space="preserve">Des observations ont été reçues de Latvijas Nacionālais akreditācijas birojs, SIA; Service national de l’environnement; EkoRecycling, SIA; Latvijas Asociācija Bīstamo Atkritumu Apsaimniekošanai; Latvijas Zaļais punkts, AS. </w:t>
            </w:r>
          </w:p>
        </w:tc>
      </w:tr>
      <w:tr w:rsidR="00484BA8" w:rsidRPr="00D0324A" w:rsidTr="00484BA8">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4.</w:t>
            </w:r>
          </w:p>
        </w:tc>
        <w:tc>
          <w:tcPr>
            <w:tcW w:w="150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Informations supplémentaires</w:t>
            </w:r>
          </w:p>
        </w:tc>
        <w:tc>
          <w:tcPr>
            <w:tcW w:w="325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before="100" w:beforeAutospacing="1" w:after="100" w:afterAutospacing="1" w:line="293" w:lineRule="atLeast"/>
              <w:rPr>
                <w:rFonts w:ascii="Times New Roman" w:eastAsia="Times New Roman" w:hAnsi="Times New Roman"/>
                <w:sz w:val="24"/>
                <w:szCs w:val="24"/>
              </w:rPr>
            </w:pPr>
            <w:r>
              <w:rPr>
                <w:rStyle w:val="Normal"/>
                <w:rFonts w:ascii="Times New Roman" w:hAnsi="Times New Roman"/>
                <w:sz w:val="24"/>
              </w:rPr>
              <w:t>Non</w:t>
            </w:r>
          </w:p>
        </w:tc>
      </w:tr>
    </w:tbl>
    <w:p w:rsidR="00484BA8" w:rsidRPr="00273236" w:rsidRDefault="00484BA8" w:rsidP="00484BA8">
      <w:pPr>
        <w:spacing w:after="0" w:line="240" w:lineRule="auto"/>
        <w:rPr>
          <w:rFonts w:ascii="Times New Roman" w:eastAsia="Times New Roman" w:hAnsi="Times New Roman"/>
          <w:sz w:val="24"/>
          <w:szCs w:val="24"/>
        </w:rPr>
      </w:pPr>
    </w:p>
    <w:p w:rsidR="00484BA8" w:rsidRPr="00273236" w:rsidRDefault="00484BA8" w:rsidP="00484BA8">
      <w:pPr>
        <w:spacing w:after="0" w:line="240" w:lineRule="auto"/>
        <w:rPr>
          <w:rFonts w:ascii="Times New Roman" w:eastAsia="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57" w:type="dxa"/>
          <w:bottom w:w="24" w:type="dxa"/>
          <w:right w:w="57" w:type="dxa"/>
        </w:tblCellMar>
        <w:tblLook w:val="04A0" w:firstRow="1" w:lastRow="0" w:firstColumn="1" w:lastColumn="0" w:noHBand="0" w:noVBand="1"/>
      </w:tblPr>
      <w:tblGrid>
        <w:gridCol w:w="460"/>
        <w:gridCol w:w="3490"/>
        <w:gridCol w:w="5235"/>
      </w:tblGrid>
      <w:tr w:rsidR="00484BA8" w:rsidRPr="00D0324A" w:rsidTr="00484BA8">
        <w:trPr>
          <w:cantSplit/>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84BA8" w:rsidRPr="00273236" w:rsidRDefault="00484BA8" w:rsidP="00484BA8">
            <w:pPr>
              <w:keepNext/>
              <w:keepLines/>
              <w:spacing w:before="100" w:beforeAutospacing="1" w:after="100" w:afterAutospacing="1" w:line="293" w:lineRule="atLeast"/>
              <w:jc w:val="center"/>
              <w:rPr>
                <w:rFonts w:ascii="Times New Roman" w:eastAsia="Times New Roman" w:hAnsi="Times New Roman"/>
                <w:b/>
                <w:bCs/>
                <w:sz w:val="24"/>
                <w:szCs w:val="24"/>
              </w:rPr>
            </w:pPr>
            <w:r>
              <w:rPr>
                <w:rStyle w:val="Normal"/>
                <w:rFonts w:ascii="Times New Roman" w:hAnsi="Times New Roman"/>
                <w:b/>
                <w:sz w:val="24"/>
              </w:rPr>
              <w:t>VII. Mise en œuvre du projet de loi et son impact sur les collectivités</w:t>
            </w:r>
          </w:p>
        </w:tc>
      </w:tr>
      <w:tr w:rsidR="00484BA8" w:rsidRPr="00D0324A" w:rsidTr="00484BA8">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1.</w:t>
            </w:r>
          </w:p>
        </w:tc>
        <w:tc>
          <w:tcPr>
            <w:tcW w:w="190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Organismes ayant participé à la mise en œuvre du projet</w:t>
            </w:r>
          </w:p>
        </w:tc>
        <w:tc>
          <w:tcPr>
            <w:tcW w:w="285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pStyle w:val="NumPar1"/>
              <w:numPr>
                <w:ilvl w:val="0"/>
                <w:numId w:val="0"/>
              </w:numPr>
              <w:snapToGrid w:val="0"/>
              <w:rPr>
                <w:b/>
              </w:rPr>
            </w:pPr>
            <w:r>
              <w:rPr>
                <w:rStyle w:val="NumPar1"/>
                <w:b/>
              </w:rPr>
              <w:t>Service national de l’environnement de la République de Lettonie</w:t>
            </w:r>
          </w:p>
        </w:tc>
      </w:tr>
      <w:tr w:rsidR="00484BA8" w:rsidRPr="00D0324A" w:rsidTr="00484BA8">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lastRenderedPageBreak/>
              <w:t>2.</w:t>
            </w:r>
          </w:p>
        </w:tc>
        <w:tc>
          <w:tcPr>
            <w:tcW w:w="190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Impact de la mise en œuvre du projet sur les fonctions administratives et les structures institutionnelles.</w:t>
            </w:r>
          </w:p>
          <w:p w:rsidR="00484BA8" w:rsidRPr="00273236" w:rsidRDefault="00484BA8" w:rsidP="00484BA8">
            <w:pPr>
              <w:spacing w:before="100" w:beforeAutospacing="1" w:after="100" w:afterAutospacing="1" w:line="293" w:lineRule="atLeast"/>
              <w:rPr>
                <w:rFonts w:ascii="Times New Roman" w:eastAsia="Times New Roman" w:hAnsi="Times New Roman"/>
                <w:sz w:val="24"/>
                <w:szCs w:val="24"/>
              </w:rPr>
            </w:pPr>
            <w:r>
              <w:rPr>
                <w:rStyle w:val="Normal"/>
                <w:rFonts w:ascii="Times New Roman" w:hAnsi="Times New Roman"/>
                <w:sz w:val="24"/>
              </w:rPr>
              <w:t>Création de nouveaux organismes, dissolution ou restructuration des organismes existants, impact sur les besoins en ressources humaines de ceux-ci</w:t>
            </w:r>
          </w:p>
        </w:tc>
        <w:tc>
          <w:tcPr>
            <w:tcW w:w="285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pStyle w:val="naisnod"/>
              <w:spacing w:before="0" w:after="0"/>
              <w:ind w:right="57"/>
              <w:jc w:val="both"/>
              <w:rPr>
                <w:b w:val="0"/>
              </w:rPr>
            </w:pPr>
            <w:r>
              <w:rPr>
                <w:rStyle w:val="naisnod"/>
                <w:b w:val="0"/>
              </w:rPr>
              <w:t>Le projet de règlement n’affecte pas les fonctions et les tâches des organismes concernés.</w:t>
            </w:r>
          </w:p>
          <w:p w:rsidR="00484BA8" w:rsidRPr="00273236" w:rsidRDefault="00484BA8" w:rsidP="00484BA8">
            <w:pPr>
              <w:pStyle w:val="naisnod"/>
              <w:spacing w:before="0" w:after="0"/>
              <w:ind w:right="57"/>
              <w:jc w:val="both"/>
              <w:rPr>
                <w:b w:val="0"/>
              </w:rPr>
            </w:pPr>
          </w:p>
          <w:p w:rsidR="00484BA8" w:rsidRPr="00273236" w:rsidRDefault="00484BA8" w:rsidP="00484BA8">
            <w:pPr>
              <w:pStyle w:val="naisnod"/>
              <w:spacing w:before="0" w:after="0"/>
              <w:ind w:right="57"/>
              <w:jc w:val="both"/>
              <w:rPr>
                <w:b w:val="0"/>
              </w:rPr>
            </w:pPr>
            <w:r>
              <w:rPr>
                <w:rStyle w:val="naisnod"/>
                <w:b w:val="0"/>
              </w:rPr>
              <w:t>Aucune mise en place de nouveaux organismes et aucune restructuration d’organismes existants ne sont prévues à ce jour.</w:t>
            </w:r>
          </w:p>
        </w:tc>
      </w:tr>
      <w:tr w:rsidR="00484BA8" w:rsidRPr="00D0324A" w:rsidTr="00484BA8">
        <w:trPr>
          <w:cantSplit/>
          <w:jc w:val="center"/>
        </w:trPr>
        <w:tc>
          <w:tcPr>
            <w:tcW w:w="25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3.</w:t>
            </w:r>
          </w:p>
        </w:tc>
        <w:tc>
          <w:tcPr>
            <w:tcW w:w="190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after="0" w:line="240" w:lineRule="auto"/>
              <w:rPr>
                <w:rFonts w:ascii="Times New Roman" w:eastAsia="Times New Roman" w:hAnsi="Times New Roman"/>
                <w:sz w:val="24"/>
                <w:szCs w:val="24"/>
              </w:rPr>
            </w:pPr>
            <w:r>
              <w:rPr>
                <w:rStyle w:val="Normal"/>
                <w:rFonts w:ascii="Times New Roman" w:hAnsi="Times New Roman"/>
                <w:sz w:val="24"/>
              </w:rPr>
              <w:t>Informations supplémentaires</w:t>
            </w:r>
          </w:p>
        </w:tc>
        <w:tc>
          <w:tcPr>
            <w:tcW w:w="2850" w:type="pct"/>
            <w:tcBorders>
              <w:top w:val="outset" w:sz="6" w:space="0" w:color="414142"/>
              <w:left w:val="outset" w:sz="6" w:space="0" w:color="414142"/>
              <w:bottom w:val="outset" w:sz="6" w:space="0" w:color="414142"/>
              <w:right w:val="outset" w:sz="6" w:space="0" w:color="414142"/>
            </w:tcBorders>
            <w:hideMark/>
          </w:tcPr>
          <w:p w:rsidR="00484BA8" w:rsidRPr="00273236" w:rsidRDefault="00484BA8" w:rsidP="00484BA8">
            <w:pPr>
              <w:spacing w:before="100" w:beforeAutospacing="1" w:after="100" w:afterAutospacing="1" w:line="293" w:lineRule="atLeast"/>
              <w:rPr>
                <w:rFonts w:ascii="Times New Roman" w:eastAsia="Times New Roman" w:hAnsi="Times New Roman"/>
                <w:sz w:val="24"/>
                <w:szCs w:val="24"/>
              </w:rPr>
            </w:pPr>
            <w:r>
              <w:rPr>
                <w:rStyle w:val="Normal"/>
                <w:rFonts w:ascii="Times New Roman" w:hAnsi="Times New Roman"/>
                <w:sz w:val="24"/>
              </w:rPr>
              <w:t>Non</w:t>
            </w:r>
          </w:p>
        </w:tc>
      </w:tr>
    </w:tbl>
    <w:p w:rsidR="00484BA8" w:rsidRPr="00273236" w:rsidRDefault="00484BA8" w:rsidP="00484BA8">
      <w:pPr>
        <w:spacing w:after="0" w:line="240" w:lineRule="auto"/>
        <w:rPr>
          <w:rFonts w:ascii="Times New Roman" w:hAnsi="Times New Roman"/>
          <w:sz w:val="28"/>
          <w:szCs w:val="28"/>
        </w:rPr>
      </w:pPr>
    </w:p>
    <w:p w:rsidR="00484BA8" w:rsidRPr="00273236" w:rsidRDefault="00484BA8" w:rsidP="00484BA8">
      <w:pPr>
        <w:tabs>
          <w:tab w:val="left" w:pos="6237"/>
        </w:tabs>
        <w:spacing w:after="0" w:line="240" w:lineRule="auto"/>
        <w:rPr>
          <w:rFonts w:ascii="Times New Roman" w:hAnsi="Times New Roman"/>
          <w:sz w:val="24"/>
          <w:szCs w:val="24"/>
        </w:rPr>
      </w:pPr>
    </w:p>
    <w:p w:rsidR="00484BA8" w:rsidRPr="00273236" w:rsidRDefault="00484BA8" w:rsidP="00484BA8">
      <w:pPr>
        <w:tabs>
          <w:tab w:val="right" w:pos="8931"/>
        </w:tabs>
        <w:spacing w:after="0" w:line="240" w:lineRule="auto"/>
        <w:rPr>
          <w:rFonts w:ascii="Times New Roman" w:hAnsi="Times New Roman"/>
          <w:sz w:val="24"/>
          <w:szCs w:val="24"/>
        </w:rPr>
      </w:pPr>
      <w:r>
        <w:rPr>
          <w:rStyle w:val="Normal"/>
          <w:rFonts w:ascii="Times New Roman" w:hAnsi="Times New Roman"/>
          <w:sz w:val="24"/>
        </w:rPr>
        <w:t>Ministre de la protection de l'environnement et du développement régional</w:t>
      </w:r>
      <w:r>
        <w:rPr>
          <w:rStyle w:val="Normal"/>
          <w:rFonts w:ascii="Times New Roman" w:hAnsi="Times New Roman"/>
          <w:sz w:val="24"/>
        </w:rPr>
        <w:tab/>
        <w:t xml:space="preserve"> Kaspars Gerhards</w:t>
      </w:r>
    </w:p>
    <w:p w:rsidR="00484BA8" w:rsidRPr="00273236" w:rsidRDefault="00484BA8">
      <w:pPr>
        <w:tabs>
          <w:tab w:val="right" w:pos="8931"/>
        </w:tabs>
        <w:spacing w:after="0" w:line="240" w:lineRule="auto"/>
        <w:rPr>
          <w:rFonts w:ascii="Times New Roman" w:hAnsi="Times New Roman"/>
          <w:sz w:val="24"/>
          <w:szCs w:val="24"/>
        </w:rPr>
      </w:pPr>
    </w:p>
    <w:sectPr w:rsidR="00484BA8" w:rsidRPr="00273236" w:rsidSect="00484BA8">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B59" w:rsidRDefault="00092B59" w:rsidP="00484BA8">
      <w:pPr>
        <w:spacing w:after="0" w:line="240" w:lineRule="auto"/>
      </w:pPr>
      <w:r>
        <w:separator/>
      </w:r>
    </w:p>
  </w:endnote>
  <w:endnote w:type="continuationSeparator" w:id="0">
    <w:p w:rsidR="00092B59" w:rsidRDefault="00092B59" w:rsidP="0048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031" w:rsidRDefault="001350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BA8" w:rsidRPr="00431A17" w:rsidRDefault="00484BA8" w:rsidP="00484BA8">
    <w:pPr>
      <w:pStyle w:val="Footer"/>
      <w:tabs>
        <w:tab w:val="left" w:pos="7655"/>
      </w:tabs>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031" w:rsidRDefault="00135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B59" w:rsidRDefault="00092B59" w:rsidP="00484BA8">
      <w:pPr>
        <w:spacing w:after="0" w:line="240" w:lineRule="auto"/>
      </w:pPr>
      <w:r>
        <w:separator/>
      </w:r>
    </w:p>
  </w:footnote>
  <w:footnote w:type="continuationSeparator" w:id="0">
    <w:p w:rsidR="00092B59" w:rsidRDefault="00092B59" w:rsidP="00484BA8">
      <w:pPr>
        <w:spacing w:after="0" w:line="240" w:lineRule="auto"/>
      </w:pPr>
      <w:r>
        <w:continuationSeparator/>
      </w:r>
    </w:p>
  </w:footnote>
  <w:footnote w:id="1">
    <w:p w:rsidR="00484BA8" w:rsidRPr="00425EC2" w:rsidRDefault="00484BA8">
      <w:pPr>
        <w:pStyle w:val="FootnoteText"/>
        <w:rPr>
          <w:rFonts w:ascii="Times New Roman" w:hAnsi="Times New Roman"/>
        </w:rPr>
      </w:pPr>
      <w:r>
        <w:rPr>
          <w:rStyle w:val="FootnoteReference"/>
          <w:rFonts w:ascii="Times New Roman" w:hAnsi="Times New Roman"/>
        </w:rPr>
        <w:footnoteRef/>
      </w:r>
      <w:r>
        <w:rPr>
          <w:rStyle w:val="FootnoteText"/>
          <w:rFonts w:ascii="Times New Roman" w:hAnsi="Times New Roman"/>
        </w:rPr>
        <w:t xml:space="preserve"> Règlement du Conseil des ministres nº 302 du 19 avril 2011 sur la classification des déchets et les propriétés qui rendent les déchets dangereux</w:t>
      </w:r>
    </w:p>
  </w:footnote>
  <w:footnote w:id="2">
    <w:p w:rsidR="00484BA8" w:rsidRDefault="00484BA8" w:rsidP="00484BA8">
      <w:pPr>
        <w:pStyle w:val="FootnoteText"/>
      </w:pPr>
      <w:r>
        <w:rPr>
          <w:rStyle w:val="FootnoteReference"/>
        </w:rPr>
        <w:footnoteRef/>
      </w:r>
      <w:r>
        <w:rPr>
          <w:rStyle w:val="FootnoteText"/>
          <w:rFonts w:ascii="Times New Roman" w:hAnsi="Times New Roman"/>
        </w:rPr>
        <w:t xml:space="preserve"> Données de l’administration du Fonds letton pour la protection de l’environnement </w:t>
      </w:r>
      <w:hyperlink r:id="rId1" w:history="1">
        <w:r>
          <w:rPr>
            <w:rStyle w:val="Hyperlink"/>
            <w:rFonts w:ascii="Times New Roman" w:hAnsi="Times New Roman"/>
          </w:rPr>
          <w:t>www.lvafa.gov.lv</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031" w:rsidRDefault="001350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BA8" w:rsidRPr="00425EC2" w:rsidRDefault="00484BA8">
    <w:pPr>
      <w:pStyle w:val="Header"/>
      <w:jc w:val="center"/>
      <w:rPr>
        <w:rFonts w:ascii="Times New Roman" w:hAnsi="Times New Roman"/>
        <w:sz w:val="24"/>
        <w:szCs w:val="24"/>
      </w:rPr>
    </w:pPr>
    <w:r>
      <w:rPr>
        <w:rStyle w:val="Header"/>
        <w:rFonts w:ascii="Times New Roman" w:hAnsi="Times New Roman"/>
        <w:sz w:val="24"/>
      </w:rPr>
      <w:fldChar w:fldCharType="begin"/>
    </w:r>
    <w:r>
      <w:rPr>
        <w:rStyle w:val="Header"/>
        <w:rFonts w:ascii="Times New Roman" w:hAnsi="Times New Roman"/>
        <w:sz w:val="24"/>
      </w:rPr>
      <w:instrText xml:space="preserve"> PAGE   \* MERGEFORMAT </w:instrText>
    </w:r>
    <w:r>
      <w:rPr>
        <w:rStyle w:val="Header"/>
        <w:rFonts w:ascii="Times New Roman" w:hAnsi="Times New Roman"/>
        <w:sz w:val="24"/>
      </w:rPr>
      <w:fldChar w:fldCharType="separate"/>
    </w:r>
    <w:r w:rsidR="00B531CE">
      <w:rPr>
        <w:rStyle w:val="Header"/>
        <w:rFonts w:ascii="Times New Roman" w:hAnsi="Times New Roman"/>
        <w:noProof/>
        <w:sz w:val="24"/>
      </w:rPr>
      <w:t>7</w:t>
    </w:r>
    <w:r>
      <w:rPr>
        <w:rStyle w:val="Header"/>
        <w:rFonts w:ascii="Times New Roman" w:hAnsi="Times New Roman"/>
        <w:sz w:val="24"/>
      </w:rPr>
      <w:fldChar w:fldCharType="end"/>
    </w:r>
  </w:p>
  <w:p w:rsidR="00484BA8" w:rsidRPr="00425EC2" w:rsidRDefault="00484BA8">
    <w:pPr>
      <w:pStyle w:val="Header"/>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031" w:rsidRDefault="00135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4B9"/>
    <w:multiLevelType w:val="hybridMultilevel"/>
    <w:tmpl w:val="8F6222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F212747"/>
    <w:multiLevelType w:val="multilevel"/>
    <w:tmpl w:val="FBD0F488"/>
    <w:name w:val="0,9019238"/>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7B1F23CE"/>
    <w:multiLevelType w:val="multilevel"/>
    <w:tmpl w:val="596AC5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01"/>
    <w:rsid w:val="00092B59"/>
    <w:rsid w:val="00135031"/>
    <w:rsid w:val="00484BA8"/>
    <w:rsid w:val="00B5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8EBCCD-D274-4946-95D0-B3DD4A63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064"/>
    <w:pPr>
      <w:spacing w:after="160" w:line="259"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D90D0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90D01"/>
    <w:rPr>
      <w:color w:val="0000FF"/>
      <w:u w:val="single"/>
      <w:lang w:val="fr-FR" w:eastAsia="fr-FR"/>
    </w:rPr>
  </w:style>
  <w:style w:type="table" w:styleId="TableGrid">
    <w:name w:val="Table Grid"/>
    <w:basedOn w:val="TableNormal"/>
    <w:uiPriority w:val="39"/>
    <w:rsid w:val="00D90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Normal"/>
    <w:rsid w:val="004E743A"/>
    <w:pPr>
      <w:spacing w:before="150" w:after="150" w:line="240" w:lineRule="auto"/>
      <w:jc w:val="center"/>
    </w:pPr>
    <w:rPr>
      <w:rFonts w:ascii="Times New Roman" w:eastAsia="Times New Roman" w:hAnsi="Times New Roman"/>
      <w:b/>
      <w:bCs/>
      <w:sz w:val="24"/>
      <w:szCs w:val="24"/>
    </w:rPr>
  </w:style>
  <w:style w:type="paragraph" w:customStyle="1" w:styleId="naisf">
    <w:name w:val="naisf"/>
    <w:basedOn w:val="Normal"/>
    <w:rsid w:val="004E743A"/>
    <w:pPr>
      <w:spacing w:before="75" w:after="75" w:line="240" w:lineRule="auto"/>
      <w:ind w:firstLine="375"/>
      <w:jc w:val="both"/>
    </w:pPr>
    <w:rPr>
      <w:rFonts w:ascii="Times New Roman" w:eastAsia="Times New Roman" w:hAnsi="Times New Roman"/>
      <w:sz w:val="24"/>
      <w:szCs w:val="24"/>
    </w:rPr>
  </w:style>
  <w:style w:type="paragraph" w:customStyle="1" w:styleId="tv213">
    <w:name w:val="tv213"/>
    <w:basedOn w:val="Normal"/>
    <w:rsid w:val="004316BB"/>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4316BB"/>
    <w:rPr>
      <w:sz w:val="16"/>
      <w:szCs w:val="16"/>
      <w:lang w:val="fr-FR" w:eastAsia="fr-FR"/>
    </w:rPr>
  </w:style>
  <w:style w:type="paragraph" w:styleId="CommentText">
    <w:name w:val="annotation text"/>
    <w:basedOn w:val="Normal"/>
    <w:link w:val="CommentTextChar"/>
    <w:uiPriority w:val="99"/>
    <w:semiHidden/>
    <w:unhideWhenUsed/>
    <w:rsid w:val="004316BB"/>
    <w:pPr>
      <w:spacing w:line="240" w:lineRule="auto"/>
    </w:pPr>
    <w:rPr>
      <w:sz w:val="20"/>
      <w:szCs w:val="20"/>
    </w:rPr>
  </w:style>
  <w:style w:type="character" w:customStyle="1" w:styleId="CommentTextChar">
    <w:name w:val="Comment Text Char"/>
    <w:link w:val="CommentText"/>
    <w:uiPriority w:val="99"/>
    <w:semiHidden/>
    <w:rsid w:val="004316BB"/>
    <w:rPr>
      <w:sz w:val="20"/>
      <w:szCs w:val="20"/>
      <w:lang w:val="fr-FR" w:eastAsia="fr-FR"/>
    </w:rPr>
  </w:style>
  <w:style w:type="paragraph" w:styleId="ListParagraph">
    <w:name w:val="List Paragraph"/>
    <w:basedOn w:val="Normal"/>
    <w:uiPriority w:val="34"/>
    <w:qFormat/>
    <w:rsid w:val="004316BB"/>
    <w:pPr>
      <w:ind w:left="720"/>
      <w:contextualSpacing/>
    </w:pPr>
  </w:style>
  <w:style w:type="paragraph" w:styleId="BalloonText">
    <w:name w:val="Balloon Text"/>
    <w:basedOn w:val="Normal"/>
    <w:link w:val="BalloonTextChar"/>
    <w:uiPriority w:val="99"/>
    <w:semiHidden/>
    <w:unhideWhenUsed/>
    <w:rsid w:val="004316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16BB"/>
    <w:rPr>
      <w:rFonts w:ascii="Segoe UI" w:hAnsi="Segoe UI" w:cs="Segoe UI"/>
      <w:sz w:val="18"/>
      <w:szCs w:val="18"/>
      <w:lang w:val="fr-FR" w:eastAsia="fr-FR"/>
    </w:rPr>
  </w:style>
  <w:style w:type="paragraph" w:styleId="NormalWeb">
    <w:name w:val="Normal (Web)"/>
    <w:basedOn w:val="Normal"/>
    <w:uiPriority w:val="99"/>
    <w:semiHidden/>
    <w:unhideWhenUsed/>
    <w:rsid w:val="00E57E0B"/>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E57E0B"/>
    <w:pPr>
      <w:spacing w:after="0" w:line="240" w:lineRule="auto"/>
    </w:pPr>
    <w:rPr>
      <w:sz w:val="20"/>
      <w:szCs w:val="20"/>
    </w:rPr>
  </w:style>
  <w:style w:type="character" w:customStyle="1" w:styleId="FootnoteTextChar">
    <w:name w:val="Footnote Text Char"/>
    <w:link w:val="FootnoteText"/>
    <w:uiPriority w:val="99"/>
    <w:semiHidden/>
    <w:rsid w:val="00E57E0B"/>
    <w:rPr>
      <w:sz w:val="20"/>
      <w:szCs w:val="20"/>
      <w:lang w:val="fr-FR" w:eastAsia="fr-FR"/>
    </w:rPr>
  </w:style>
  <w:style w:type="character" w:styleId="FootnoteReference">
    <w:name w:val="footnote reference"/>
    <w:uiPriority w:val="99"/>
    <w:semiHidden/>
    <w:unhideWhenUsed/>
    <w:rsid w:val="00E57E0B"/>
    <w:rPr>
      <w:vertAlign w:val="superscript"/>
      <w:lang w:val="fr-FR" w:eastAsia="fr-FR"/>
    </w:rPr>
  </w:style>
  <w:style w:type="paragraph" w:styleId="Header">
    <w:name w:val="header"/>
    <w:basedOn w:val="Normal"/>
    <w:link w:val="HeaderChar"/>
    <w:uiPriority w:val="99"/>
    <w:unhideWhenUsed/>
    <w:rsid w:val="00CB4D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4D43"/>
  </w:style>
  <w:style w:type="paragraph" w:styleId="Footer">
    <w:name w:val="footer"/>
    <w:basedOn w:val="Normal"/>
    <w:link w:val="FooterChar"/>
    <w:uiPriority w:val="99"/>
    <w:unhideWhenUsed/>
    <w:rsid w:val="00CB4D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4D43"/>
  </w:style>
  <w:style w:type="paragraph" w:styleId="CommentSubject">
    <w:name w:val="annotation subject"/>
    <w:basedOn w:val="CommentText"/>
    <w:next w:val="CommentText"/>
    <w:link w:val="CommentSubjectChar"/>
    <w:uiPriority w:val="99"/>
    <w:semiHidden/>
    <w:unhideWhenUsed/>
    <w:rsid w:val="00907205"/>
    <w:rPr>
      <w:b/>
      <w:bCs/>
    </w:rPr>
  </w:style>
  <w:style w:type="character" w:customStyle="1" w:styleId="CommentSubjectChar">
    <w:name w:val="Comment Subject Char"/>
    <w:link w:val="CommentSubject"/>
    <w:uiPriority w:val="99"/>
    <w:semiHidden/>
    <w:rsid w:val="00907205"/>
    <w:rPr>
      <w:b/>
      <w:bCs/>
      <w:sz w:val="20"/>
      <w:szCs w:val="20"/>
      <w:lang w:val="fr-FR" w:eastAsia="fr-FR"/>
    </w:rPr>
  </w:style>
  <w:style w:type="paragraph" w:styleId="Revision">
    <w:name w:val="Revision"/>
    <w:hidden/>
    <w:uiPriority w:val="99"/>
    <w:semiHidden/>
    <w:rsid w:val="008A1746"/>
    <w:rPr>
      <w:sz w:val="22"/>
      <w:szCs w:val="22"/>
      <w:lang w:val="fr-FR" w:eastAsia="fr-FR"/>
    </w:rPr>
  </w:style>
  <w:style w:type="paragraph" w:customStyle="1" w:styleId="NumPar1">
    <w:name w:val="NumPar 1"/>
    <w:basedOn w:val="Normal"/>
    <w:next w:val="Normal"/>
    <w:rsid w:val="007C1154"/>
    <w:pPr>
      <w:numPr>
        <w:numId w:val="2"/>
      </w:numPr>
      <w:spacing w:before="120" w:after="120" w:line="240" w:lineRule="auto"/>
      <w:jc w:val="both"/>
    </w:pPr>
    <w:rPr>
      <w:rFonts w:ascii="Times New Roman" w:eastAsia="Times New Roman" w:hAnsi="Times New Roman"/>
      <w:snapToGrid w:val="0"/>
      <w:sz w:val="24"/>
      <w:szCs w:val="24"/>
    </w:rPr>
  </w:style>
  <w:style w:type="paragraph" w:customStyle="1" w:styleId="NumPar2">
    <w:name w:val="NumPar 2"/>
    <w:basedOn w:val="Normal"/>
    <w:next w:val="Normal"/>
    <w:rsid w:val="007C1154"/>
    <w:pPr>
      <w:numPr>
        <w:ilvl w:val="1"/>
        <w:numId w:val="2"/>
      </w:numPr>
      <w:spacing w:before="120" w:after="120" w:line="240" w:lineRule="auto"/>
      <w:jc w:val="both"/>
    </w:pPr>
    <w:rPr>
      <w:rFonts w:ascii="Times New Roman" w:eastAsia="Times New Roman" w:hAnsi="Times New Roman"/>
      <w:snapToGrid w:val="0"/>
      <w:sz w:val="24"/>
      <w:szCs w:val="24"/>
    </w:rPr>
  </w:style>
  <w:style w:type="paragraph" w:customStyle="1" w:styleId="NumPar3">
    <w:name w:val="NumPar 3"/>
    <w:basedOn w:val="Normal"/>
    <w:next w:val="Normal"/>
    <w:rsid w:val="007C1154"/>
    <w:pPr>
      <w:numPr>
        <w:ilvl w:val="2"/>
        <w:numId w:val="2"/>
      </w:numPr>
      <w:spacing w:before="120" w:after="120" w:line="240" w:lineRule="auto"/>
      <w:jc w:val="both"/>
    </w:pPr>
    <w:rPr>
      <w:rFonts w:ascii="Times New Roman" w:eastAsia="Times New Roman" w:hAnsi="Times New Roman"/>
      <w:snapToGrid w:val="0"/>
      <w:sz w:val="24"/>
      <w:szCs w:val="24"/>
    </w:rPr>
  </w:style>
  <w:style w:type="paragraph" w:customStyle="1" w:styleId="NumPar4">
    <w:name w:val="NumPar 4"/>
    <w:basedOn w:val="Normal"/>
    <w:next w:val="Normal"/>
    <w:rsid w:val="007C1154"/>
    <w:pPr>
      <w:numPr>
        <w:ilvl w:val="3"/>
        <w:numId w:val="2"/>
      </w:numPr>
      <w:spacing w:before="120" w:after="120" w:line="240" w:lineRule="auto"/>
      <w:jc w:val="both"/>
    </w:pPr>
    <w:rPr>
      <w:rFonts w:ascii="Times New Roman" w:eastAsia="Times New Roman" w:hAnsi="Times New Roman"/>
      <w:snapToGrid w:val="0"/>
      <w:sz w:val="24"/>
      <w:szCs w:val="24"/>
    </w:rPr>
  </w:style>
  <w:style w:type="character" w:styleId="Emphasis">
    <w:name w:val="Emphasis"/>
    <w:uiPriority w:val="20"/>
    <w:qFormat/>
    <w:rsid w:val="00B2583B"/>
    <w:rPr>
      <w:i/>
      <w:iCs/>
      <w:lang w:val="fr-FR" w:eastAsia="fr-FR"/>
    </w:rPr>
  </w:style>
  <w:style w:type="table" w:customStyle="1" w:styleId="TableGrid1">
    <w:name w:val="Table Grid1"/>
    <w:basedOn w:val="TableNormal"/>
    <w:next w:val="TableGrid"/>
    <w:uiPriority w:val="39"/>
    <w:rsid w:val="005D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06751"/>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ram.gov.l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lvaf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10CDE-1617-490B-A70B-69390D2B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2282</Words>
  <Characters>13008</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MK noteikumu projekts "Kārtība atkritumu statusa piemērošanas izbeigšanai gumijas materiāliem, kas iegūti no nolietotām riepām"</vt:lpstr>
      <vt:lpstr>MK noteikumu projekts "Kārtība atkritumu statusa piemērošanas izbeigšanai gumijas materiāliem, kas iegūti no nolietotām riepām"</vt:lpstr>
    </vt:vector>
  </TitlesOfParts>
  <Company>VARAM</Company>
  <LinksUpToDate>false</LinksUpToDate>
  <CharactersWithSpaces>15260</CharactersWithSpaces>
  <SharedDoc>false</SharedDoc>
  <HLinks>
    <vt:vector size="18" baseType="variant">
      <vt:variant>
        <vt:i4>1048649</vt:i4>
      </vt:variant>
      <vt:variant>
        <vt:i4>3</vt:i4>
      </vt:variant>
      <vt:variant>
        <vt:i4>0</vt:i4>
      </vt:variant>
      <vt:variant>
        <vt:i4>5</vt:i4>
      </vt:variant>
      <vt:variant>
        <vt:lpwstr>http://www.varam.gov.lv/</vt:lpwstr>
      </vt:variant>
      <vt:variant>
        <vt:lpwstr/>
      </vt:variant>
      <vt:variant>
        <vt:i4>7864378</vt:i4>
      </vt:variant>
      <vt:variant>
        <vt:i4>0</vt:i4>
      </vt:variant>
      <vt:variant>
        <vt:i4>0</vt:i4>
      </vt:variant>
      <vt:variant>
        <vt:i4>5</vt:i4>
      </vt:variant>
      <vt:variant>
        <vt:lpwstr>http://www.csb.gov.lv/</vt:lpwstr>
      </vt:variant>
      <vt:variant>
        <vt:lpwstr/>
      </vt:variant>
      <vt:variant>
        <vt:i4>1376345</vt:i4>
      </vt:variant>
      <vt:variant>
        <vt:i4>0</vt:i4>
      </vt:variant>
      <vt:variant>
        <vt:i4>0</vt:i4>
      </vt:variant>
      <vt:variant>
        <vt:i4>5</vt:i4>
      </vt:variant>
      <vt:variant>
        <vt:lpwstr>http://www.lvafa.gov.lv/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cp:keywords/>
  <dc:description>67026487, natalija.slaidina@varam.gov.lv, 67026515, ilze.donina@varam.gov.lv</dc:description>
  <cp:lastModifiedBy>Liu, Lei</cp:lastModifiedBy>
  <cp:revision>3</cp:revision>
  <cp:lastPrinted>2018-03-14T04:38:00Z</cp:lastPrinted>
  <dcterms:created xsi:type="dcterms:W3CDTF">2018-05-24T13:38:00Z</dcterms:created>
  <dcterms:modified xsi:type="dcterms:W3CDTF">2018-05-24T13:38:00Z</dcterms:modified>
</cp:coreProperties>
</file>