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293F" w14:textId="77777777" w:rsidR="0055267E" w:rsidRPr="004445F4" w:rsidRDefault="0055267E">
      <w:pPr>
        <w:jc w:val="right"/>
        <w:rPr>
          <w:sz w:val="16"/>
          <w:szCs w:val="16"/>
        </w:rPr>
      </w:pPr>
    </w:p>
    <w:p w14:paraId="69FE2940" w14:textId="77777777" w:rsidR="0055267E" w:rsidRPr="004445F4" w:rsidRDefault="0055267E">
      <w:pPr>
        <w:jc w:val="both"/>
      </w:pPr>
    </w:p>
    <w:tbl>
      <w:tblPr>
        <w:tblW w:w="5000" w:type="pct"/>
        <w:tblCellMar>
          <w:left w:w="70" w:type="dxa"/>
          <w:right w:w="70" w:type="dxa"/>
        </w:tblCellMar>
        <w:tblLook w:val="0000" w:firstRow="0" w:lastRow="0" w:firstColumn="0" w:lastColumn="0" w:noHBand="0" w:noVBand="0"/>
      </w:tblPr>
      <w:tblGrid>
        <w:gridCol w:w="9072"/>
      </w:tblGrid>
      <w:tr w:rsidR="006D6750" w:rsidRPr="006D6750" w14:paraId="4C7CC5CE" w14:textId="77777777" w:rsidTr="006D6750">
        <w:tc>
          <w:tcPr>
            <w:tcW w:w="5000" w:type="pct"/>
          </w:tcPr>
          <w:p w14:paraId="7DB3FCFC" w14:textId="0F45AB35" w:rsidR="006D6750" w:rsidRPr="00565E6D" w:rsidRDefault="006D6750" w:rsidP="00E82EA4">
            <w:pPr>
              <w:jc w:val="both"/>
              <w:rPr>
                <w:rFonts w:asciiTheme="minorHAnsi" w:hAnsiTheme="minorHAnsi" w:cstheme="minorHAnsi"/>
                <w:b/>
                <w:bCs/>
              </w:rPr>
            </w:pPr>
            <w:r>
              <w:rPr>
                <w:rFonts w:asciiTheme="minorHAnsi" w:hAnsiTheme="minorHAnsi"/>
                <w:b/>
              </w:rPr>
              <w:t>Udkast til kongelig anordning om fastsættelse af procedurerne for den belgiske spillekommissions høring af Centrale des crédits aux particuliers (centralregister for lån til private) og om ændring af bestemmelserne om begrænsning af onlinehasardspil.</w:t>
            </w:r>
          </w:p>
          <w:p w14:paraId="1434920F" w14:textId="6F0714C0" w:rsidR="006D6750" w:rsidRPr="00565E6D" w:rsidRDefault="006D6750" w:rsidP="00E82EA4">
            <w:pPr>
              <w:jc w:val="both"/>
              <w:rPr>
                <w:rFonts w:asciiTheme="minorHAnsi" w:hAnsiTheme="minorHAnsi" w:cstheme="minorHAnsi"/>
                <w:b/>
                <w:bCs/>
                <w:lang w:val="fr-FR"/>
              </w:rPr>
            </w:pPr>
          </w:p>
        </w:tc>
      </w:tr>
      <w:tr w:rsidR="006D6750" w:rsidRPr="006D6750" w14:paraId="69FE295D" w14:textId="77777777" w:rsidTr="006D6750">
        <w:tc>
          <w:tcPr>
            <w:tcW w:w="5000" w:type="pct"/>
          </w:tcPr>
          <w:p w14:paraId="69FE2955" w14:textId="77777777" w:rsidR="006D6750" w:rsidRPr="004445F4" w:rsidRDefault="006D6750" w:rsidP="009E2456">
            <w:pPr>
              <w:jc w:val="both"/>
              <w:rPr>
                <w:rFonts w:asciiTheme="minorHAnsi" w:hAnsiTheme="minorHAnsi" w:cstheme="minorHAnsi"/>
                <w:b/>
                <w:bCs/>
              </w:rPr>
            </w:pPr>
            <w:r>
              <w:rPr>
                <w:rFonts w:asciiTheme="minorHAnsi" w:hAnsiTheme="minorHAnsi"/>
                <w:b/>
              </w:rPr>
              <w:t>Philippe, konge af belgierne,</w:t>
            </w:r>
          </w:p>
          <w:p w14:paraId="69FE2956" w14:textId="77777777" w:rsidR="006D6750" w:rsidRPr="004445F4" w:rsidRDefault="006D6750" w:rsidP="009E2456">
            <w:pPr>
              <w:jc w:val="both"/>
              <w:rPr>
                <w:rFonts w:asciiTheme="minorHAnsi" w:hAnsiTheme="minorHAnsi" w:cstheme="minorHAnsi"/>
                <w:b/>
                <w:bCs/>
                <w:lang w:val="fr-FR"/>
              </w:rPr>
            </w:pPr>
          </w:p>
          <w:p w14:paraId="5E422DD3" w14:textId="77777777" w:rsidR="006D6750" w:rsidRDefault="006D6750" w:rsidP="009E2456">
            <w:pPr>
              <w:jc w:val="both"/>
              <w:rPr>
                <w:rFonts w:asciiTheme="minorHAnsi" w:hAnsiTheme="minorHAnsi"/>
                <w:b/>
              </w:rPr>
            </w:pPr>
            <w:r>
              <w:rPr>
                <w:rFonts w:asciiTheme="minorHAnsi" w:hAnsiTheme="minorHAnsi"/>
                <w:b/>
              </w:rPr>
              <w:t>Til alle de tilstedeværende og til dem, der følger efter, vær hilset.</w:t>
            </w:r>
          </w:p>
          <w:p w14:paraId="69FE2957" w14:textId="77777777" w:rsidR="005E0B80" w:rsidRPr="004445F4" w:rsidRDefault="005E0B80" w:rsidP="009E2456">
            <w:pPr>
              <w:jc w:val="both"/>
              <w:rPr>
                <w:rFonts w:asciiTheme="minorHAnsi" w:hAnsiTheme="minorHAnsi" w:cstheme="minorHAnsi"/>
                <w:b/>
                <w:bCs/>
                <w:lang w:val="fr-FR"/>
              </w:rPr>
            </w:pPr>
          </w:p>
        </w:tc>
      </w:tr>
      <w:tr w:rsidR="006D6750" w:rsidRPr="006D6750" w14:paraId="69FE2963" w14:textId="77777777" w:rsidTr="006D6750">
        <w:tc>
          <w:tcPr>
            <w:tcW w:w="5000" w:type="pct"/>
            <w:shd w:val="clear" w:color="auto" w:fill="auto"/>
          </w:tcPr>
          <w:p w14:paraId="50BA5695" w14:textId="121B1587" w:rsidR="006D6750" w:rsidRPr="004445F4" w:rsidRDefault="006D6750" w:rsidP="009E2456">
            <w:pPr>
              <w:autoSpaceDE w:val="0"/>
              <w:autoSpaceDN w:val="0"/>
              <w:adjustRightInd w:val="0"/>
              <w:jc w:val="both"/>
              <w:rPr>
                <w:rFonts w:asciiTheme="minorHAnsi" w:hAnsiTheme="minorHAnsi" w:cstheme="minorHAnsi"/>
              </w:rPr>
            </w:pPr>
            <w:r>
              <w:rPr>
                <w:rFonts w:asciiTheme="minorHAnsi" w:hAnsiTheme="minorHAnsi"/>
              </w:rPr>
              <w:t>Under henvisning til artikel 55/1 i lov af 7. maj 1999 om hasardspil, væddemål, spilleetablissementer og beskyttelse af spillere, der blev indsat ved lov af 7. maj 2019</w:t>
            </w:r>
          </w:p>
          <w:p w14:paraId="69FE295F" w14:textId="77777777" w:rsidR="006D6750" w:rsidRPr="004445F4" w:rsidRDefault="006D6750" w:rsidP="009E2456">
            <w:pPr>
              <w:jc w:val="both"/>
              <w:rPr>
                <w:rFonts w:asciiTheme="minorHAnsi" w:hAnsiTheme="minorHAnsi" w:cstheme="minorHAnsi"/>
                <w:lang w:val="fr-FR"/>
              </w:rPr>
            </w:pPr>
          </w:p>
        </w:tc>
      </w:tr>
      <w:tr w:rsidR="006D6750" w:rsidRPr="006D6750" w14:paraId="69FE2968" w14:textId="77777777" w:rsidTr="006D6750">
        <w:tc>
          <w:tcPr>
            <w:tcW w:w="5000" w:type="pct"/>
            <w:shd w:val="clear" w:color="auto" w:fill="auto"/>
          </w:tcPr>
          <w:p w14:paraId="1E56E25F" w14:textId="54FA8C9F" w:rsidR="006D6750" w:rsidRPr="004445F4" w:rsidRDefault="006D6750" w:rsidP="00CB0098">
            <w:pPr>
              <w:jc w:val="both"/>
              <w:rPr>
                <w:rFonts w:asciiTheme="minorHAnsi" w:hAnsiTheme="minorHAnsi" w:cstheme="minorHAnsi"/>
              </w:rPr>
            </w:pPr>
            <w:r>
              <w:rPr>
                <w:rFonts w:asciiTheme="minorHAnsi" w:hAnsiTheme="minorHAnsi"/>
              </w:rPr>
              <w:t>under henvisning til kongelig anordning af 25. oktober 2018 om procedurerne for afholdelse af hasardspil og væddemål ved hjælp af informationssamfundets tjenester</w:t>
            </w:r>
          </w:p>
          <w:p w14:paraId="69FE2964" w14:textId="50F69249" w:rsidR="006D6750" w:rsidRPr="004445F4" w:rsidRDefault="006D6750" w:rsidP="00CB0098">
            <w:pPr>
              <w:jc w:val="both"/>
              <w:rPr>
                <w:rFonts w:asciiTheme="minorHAnsi" w:hAnsiTheme="minorHAnsi" w:cstheme="minorHAnsi"/>
                <w:lang w:val="fr-FR"/>
              </w:rPr>
            </w:pPr>
          </w:p>
        </w:tc>
      </w:tr>
      <w:tr w:rsidR="006D6750" w:rsidRPr="006D6750" w14:paraId="69FE296D" w14:textId="77777777" w:rsidTr="006D6750">
        <w:tc>
          <w:tcPr>
            <w:tcW w:w="5000" w:type="pct"/>
            <w:shd w:val="clear" w:color="auto" w:fill="auto"/>
          </w:tcPr>
          <w:p w14:paraId="0459D751" w14:textId="211E9380" w:rsidR="006D6750" w:rsidRPr="004445F4" w:rsidRDefault="006D6750" w:rsidP="00CB0098">
            <w:pPr>
              <w:jc w:val="both"/>
              <w:rPr>
                <w:rFonts w:asciiTheme="minorHAnsi" w:hAnsiTheme="minorHAnsi" w:cstheme="minorHAnsi"/>
              </w:rPr>
            </w:pPr>
            <w:r>
              <w:rPr>
                <w:rFonts w:asciiTheme="minorHAnsi" w:hAnsiTheme="minorHAnsi"/>
              </w:rPr>
              <w:t>under henvisning til udtalelse af 20. januar 2021 fra spillekommissionen</w:t>
            </w:r>
          </w:p>
          <w:p w14:paraId="69FE2969" w14:textId="0CDC8EAA" w:rsidR="006D6750" w:rsidRPr="004445F4" w:rsidRDefault="006D6750" w:rsidP="00CB0098">
            <w:pPr>
              <w:jc w:val="both"/>
              <w:rPr>
                <w:rFonts w:asciiTheme="minorHAnsi" w:hAnsiTheme="minorHAnsi" w:cstheme="minorHAnsi"/>
                <w:lang w:val="fr-FR"/>
              </w:rPr>
            </w:pPr>
          </w:p>
        </w:tc>
      </w:tr>
      <w:tr w:rsidR="006D6750" w:rsidRPr="006D6750" w14:paraId="69FE2973" w14:textId="77777777" w:rsidTr="006D6750">
        <w:tc>
          <w:tcPr>
            <w:tcW w:w="5000" w:type="pct"/>
            <w:shd w:val="clear" w:color="auto" w:fill="auto"/>
          </w:tcPr>
          <w:p w14:paraId="4CECFDAE" w14:textId="0C7917FF" w:rsidR="006D6750" w:rsidRPr="004445F4" w:rsidRDefault="006D6750" w:rsidP="00CB0098">
            <w:pPr>
              <w:jc w:val="both"/>
              <w:rPr>
                <w:rFonts w:asciiTheme="minorHAnsi" w:hAnsiTheme="minorHAnsi" w:cstheme="minorHAnsi"/>
              </w:rPr>
            </w:pPr>
            <w:r>
              <w:rPr>
                <w:rFonts w:asciiTheme="minorHAnsi" w:hAnsiTheme="minorHAnsi"/>
              </w:rPr>
              <w:t>under henvisning til finansinspektørens udtalelse af 27. april 2021 og 5. juli 2021</w:t>
            </w:r>
          </w:p>
          <w:p w14:paraId="69FE296F" w14:textId="77777777" w:rsidR="006D6750" w:rsidRPr="004445F4" w:rsidRDefault="006D6750" w:rsidP="00CB0098">
            <w:pPr>
              <w:jc w:val="both"/>
              <w:rPr>
                <w:rFonts w:asciiTheme="minorHAnsi" w:hAnsiTheme="minorHAnsi" w:cstheme="minorHAnsi"/>
                <w:lang w:val="fr-FR"/>
              </w:rPr>
            </w:pPr>
          </w:p>
        </w:tc>
      </w:tr>
      <w:tr w:rsidR="006D6750" w:rsidRPr="006D6750" w14:paraId="229FBB1A" w14:textId="77777777" w:rsidTr="006D6750">
        <w:tc>
          <w:tcPr>
            <w:tcW w:w="5000" w:type="pct"/>
            <w:shd w:val="clear" w:color="auto" w:fill="auto"/>
          </w:tcPr>
          <w:p w14:paraId="63E510E4" w14:textId="6503FF16" w:rsidR="006D6750" w:rsidRPr="004445F4" w:rsidRDefault="006D6750" w:rsidP="00CB0098">
            <w:pPr>
              <w:jc w:val="both"/>
              <w:rPr>
                <w:rFonts w:asciiTheme="minorHAnsi" w:hAnsiTheme="minorHAnsi" w:cstheme="minorHAnsi"/>
              </w:rPr>
            </w:pPr>
            <w:r>
              <w:rPr>
                <w:rFonts w:asciiTheme="minorHAnsi" w:hAnsiTheme="minorHAnsi"/>
              </w:rPr>
              <w:t>under henvisning til aftalen fra statssekretæren for budgetspørgsmål, der blev udstedt den 11. maj 2021 og den 15. juli 2021</w:t>
            </w:r>
          </w:p>
          <w:p w14:paraId="36E7A5D9" w14:textId="7FEA8B0B" w:rsidR="006D6750" w:rsidRPr="004445F4" w:rsidRDefault="006D6750" w:rsidP="00CB0098">
            <w:pPr>
              <w:jc w:val="both"/>
              <w:rPr>
                <w:rFonts w:asciiTheme="minorHAnsi" w:hAnsiTheme="minorHAnsi" w:cstheme="minorHAnsi"/>
                <w:lang w:val="fr-BE"/>
              </w:rPr>
            </w:pPr>
          </w:p>
        </w:tc>
      </w:tr>
      <w:tr w:rsidR="006D6750" w:rsidRPr="006D6750" w14:paraId="68E4DBC9" w14:textId="77777777" w:rsidTr="006D6750">
        <w:tc>
          <w:tcPr>
            <w:tcW w:w="5000" w:type="pct"/>
            <w:shd w:val="clear" w:color="auto" w:fill="auto"/>
          </w:tcPr>
          <w:p w14:paraId="2342D0E1" w14:textId="161C102C" w:rsidR="006D6750" w:rsidRPr="004445F4" w:rsidRDefault="006D6750" w:rsidP="00573EE3">
            <w:pPr>
              <w:pStyle w:val="BodyText"/>
              <w:rPr>
                <w:rFonts w:asciiTheme="minorHAnsi" w:hAnsiTheme="minorHAnsi" w:cstheme="minorHAnsi"/>
                <w:bCs/>
              </w:rPr>
            </w:pPr>
            <w:r>
              <w:rPr>
                <w:rFonts w:asciiTheme="minorHAnsi" w:hAnsiTheme="minorHAnsi"/>
              </w:rPr>
              <w:t>under henvisning til databeskyttelsesmyndighedens udtalelse nr. 177/2021 af 4. oktober 2021</w:t>
            </w:r>
          </w:p>
          <w:p w14:paraId="0765C876" w14:textId="77777777" w:rsidR="006D6750" w:rsidRPr="004445F4" w:rsidRDefault="006D6750" w:rsidP="00573EE3">
            <w:pPr>
              <w:jc w:val="both"/>
              <w:rPr>
                <w:rFonts w:asciiTheme="minorHAnsi" w:hAnsiTheme="minorHAnsi" w:cstheme="minorHAnsi"/>
                <w:lang w:val="fr-BE"/>
              </w:rPr>
            </w:pPr>
          </w:p>
        </w:tc>
      </w:tr>
      <w:tr w:rsidR="006D6750" w:rsidRPr="006D6750" w14:paraId="69FE2979" w14:textId="77777777" w:rsidTr="006D6750">
        <w:tc>
          <w:tcPr>
            <w:tcW w:w="5000" w:type="pct"/>
          </w:tcPr>
          <w:p w14:paraId="69FE2974" w14:textId="77777777" w:rsidR="006D6750" w:rsidRPr="004445F4" w:rsidRDefault="006D6750" w:rsidP="00573EE3">
            <w:pPr>
              <w:pStyle w:val="BodyText"/>
              <w:rPr>
                <w:rFonts w:asciiTheme="minorHAnsi" w:hAnsiTheme="minorHAnsi" w:cstheme="minorHAnsi"/>
              </w:rPr>
            </w:pPr>
            <w:r>
              <w:rPr>
                <w:rFonts w:asciiTheme="minorHAnsi" w:hAnsiTheme="minorHAnsi"/>
              </w:rPr>
              <w:t>under henvisning til konsekvensanalysen af forordningen, der er foretaget i overensstemmelse med artikel 6 og 7 i loven af 15. december 2013, og som indeholder forskellige bestemmelser om administrativ forenkling</w:t>
            </w:r>
          </w:p>
          <w:p w14:paraId="69FE2975" w14:textId="73C6F6CE" w:rsidR="006D6750" w:rsidRPr="004445F4" w:rsidRDefault="006D6750" w:rsidP="00573EE3">
            <w:pPr>
              <w:jc w:val="both"/>
              <w:rPr>
                <w:rFonts w:asciiTheme="minorHAnsi" w:hAnsiTheme="minorHAnsi" w:cstheme="minorHAnsi"/>
                <w:lang w:val="fr-FR"/>
              </w:rPr>
            </w:pPr>
          </w:p>
        </w:tc>
      </w:tr>
      <w:tr w:rsidR="006D6750" w:rsidRPr="006D6750" w14:paraId="69FE297D" w14:textId="77777777" w:rsidTr="006D6750">
        <w:tc>
          <w:tcPr>
            <w:tcW w:w="5000" w:type="pct"/>
          </w:tcPr>
          <w:p w14:paraId="5016ABDE" w14:textId="77777777" w:rsidR="006D6750" w:rsidRPr="004445F4" w:rsidRDefault="006D6750" w:rsidP="00573EE3">
            <w:pPr>
              <w:jc w:val="both"/>
              <w:rPr>
                <w:rFonts w:asciiTheme="minorHAnsi" w:hAnsiTheme="minorHAnsi" w:cstheme="minorHAnsi"/>
              </w:rPr>
            </w:pPr>
            <w:r>
              <w:rPr>
                <w:rFonts w:asciiTheme="minorHAnsi" w:hAnsiTheme="minorHAnsi"/>
              </w:rPr>
              <w:t xml:space="preserve">under henvisning til udtalelse XXX fra statsrådet afgivet den xxxx i henhold til artikel 84, stk. 1, nr. 1, punkt 2, i lov om statsrådet, konsolideret den 12. januar 1973 </w:t>
            </w:r>
          </w:p>
          <w:p w14:paraId="10CC4D60" w14:textId="77777777" w:rsidR="006D6750" w:rsidRPr="004445F4" w:rsidRDefault="006D6750" w:rsidP="00573EE3">
            <w:pPr>
              <w:jc w:val="both"/>
              <w:rPr>
                <w:rFonts w:asciiTheme="minorHAnsi" w:hAnsiTheme="minorHAnsi" w:cstheme="minorHAnsi"/>
                <w:lang w:val="fr-FR"/>
              </w:rPr>
            </w:pPr>
          </w:p>
          <w:p w14:paraId="69FE297A" w14:textId="06CEE2C1" w:rsidR="006D6750" w:rsidRPr="004445F4" w:rsidRDefault="006D6750" w:rsidP="00573EE3">
            <w:pPr>
              <w:jc w:val="both"/>
              <w:rPr>
                <w:rFonts w:asciiTheme="minorHAnsi" w:hAnsiTheme="minorHAnsi" w:cstheme="minorHAnsi"/>
                <w:lang w:val="fr-FR"/>
              </w:rPr>
            </w:pPr>
          </w:p>
        </w:tc>
      </w:tr>
      <w:tr w:rsidR="006D6750" w:rsidRPr="006D6750" w14:paraId="69FE2981" w14:textId="77777777" w:rsidTr="006D6750">
        <w:tc>
          <w:tcPr>
            <w:tcW w:w="5000" w:type="pct"/>
          </w:tcPr>
          <w:p w14:paraId="69FE297E" w14:textId="77777777" w:rsidR="006D6750" w:rsidRPr="006D6750" w:rsidRDefault="006D6750" w:rsidP="00573EE3">
            <w:pPr>
              <w:jc w:val="both"/>
              <w:rPr>
                <w:rFonts w:asciiTheme="minorHAnsi" w:hAnsiTheme="minorHAnsi" w:cstheme="minorHAnsi"/>
                <w:lang w:val="fr-BE"/>
              </w:rPr>
            </w:pPr>
          </w:p>
        </w:tc>
      </w:tr>
      <w:tr w:rsidR="006D6750" w:rsidRPr="006D6750" w14:paraId="69FE2986" w14:textId="77777777" w:rsidTr="006D6750">
        <w:tc>
          <w:tcPr>
            <w:tcW w:w="5000" w:type="pct"/>
          </w:tcPr>
          <w:p w14:paraId="2F3A7E78" w14:textId="77777777" w:rsidR="006D6750" w:rsidRDefault="006D6750" w:rsidP="00573EE3">
            <w:pPr>
              <w:jc w:val="both"/>
              <w:rPr>
                <w:rFonts w:asciiTheme="minorHAnsi" w:hAnsiTheme="minorHAnsi"/>
              </w:rPr>
            </w:pPr>
            <w:r>
              <w:rPr>
                <w:rFonts w:asciiTheme="minorHAnsi" w:hAnsiTheme="minorHAnsi"/>
              </w:rPr>
              <w:t>på forslag af økonomiministeren, finansministeren, sundhedsministeren, justitsministeren, indenrigsministeren og statssekretæren for det nationale lotteri og ifølge de ministre, der har drøftet dem i rådet</w:t>
            </w:r>
          </w:p>
          <w:p w14:paraId="69FE2982" w14:textId="4FFFC71A" w:rsidR="008E3CEE" w:rsidRPr="004445F4" w:rsidRDefault="008E3CEE" w:rsidP="00573EE3">
            <w:pPr>
              <w:jc w:val="both"/>
              <w:rPr>
                <w:rFonts w:asciiTheme="minorHAnsi" w:hAnsiTheme="minorHAnsi" w:cstheme="minorHAnsi"/>
                <w:bCs/>
                <w:lang w:val="fr-FR"/>
              </w:rPr>
            </w:pPr>
          </w:p>
        </w:tc>
      </w:tr>
      <w:tr w:rsidR="006D6750" w:rsidRPr="006D6750" w14:paraId="69FE298C" w14:textId="77777777" w:rsidTr="006D6750">
        <w:tc>
          <w:tcPr>
            <w:tcW w:w="5000" w:type="pct"/>
          </w:tcPr>
          <w:p w14:paraId="69FE2987" w14:textId="77777777" w:rsidR="006D6750" w:rsidRPr="004445F4" w:rsidRDefault="006D6750" w:rsidP="00573EE3">
            <w:pPr>
              <w:jc w:val="both"/>
              <w:rPr>
                <w:rFonts w:asciiTheme="minorHAnsi" w:hAnsiTheme="minorHAnsi" w:cstheme="minorHAnsi"/>
                <w:b/>
                <w:bCs/>
              </w:rPr>
            </w:pPr>
            <w:r>
              <w:rPr>
                <w:rFonts w:asciiTheme="minorHAnsi" w:hAnsiTheme="minorHAnsi"/>
                <w:b/>
              </w:rPr>
              <w:t>VEDTAGES FØLGENDE:</w:t>
            </w:r>
          </w:p>
          <w:p w14:paraId="69FE2988" w14:textId="77777777" w:rsidR="006D6750" w:rsidRPr="004445F4" w:rsidRDefault="006D6750" w:rsidP="00573EE3">
            <w:pPr>
              <w:jc w:val="both"/>
              <w:rPr>
                <w:rFonts w:asciiTheme="minorHAnsi" w:hAnsiTheme="minorHAnsi" w:cstheme="minorHAnsi"/>
                <w:lang w:val="fr-FR"/>
              </w:rPr>
            </w:pPr>
          </w:p>
        </w:tc>
      </w:tr>
      <w:tr w:rsidR="006D6750" w:rsidRPr="006D6750" w14:paraId="69FE299E" w14:textId="77777777" w:rsidTr="006D6750">
        <w:tc>
          <w:tcPr>
            <w:tcW w:w="5000" w:type="pct"/>
          </w:tcPr>
          <w:p w14:paraId="3FB29413" w14:textId="2C05D336" w:rsidR="006D6750" w:rsidRPr="004445F4" w:rsidRDefault="006D6750" w:rsidP="00BC48AD">
            <w:pPr>
              <w:jc w:val="both"/>
              <w:rPr>
                <w:rFonts w:asciiTheme="minorHAnsi" w:hAnsiTheme="minorHAnsi" w:cstheme="minorHAnsi"/>
                <w:b/>
              </w:rPr>
            </w:pPr>
            <w:r>
              <w:rPr>
                <w:rFonts w:asciiTheme="minorHAnsi" w:hAnsiTheme="minorHAnsi"/>
                <w:b/>
              </w:rPr>
              <w:t>Kapitel 1 — Procedurer for høring af spillekommissionen i centralregisteret for lån til private i Belgiens nationalbank</w:t>
            </w:r>
          </w:p>
          <w:p w14:paraId="69FE299A" w14:textId="144F4263" w:rsidR="006D6750" w:rsidRPr="004445F4" w:rsidRDefault="006D6750" w:rsidP="00BC48AD">
            <w:pPr>
              <w:jc w:val="both"/>
              <w:rPr>
                <w:rFonts w:asciiTheme="minorHAnsi" w:hAnsiTheme="minorHAnsi" w:cstheme="minorHAnsi"/>
                <w:b/>
                <w:lang w:val="fr-BE"/>
              </w:rPr>
            </w:pPr>
          </w:p>
        </w:tc>
      </w:tr>
      <w:tr w:rsidR="006D6750" w:rsidRPr="004445F4" w14:paraId="59B4219A" w14:textId="77777777" w:rsidTr="006D6750">
        <w:tc>
          <w:tcPr>
            <w:tcW w:w="5000" w:type="pct"/>
          </w:tcPr>
          <w:p w14:paraId="66374E72" w14:textId="77777777" w:rsidR="006D6750" w:rsidRPr="004445F4" w:rsidRDefault="006D6750" w:rsidP="00573EE3">
            <w:pPr>
              <w:pStyle w:val="Heading5"/>
              <w:rPr>
                <w:rFonts w:asciiTheme="minorHAnsi" w:hAnsiTheme="minorHAnsi" w:cstheme="minorHAnsi"/>
              </w:rPr>
            </w:pPr>
            <w:r>
              <w:rPr>
                <w:rFonts w:asciiTheme="minorHAnsi" w:hAnsiTheme="minorHAnsi"/>
              </w:rPr>
              <w:t>Artikel 1</w:t>
            </w:r>
          </w:p>
          <w:p w14:paraId="72C95A28" w14:textId="77777777" w:rsidR="006D6750" w:rsidRPr="004445F4" w:rsidRDefault="006D6750" w:rsidP="00573EE3">
            <w:pPr>
              <w:pStyle w:val="Heading5"/>
              <w:rPr>
                <w:rFonts w:asciiTheme="minorHAnsi" w:hAnsiTheme="minorHAnsi" w:cstheme="minorHAnsi"/>
                <w:lang w:val="fr-FR"/>
              </w:rPr>
            </w:pPr>
          </w:p>
        </w:tc>
      </w:tr>
      <w:tr w:rsidR="006D6750" w:rsidRPr="006D6750" w14:paraId="410D1932" w14:textId="77777777" w:rsidTr="006D6750">
        <w:tc>
          <w:tcPr>
            <w:tcW w:w="5000" w:type="pct"/>
          </w:tcPr>
          <w:p w14:paraId="3AACEF6A" w14:textId="15C45F00" w:rsidR="006D6750" w:rsidRPr="00565E6D" w:rsidRDefault="006D6750" w:rsidP="00D31BCD">
            <w:pPr>
              <w:jc w:val="both"/>
              <w:rPr>
                <w:rFonts w:asciiTheme="minorHAnsi" w:hAnsiTheme="minorHAnsi" w:cstheme="minorHAnsi"/>
              </w:rPr>
            </w:pPr>
            <w:r>
              <w:rPr>
                <w:rFonts w:asciiTheme="minorHAnsi" w:hAnsiTheme="minorHAnsi"/>
              </w:rPr>
              <w:t xml:space="preserve">Spillekommissionens høring af Belgiens nationalbanks centralregister for lån til private er begrundet i de formål, der er omhandlet i artikel 6, stk. 1, i kongelig anordning af 25. oktober </w:t>
            </w:r>
            <w:r>
              <w:rPr>
                <w:rFonts w:asciiTheme="minorHAnsi" w:hAnsiTheme="minorHAnsi"/>
              </w:rPr>
              <w:lastRenderedPageBreak/>
              <w:t>2018 om procedurerne for afholdelse af hasardspil og væddemål ved hjælp af informationssamfundets tjenester.</w:t>
            </w:r>
          </w:p>
        </w:tc>
      </w:tr>
      <w:tr w:rsidR="006D6750" w:rsidRPr="006D6750" w14:paraId="5E681C82" w14:textId="77777777" w:rsidTr="006D6750">
        <w:tc>
          <w:tcPr>
            <w:tcW w:w="5000" w:type="pct"/>
          </w:tcPr>
          <w:p w14:paraId="613AE267" w14:textId="220767F0" w:rsidR="006D6750" w:rsidRPr="006D6750" w:rsidRDefault="006D6750" w:rsidP="00573EE3">
            <w:pPr>
              <w:pStyle w:val="Heading5"/>
              <w:jc w:val="both"/>
              <w:rPr>
                <w:rFonts w:asciiTheme="minorHAnsi" w:hAnsiTheme="minorHAnsi" w:cstheme="minorHAnsi"/>
                <w:b w:val="0"/>
                <w:u w:val="none"/>
                <w:lang w:val="fr-BE"/>
              </w:rPr>
            </w:pPr>
          </w:p>
        </w:tc>
      </w:tr>
      <w:tr w:rsidR="006D6750" w:rsidRPr="004445F4" w14:paraId="74D3E781" w14:textId="77777777" w:rsidTr="006D6750">
        <w:tc>
          <w:tcPr>
            <w:tcW w:w="5000" w:type="pct"/>
          </w:tcPr>
          <w:p w14:paraId="6B060EBB" w14:textId="12C53141" w:rsidR="006D6750" w:rsidRPr="004445F4" w:rsidRDefault="006D6750" w:rsidP="00573EE3">
            <w:pPr>
              <w:jc w:val="both"/>
              <w:rPr>
                <w:rFonts w:asciiTheme="minorHAnsi" w:hAnsiTheme="minorHAnsi" w:cstheme="minorHAnsi"/>
                <w:b/>
                <w:u w:val="single"/>
              </w:rPr>
            </w:pPr>
            <w:r>
              <w:rPr>
                <w:rFonts w:asciiTheme="minorHAnsi" w:hAnsiTheme="minorHAnsi"/>
                <w:b/>
                <w:u w:val="single"/>
              </w:rPr>
              <w:t>Artikel 2</w:t>
            </w:r>
          </w:p>
          <w:p w14:paraId="2C115128" w14:textId="77777777" w:rsidR="006D6750" w:rsidRPr="004445F4" w:rsidRDefault="006D6750" w:rsidP="00573EE3">
            <w:pPr>
              <w:jc w:val="both"/>
              <w:rPr>
                <w:rFonts w:asciiTheme="minorHAnsi" w:hAnsiTheme="minorHAnsi" w:cstheme="minorHAnsi"/>
                <w:lang w:val="nl-BE"/>
              </w:rPr>
            </w:pPr>
          </w:p>
        </w:tc>
      </w:tr>
      <w:tr w:rsidR="006D6750" w:rsidRPr="006D6750" w14:paraId="5035965D" w14:textId="77777777" w:rsidTr="006D6750">
        <w:tc>
          <w:tcPr>
            <w:tcW w:w="5000" w:type="pct"/>
          </w:tcPr>
          <w:p w14:paraId="2A9C66C1" w14:textId="432D4B3A" w:rsidR="006D6750" w:rsidRPr="004445F4" w:rsidRDefault="006D6750" w:rsidP="00573EE3">
            <w:pPr>
              <w:jc w:val="both"/>
              <w:rPr>
                <w:rFonts w:asciiTheme="minorHAnsi" w:hAnsiTheme="minorHAnsi" w:cstheme="minorHAnsi"/>
              </w:rPr>
            </w:pPr>
            <w:r>
              <w:rPr>
                <w:rFonts w:asciiTheme="minorHAnsi" w:hAnsiTheme="minorHAnsi"/>
              </w:rPr>
              <w:t xml:space="preserve">Belgiens nationalbank fastlægger de tekniske procedurer for spillekommissionens høring af Belgiens nationalbanks centralregister for lån til private. </w:t>
            </w:r>
          </w:p>
          <w:p w14:paraId="15CF00B9" w14:textId="77777777" w:rsidR="006D6750" w:rsidRPr="004445F4" w:rsidRDefault="006D6750" w:rsidP="00573EE3">
            <w:pPr>
              <w:jc w:val="both"/>
              <w:rPr>
                <w:rFonts w:asciiTheme="minorHAnsi" w:hAnsiTheme="minorHAnsi" w:cstheme="minorHAnsi"/>
                <w:b/>
                <w:u w:val="single"/>
                <w:lang w:val="fr-FR"/>
              </w:rPr>
            </w:pPr>
          </w:p>
        </w:tc>
      </w:tr>
      <w:tr w:rsidR="006D6750" w:rsidRPr="004445F4" w14:paraId="25AB1968" w14:textId="77777777" w:rsidTr="006D6750">
        <w:tc>
          <w:tcPr>
            <w:tcW w:w="5000" w:type="pct"/>
          </w:tcPr>
          <w:p w14:paraId="1A635219" w14:textId="63BB25AB" w:rsidR="006D6750" w:rsidRPr="004445F4" w:rsidRDefault="006D6750" w:rsidP="00573EE3">
            <w:pPr>
              <w:jc w:val="both"/>
              <w:rPr>
                <w:rFonts w:asciiTheme="minorHAnsi" w:hAnsiTheme="minorHAnsi" w:cstheme="minorHAnsi"/>
                <w:b/>
                <w:u w:val="single"/>
              </w:rPr>
            </w:pPr>
            <w:r>
              <w:rPr>
                <w:rFonts w:asciiTheme="minorHAnsi" w:hAnsiTheme="minorHAnsi"/>
                <w:b/>
                <w:u w:val="single"/>
              </w:rPr>
              <w:t xml:space="preserve">Artikel 3 </w:t>
            </w:r>
          </w:p>
          <w:p w14:paraId="7EF8643B" w14:textId="77777777" w:rsidR="006D6750" w:rsidRPr="004445F4" w:rsidRDefault="006D6750" w:rsidP="00573EE3">
            <w:pPr>
              <w:jc w:val="both"/>
              <w:rPr>
                <w:rFonts w:asciiTheme="minorHAnsi" w:hAnsiTheme="minorHAnsi" w:cstheme="minorHAnsi"/>
                <w:b/>
                <w:u w:val="single"/>
                <w:lang w:val="nl-BE"/>
              </w:rPr>
            </w:pPr>
          </w:p>
        </w:tc>
      </w:tr>
      <w:tr w:rsidR="006D6750" w:rsidRPr="006D6750" w14:paraId="6CF4AEC0" w14:textId="77777777" w:rsidTr="006D6750">
        <w:tc>
          <w:tcPr>
            <w:tcW w:w="5000" w:type="pct"/>
          </w:tcPr>
          <w:p w14:paraId="5C0796E6" w14:textId="5567999E" w:rsidR="006D6750" w:rsidRPr="00565E6D" w:rsidRDefault="006D6750" w:rsidP="00E703FB">
            <w:pPr>
              <w:jc w:val="both"/>
              <w:rPr>
                <w:rFonts w:asciiTheme="minorHAnsi" w:hAnsiTheme="minorHAnsi" w:cstheme="minorHAnsi"/>
              </w:rPr>
            </w:pPr>
            <w:r>
              <w:rPr>
                <w:rFonts w:asciiTheme="minorHAnsi" w:hAnsiTheme="minorHAnsi"/>
              </w:rPr>
              <w:t>§ 1. Spillernes identifikationsoplysninger ved manglende betaling i henhold til artikel VII.148 i lov om økonomiske rettigheder kan deles med Belgiens nationalbank for at kontrollere, om spilleren vides at have misligholdt sin betaling i filen i centralregisteret for lån til private.</w:t>
            </w:r>
          </w:p>
          <w:p w14:paraId="3495578E" w14:textId="2EEE5299" w:rsidR="006D6750" w:rsidRPr="00565E6D" w:rsidRDefault="006D6750" w:rsidP="002C2588">
            <w:pPr>
              <w:jc w:val="both"/>
              <w:rPr>
                <w:rFonts w:asciiTheme="minorHAnsi" w:hAnsiTheme="minorHAnsi" w:cstheme="minorHAnsi"/>
                <w:lang w:val="fr-FR"/>
              </w:rPr>
            </w:pPr>
          </w:p>
        </w:tc>
      </w:tr>
      <w:tr w:rsidR="006D6750" w:rsidRPr="006D6750" w14:paraId="6C08B47A" w14:textId="77777777" w:rsidTr="006D6750">
        <w:tc>
          <w:tcPr>
            <w:tcW w:w="5000" w:type="pct"/>
          </w:tcPr>
          <w:p w14:paraId="05C69597" w14:textId="77777777" w:rsidR="006D6750" w:rsidRPr="00565E6D" w:rsidRDefault="006D6750" w:rsidP="002C2588">
            <w:pPr>
              <w:jc w:val="both"/>
              <w:rPr>
                <w:rFonts w:asciiTheme="minorHAnsi" w:hAnsiTheme="minorHAnsi" w:cstheme="minorHAnsi"/>
              </w:rPr>
            </w:pPr>
            <w:r>
              <w:rPr>
                <w:rFonts w:asciiTheme="minorHAnsi" w:hAnsiTheme="minorHAnsi"/>
              </w:rPr>
              <w:t>De i første underafsnit omhandlede identifikationsoplysninger skal omfatte:</w:t>
            </w:r>
          </w:p>
          <w:p w14:paraId="2E81CB1F" w14:textId="77777777" w:rsidR="006D6750" w:rsidRPr="00565E6D" w:rsidRDefault="006D6750" w:rsidP="00E703FB">
            <w:pPr>
              <w:jc w:val="both"/>
              <w:rPr>
                <w:rFonts w:asciiTheme="minorHAnsi" w:hAnsiTheme="minorHAnsi" w:cstheme="minorHAnsi"/>
                <w:lang w:val="fr-FR"/>
              </w:rPr>
            </w:pPr>
          </w:p>
        </w:tc>
      </w:tr>
      <w:tr w:rsidR="006D6750" w:rsidRPr="006D6750" w14:paraId="0B4AF87D" w14:textId="77777777" w:rsidTr="006D6750">
        <w:tc>
          <w:tcPr>
            <w:tcW w:w="5000" w:type="pct"/>
          </w:tcPr>
          <w:p w14:paraId="45791653" w14:textId="77777777" w:rsidR="006D6750" w:rsidRPr="00565E6D" w:rsidRDefault="006D6750" w:rsidP="002C2588">
            <w:pPr>
              <w:jc w:val="both"/>
              <w:rPr>
                <w:rFonts w:asciiTheme="minorHAnsi" w:hAnsiTheme="minorHAnsi" w:cstheme="minorHAnsi"/>
              </w:rPr>
            </w:pPr>
            <w:r>
              <w:rPr>
                <w:rFonts w:asciiTheme="minorHAnsi" w:hAnsiTheme="minorHAnsi"/>
              </w:rPr>
              <w:t xml:space="preserve">1. spillerens nationale registreringsnummer, hvis licenstageren har kendskab til det </w:t>
            </w:r>
          </w:p>
          <w:p w14:paraId="7F669882" w14:textId="77777777" w:rsidR="006D6750" w:rsidRPr="00565E6D" w:rsidRDefault="006D6750" w:rsidP="00E703FB">
            <w:pPr>
              <w:jc w:val="both"/>
              <w:rPr>
                <w:rFonts w:asciiTheme="minorHAnsi" w:hAnsiTheme="minorHAnsi" w:cstheme="minorHAnsi"/>
                <w:lang w:val="fr-FR"/>
              </w:rPr>
            </w:pPr>
          </w:p>
        </w:tc>
      </w:tr>
      <w:tr w:rsidR="006D6750" w:rsidRPr="006D6750" w14:paraId="1E14614F" w14:textId="77777777" w:rsidTr="006D6750">
        <w:tc>
          <w:tcPr>
            <w:tcW w:w="5000" w:type="pct"/>
          </w:tcPr>
          <w:p w14:paraId="7E81FD9F" w14:textId="77777777" w:rsidR="006D6750" w:rsidRPr="00565E6D" w:rsidRDefault="006D6750" w:rsidP="002C2588">
            <w:pPr>
              <w:jc w:val="both"/>
              <w:rPr>
                <w:rFonts w:asciiTheme="minorHAnsi" w:hAnsiTheme="minorHAnsi" w:cstheme="minorHAnsi"/>
              </w:rPr>
            </w:pPr>
            <w:r>
              <w:rPr>
                <w:rFonts w:asciiTheme="minorHAnsi" w:hAnsiTheme="minorHAnsi"/>
              </w:rPr>
              <w:t>2. hvis spillerens nationale registreringsnummer ikke er kendt af licenstageren, spillerens efternavn, fornavn og fødselsdato.</w:t>
            </w:r>
          </w:p>
          <w:p w14:paraId="798400C1" w14:textId="77777777" w:rsidR="006D6750" w:rsidRPr="00565E6D" w:rsidRDefault="006D6750" w:rsidP="00E703FB">
            <w:pPr>
              <w:jc w:val="both"/>
              <w:rPr>
                <w:rFonts w:asciiTheme="minorHAnsi" w:hAnsiTheme="minorHAnsi" w:cstheme="minorHAnsi"/>
                <w:lang w:val="fr-FR"/>
              </w:rPr>
            </w:pPr>
          </w:p>
        </w:tc>
      </w:tr>
      <w:tr w:rsidR="006D6750" w:rsidRPr="006D6750" w14:paraId="0823AAD0" w14:textId="77777777" w:rsidTr="006D6750">
        <w:tc>
          <w:tcPr>
            <w:tcW w:w="5000" w:type="pct"/>
          </w:tcPr>
          <w:p w14:paraId="76713262" w14:textId="77777777" w:rsidR="006D6750" w:rsidRPr="006D6750" w:rsidRDefault="006D6750" w:rsidP="00095C9F">
            <w:pPr>
              <w:jc w:val="both"/>
              <w:rPr>
                <w:rFonts w:asciiTheme="minorHAnsi" w:hAnsiTheme="minorHAnsi" w:cstheme="minorHAnsi"/>
                <w:lang w:val="fr-BE"/>
              </w:rPr>
            </w:pPr>
          </w:p>
        </w:tc>
      </w:tr>
      <w:tr w:rsidR="006D6750" w:rsidRPr="006D6750" w14:paraId="5CFE6D61" w14:textId="77777777" w:rsidTr="006D6750">
        <w:tc>
          <w:tcPr>
            <w:tcW w:w="5000" w:type="pct"/>
          </w:tcPr>
          <w:p w14:paraId="68D2BA3B" w14:textId="6BFA1CF3" w:rsidR="006D6750" w:rsidRPr="004445F4" w:rsidRDefault="006D6750" w:rsidP="00DA1D75">
            <w:pPr>
              <w:jc w:val="both"/>
              <w:rPr>
                <w:rFonts w:asciiTheme="minorHAnsi" w:hAnsiTheme="minorHAnsi" w:cstheme="minorHAnsi"/>
              </w:rPr>
            </w:pPr>
            <w:r>
              <w:rPr>
                <w:rFonts w:asciiTheme="minorHAnsi" w:hAnsiTheme="minorHAnsi"/>
              </w:rPr>
              <w:t>Der indberettes ingen data om registrerede lån.</w:t>
            </w:r>
          </w:p>
        </w:tc>
      </w:tr>
      <w:tr w:rsidR="006D6750" w:rsidRPr="006D6750" w14:paraId="4E0E95DE" w14:textId="77777777" w:rsidTr="006D6750">
        <w:tc>
          <w:tcPr>
            <w:tcW w:w="5000" w:type="pct"/>
          </w:tcPr>
          <w:p w14:paraId="41571734" w14:textId="4521FA8F" w:rsidR="006D6750" w:rsidRPr="00565E6D" w:rsidRDefault="006D6750" w:rsidP="00095C9F">
            <w:pPr>
              <w:jc w:val="both"/>
              <w:rPr>
                <w:rFonts w:asciiTheme="minorHAnsi" w:hAnsiTheme="minorHAnsi" w:cstheme="minorHAnsi"/>
              </w:rPr>
            </w:pPr>
            <w:r>
              <w:rPr>
                <w:rFonts w:asciiTheme="minorHAnsi" w:hAnsiTheme="minorHAnsi"/>
              </w:rPr>
              <w:t>§ 2. Spillerens nationale registreringsnummer anvendes udelukkende til at afgøre, om spilleren vides at have misligholdt sin betaling i filen i centralregisteret for lån til private.</w:t>
            </w:r>
          </w:p>
          <w:p w14:paraId="75D3FE2F" w14:textId="77777777" w:rsidR="006D6750" w:rsidRPr="00565E6D" w:rsidRDefault="006D6750" w:rsidP="00DA1D75">
            <w:pPr>
              <w:jc w:val="both"/>
              <w:rPr>
                <w:rFonts w:asciiTheme="minorHAnsi" w:hAnsiTheme="minorHAnsi" w:cstheme="minorHAnsi"/>
                <w:lang w:val="fr-BE"/>
              </w:rPr>
            </w:pPr>
          </w:p>
        </w:tc>
      </w:tr>
      <w:tr w:rsidR="006D6750" w:rsidRPr="006D6750" w14:paraId="06070F40" w14:textId="77777777" w:rsidTr="006D6750">
        <w:tc>
          <w:tcPr>
            <w:tcW w:w="5000" w:type="pct"/>
          </w:tcPr>
          <w:p w14:paraId="4C79E482" w14:textId="28357319" w:rsidR="006D6750" w:rsidRPr="00565E6D" w:rsidRDefault="006D6750" w:rsidP="00DA1D75">
            <w:pPr>
              <w:jc w:val="both"/>
              <w:rPr>
                <w:rFonts w:asciiTheme="minorHAnsi" w:hAnsiTheme="minorHAnsi" w:cstheme="minorHAnsi"/>
              </w:rPr>
            </w:pPr>
            <w:r>
              <w:rPr>
                <w:rFonts w:asciiTheme="minorHAnsi" w:hAnsiTheme="minorHAnsi"/>
              </w:rPr>
              <w:t>Som følge af de formål, der er omhandlet i artikel 6, stk. 1, i kongelig anordning af 25. oktober 2018 om procedurerne for afholdelse af hasardspil og væddemål, der benytter informationssamfundets tjenester, har spillekommissionen ret til at anvende det nationale registreringsnummer som søgekriterie i Belgiens nationalbanks centralregister for lån til private.</w:t>
            </w:r>
          </w:p>
          <w:p w14:paraId="31254EEA" w14:textId="77777777" w:rsidR="006D6750" w:rsidRPr="00565E6D" w:rsidDel="008C4A7C" w:rsidRDefault="006D6750" w:rsidP="00DA1D75">
            <w:pPr>
              <w:jc w:val="both"/>
              <w:rPr>
                <w:rFonts w:asciiTheme="minorHAnsi" w:hAnsiTheme="minorHAnsi" w:cstheme="minorHAnsi"/>
                <w:lang w:val="fr-FR"/>
              </w:rPr>
            </w:pPr>
          </w:p>
        </w:tc>
      </w:tr>
      <w:tr w:rsidR="006D6750" w:rsidRPr="006D6750" w14:paraId="4E6B106E" w14:textId="77777777" w:rsidTr="006D6750">
        <w:tc>
          <w:tcPr>
            <w:tcW w:w="5000" w:type="pct"/>
          </w:tcPr>
          <w:p w14:paraId="0E222FC3" w14:textId="68E386F9" w:rsidR="006D6750" w:rsidRPr="00565E6D" w:rsidRDefault="006D6750" w:rsidP="00DA1D75">
            <w:pPr>
              <w:jc w:val="both"/>
              <w:rPr>
                <w:rFonts w:asciiTheme="minorHAnsi" w:hAnsiTheme="minorHAnsi" w:cstheme="minorHAnsi"/>
              </w:rPr>
            </w:pPr>
            <w:r>
              <w:rPr>
                <w:rFonts w:asciiTheme="minorHAnsi" w:hAnsiTheme="minorHAnsi"/>
              </w:rPr>
              <w:t>Når der indgives en anmodning til spillekommissionen om at øge spillegrænsen, skal licenstagerne i klasse A+, B+ eller F1+ indsamle spillerens nationale registreringsnummer og meddele dette til spillekommissionen.</w:t>
            </w:r>
          </w:p>
        </w:tc>
      </w:tr>
      <w:tr w:rsidR="006D6750" w:rsidRPr="006D6750" w14:paraId="05B3D863" w14:textId="77777777" w:rsidTr="006D6750">
        <w:tc>
          <w:tcPr>
            <w:tcW w:w="5000" w:type="pct"/>
          </w:tcPr>
          <w:p w14:paraId="2FFA6633" w14:textId="381C5FA6" w:rsidR="006D6750" w:rsidRPr="006D6750" w:rsidRDefault="006D6750" w:rsidP="00DA1D75">
            <w:pPr>
              <w:jc w:val="both"/>
              <w:rPr>
                <w:rFonts w:asciiTheme="minorHAnsi" w:hAnsiTheme="minorHAnsi" w:cstheme="minorHAnsi"/>
                <w:highlight w:val="yellow"/>
                <w:lang w:val="fr-BE"/>
              </w:rPr>
            </w:pPr>
          </w:p>
        </w:tc>
      </w:tr>
      <w:tr w:rsidR="006D6750" w:rsidRPr="004445F4" w14:paraId="52185598" w14:textId="77777777" w:rsidTr="006D6750">
        <w:tc>
          <w:tcPr>
            <w:tcW w:w="5000" w:type="pct"/>
          </w:tcPr>
          <w:p w14:paraId="1B4F08F6" w14:textId="7C9C1075" w:rsidR="006D6750" w:rsidRPr="00565E6D" w:rsidRDefault="006D6750" w:rsidP="00DA1D75">
            <w:pPr>
              <w:jc w:val="both"/>
              <w:rPr>
                <w:rFonts w:asciiTheme="minorHAnsi" w:hAnsiTheme="minorHAnsi" w:cstheme="minorHAnsi"/>
                <w:b/>
                <w:u w:val="single"/>
              </w:rPr>
            </w:pPr>
            <w:r>
              <w:rPr>
                <w:rFonts w:asciiTheme="minorHAnsi" w:hAnsiTheme="minorHAnsi"/>
                <w:b/>
                <w:u w:val="single"/>
              </w:rPr>
              <w:t>Artikel 4</w:t>
            </w:r>
          </w:p>
          <w:p w14:paraId="51967E00" w14:textId="7A153995" w:rsidR="006D6750" w:rsidRPr="00565E6D" w:rsidRDefault="006D6750" w:rsidP="00DA1D75">
            <w:pPr>
              <w:jc w:val="both"/>
              <w:rPr>
                <w:rFonts w:asciiTheme="minorHAnsi" w:hAnsiTheme="minorHAnsi" w:cstheme="minorHAnsi"/>
                <w:b/>
                <w:u w:val="single"/>
                <w:lang w:val="fr-BE"/>
              </w:rPr>
            </w:pPr>
          </w:p>
        </w:tc>
      </w:tr>
      <w:tr w:rsidR="006D6750" w:rsidRPr="006D6750" w14:paraId="5D5145E8" w14:textId="77777777" w:rsidTr="006D6750">
        <w:tc>
          <w:tcPr>
            <w:tcW w:w="5000" w:type="pct"/>
          </w:tcPr>
          <w:p w14:paraId="7C17CA52" w14:textId="6F0995A7" w:rsidR="006D6750" w:rsidRPr="00565E6D" w:rsidRDefault="006D6750" w:rsidP="00DA1D75">
            <w:pPr>
              <w:jc w:val="both"/>
              <w:rPr>
                <w:rFonts w:asciiTheme="minorHAnsi" w:hAnsiTheme="minorHAnsi" w:cstheme="minorHAnsi"/>
              </w:rPr>
            </w:pPr>
            <w:r>
              <w:rPr>
                <w:rFonts w:asciiTheme="minorHAnsi" w:hAnsiTheme="minorHAnsi"/>
              </w:rPr>
              <w:t>Spillekommissionen opbevarer det nationale registreringsnummer eller spillerens identifikationsdata, der er omhandlet i artikel 4, i den periode, der er nødvendig for dens månedlige verifikationsopgave, hvis tilladelsen til at øge spillegrænsen skal bestå.</w:t>
            </w:r>
          </w:p>
          <w:p w14:paraId="41E8D6AC" w14:textId="77777777" w:rsidR="006D6750" w:rsidRPr="00565E6D" w:rsidRDefault="006D6750" w:rsidP="00DA1D75">
            <w:pPr>
              <w:jc w:val="both"/>
              <w:rPr>
                <w:rFonts w:asciiTheme="minorHAnsi" w:hAnsiTheme="minorHAnsi" w:cstheme="minorHAnsi"/>
                <w:b/>
                <w:u w:val="single"/>
                <w:lang w:val="fr-BE"/>
              </w:rPr>
            </w:pPr>
          </w:p>
        </w:tc>
      </w:tr>
      <w:tr w:rsidR="006D6750" w:rsidRPr="004445F4" w14:paraId="6DB980FD" w14:textId="77777777" w:rsidTr="006D6750">
        <w:tc>
          <w:tcPr>
            <w:tcW w:w="5000" w:type="pct"/>
          </w:tcPr>
          <w:p w14:paraId="0395A791" w14:textId="77777777" w:rsidR="006D6750" w:rsidRPr="00565E6D" w:rsidRDefault="006D6750" w:rsidP="00DA1D75">
            <w:pPr>
              <w:jc w:val="both"/>
              <w:rPr>
                <w:rFonts w:asciiTheme="minorHAnsi" w:hAnsiTheme="minorHAnsi" w:cstheme="minorHAnsi"/>
                <w:b/>
                <w:u w:val="single"/>
              </w:rPr>
            </w:pPr>
            <w:r>
              <w:rPr>
                <w:rFonts w:asciiTheme="minorHAnsi" w:hAnsiTheme="minorHAnsi"/>
                <w:b/>
                <w:u w:val="single"/>
              </w:rPr>
              <w:t>Artikel 5</w:t>
            </w:r>
          </w:p>
          <w:p w14:paraId="41AB2BF1" w14:textId="0655E699" w:rsidR="006D6750" w:rsidRPr="00565E6D" w:rsidRDefault="006D6750" w:rsidP="00DA1D75">
            <w:pPr>
              <w:jc w:val="both"/>
              <w:rPr>
                <w:rFonts w:asciiTheme="minorHAnsi" w:hAnsiTheme="minorHAnsi" w:cstheme="minorHAnsi"/>
                <w:b/>
                <w:u w:val="single"/>
                <w:lang w:val="fr-BE"/>
              </w:rPr>
            </w:pPr>
          </w:p>
        </w:tc>
      </w:tr>
      <w:tr w:rsidR="006D6750" w:rsidRPr="006D6750" w14:paraId="3468D20D" w14:textId="77777777" w:rsidTr="006D6750">
        <w:tc>
          <w:tcPr>
            <w:tcW w:w="5000" w:type="pct"/>
          </w:tcPr>
          <w:p w14:paraId="618F0761" w14:textId="56C6EFB9" w:rsidR="006D6750" w:rsidRPr="00565E6D" w:rsidRDefault="006D6750" w:rsidP="00DA1D75">
            <w:pPr>
              <w:jc w:val="both"/>
              <w:rPr>
                <w:rFonts w:asciiTheme="minorHAnsi" w:hAnsiTheme="minorHAnsi" w:cstheme="minorHAnsi"/>
              </w:rPr>
            </w:pPr>
            <w:r>
              <w:rPr>
                <w:rFonts w:asciiTheme="minorHAnsi" w:hAnsiTheme="minorHAnsi"/>
              </w:rPr>
              <w:t xml:space="preserve">§ 1. Spillekommissionen opretter logfiler over høringer af Belgiens nationalbanks centralregister for lån til private. </w:t>
            </w:r>
          </w:p>
          <w:p w14:paraId="50470140" w14:textId="784796E1" w:rsidR="006D6750" w:rsidRPr="00565E6D" w:rsidRDefault="006D6750" w:rsidP="00DA1D75">
            <w:pPr>
              <w:jc w:val="both"/>
              <w:rPr>
                <w:rFonts w:asciiTheme="minorHAnsi" w:hAnsiTheme="minorHAnsi" w:cstheme="minorHAnsi"/>
                <w:lang w:val="fr-BE"/>
              </w:rPr>
            </w:pPr>
          </w:p>
        </w:tc>
      </w:tr>
      <w:tr w:rsidR="006D6750" w:rsidRPr="006D6750" w14:paraId="639284BB" w14:textId="77777777" w:rsidTr="006D6750">
        <w:tc>
          <w:tcPr>
            <w:tcW w:w="5000" w:type="pct"/>
          </w:tcPr>
          <w:p w14:paraId="683F7EA4" w14:textId="05AB456F" w:rsidR="006D6750" w:rsidRPr="00565E6D" w:rsidRDefault="006D6750" w:rsidP="00DA1D75">
            <w:pPr>
              <w:jc w:val="both"/>
              <w:rPr>
                <w:rFonts w:asciiTheme="minorHAnsi" w:hAnsiTheme="minorHAnsi" w:cstheme="minorHAnsi"/>
              </w:rPr>
            </w:pPr>
            <w:r>
              <w:rPr>
                <w:rFonts w:asciiTheme="minorHAnsi" w:hAnsiTheme="minorHAnsi"/>
              </w:rPr>
              <w:t>Disse logfiler over høringer anvendes til at fastlægge:</w:t>
            </w:r>
          </w:p>
          <w:p w14:paraId="71096EB1" w14:textId="77777777" w:rsidR="006D6750" w:rsidRPr="00565E6D" w:rsidRDefault="006D6750" w:rsidP="00DA1D75">
            <w:pPr>
              <w:jc w:val="both"/>
              <w:rPr>
                <w:rFonts w:asciiTheme="minorHAnsi" w:hAnsiTheme="minorHAnsi" w:cstheme="minorHAnsi"/>
                <w:lang w:val="fr-BE"/>
              </w:rPr>
            </w:pPr>
          </w:p>
        </w:tc>
      </w:tr>
      <w:tr w:rsidR="006D6750" w:rsidRPr="006D6750" w14:paraId="3485DDC6" w14:textId="77777777" w:rsidTr="006D6750">
        <w:tc>
          <w:tcPr>
            <w:tcW w:w="5000" w:type="pct"/>
          </w:tcPr>
          <w:p w14:paraId="7D1CCAA9" w14:textId="26669351" w:rsidR="006D6750" w:rsidRPr="00565E6D" w:rsidRDefault="006D6750" w:rsidP="00DA1D75">
            <w:pPr>
              <w:jc w:val="both"/>
              <w:rPr>
                <w:rFonts w:asciiTheme="minorHAnsi" w:hAnsiTheme="minorHAnsi" w:cstheme="minorHAnsi"/>
              </w:rPr>
            </w:pPr>
            <w:r>
              <w:rPr>
                <w:rFonts w:asciiTheme="minorHAnsi" w:hAnsiTheme="minorHAnsi"/>
              </w:rPr>
              <w:lastRenderedPageBreak/>
              <w:t>1. dato og klokkeslæt for høringen</w:t>
            </w:r>
          </w:p>
          <w:p w14:paraId="69473C33" w14:textId="77777777" w:rsidR="006D6750" w:rsidRPr="00565E6D" w:rsidRDefault="006D6750" w:rsidP="00DA1D75">
            <w:pPr>
              <w:jc w:val="both"/>
              <w:rPr>
                <w:rFonts w:asciiTheme="minorHAnsi" w:hAnsiTheme="minorHAnsi" w:cstheme="minorHAnsi"/>
                <w:lang w:val="fr-BE"/>
              </w:rPr>
            </w:pPr>
          </w:p>
        </w:tc>
      </w:tr>
      <w:tr w:rsidR="006D6750" w:rsidRPr="006D6750" w14:paraId="2351AB13" w14:textId="77777777" w:rsidTr="006D6750">
        <w:tc>
          <w:tcPr>
            <w:tcW w:w="5000" w:type="pct"/>
          </w:tcPr>
          <w:p w14:paraId="72F1E742" w14:textId="358764DC" w:rsidR="006D6750" w:rsidRPr="00565E6D" w:rsidRDefault="006D6750" w:rsidP="00DA1D75">
            <w:pPr>
              <w:jc w:val="both"/>
              <w:rPr>
                <w:rFonts w:asciiTheme="minorHAnsi" w:hAnsiTheme="minorHAnsi" w:cstheme="minorHAnsi"/>
              </w:rPr>
            </w:pPr>
            <w:r>
              <w:rPr>
                <w:rFonts w:asciiTheme="minorHAnsi" w:hAnsiTheme="minorHAnsi"/>
              </w:rPr>
              <w:t>2. identifikation af den enkelte bruger eller, hvis dette ikke er muligt, den proces eller det system, der fik adgang til dataene</w:t>
            </w:r>
          </w:p>
          <w:p w14:paraId="42E9EAC8" w14:textId="77777777" w:rsidR="006D6750" w:rsidRPr="00565E6D" w:rsidRDefault="006D6750" w:rsidP="00DA1D75">
            <w:pPr>
              <w:jc w:val="both"/>
              <w:rPr>
                <w:rFonts w:asciiTheme="minorHAnsi" w:hAnsiTheme="minorHAnsi" w:cstheme="minorHAnsi"/>
                <w:lang w:val="fr-BE"/>
              </w:rPr>
            </w:pPr>
          </w:p>
        </w:tc>
      </w:tr>
      <w:tr w:rsidR="006D6750" w:rsidRPr="004445F4" w14:paraId="06ADDE02" w14:textId="77777777" w:rsidTr="006D6750">
        <w:tc>
          <w:tcPr>
            <w:tcW w:w="5000" w:type="pct"/>
          </w:tcPr>
          <w:p w14:paraId="13F39EBB" w14:textId="77777777" w:rsidR="006D6750" w:rsidRPr="00565E6D" w:rsidRDefault="006D6750" w:rsidP="00DA1D75">
            <w:pPr>
              <w:jc w:val="both"/>
              <w:rPr>
                <w:rFonts w:asciiTheme="minorHAnsi" w:hAnsiTheme="minorHAnsi" w:cstheme="minorHAnsi"/>
              </w:rPr>
            </w:pPr>
            <w:r>
              <w:rPr>
                <w:rFonts w:asciiTheme="minorHAnsi" w:hAnsiTheme="minorHAnsi"/>
              </w:rPr>
              <w:t xml:space="preserve">3. typen af anmodning </w:t>
            </w:r>
          </w:p>
          <w:p w14:paraId="749E7490" w14:textId="45D3BBAC" w:rsidR="006D6750" w:rsidRPr="00565E6D" w:rsidRDefault="006D6750" w:rsidP="00DA1D75">
            <w:pPr>
              <w:jc w:val="both"/>
              <w:rPr>
                <w:rFonts w:asciiTheme="minorHAnsi" w:hAnsiTheme="minorHAnsi" w:cstheme="minorHAnsi"/>
              </w:rPr>
            </w:pPr>
          </w:p>
        </w:tc>
      </w:tr>
      <w:tr w:rsidR="006D6750" w:rsidRPr="006D6750" w14:paraId="72FBC45E" w14:textId="77777777" w:rsidTr="006D6750">
        <w:tc>
          <w:tcPr>
            <w:tcW w:w="5000" w:type="pct"/>
          </w:tcPr>
          <w:p w14:paraId="7AFD0FE6" w14:textId="77777777" w:rsidR="006D6750" w:rsidRPr="00565E6D" w:rsidRDefault="006D6750" w:rsidP="00DA1D75">
            <w:pPr>
              <w:jc w:val="both"/>
              <w:rPr>
                <w:rFonts w:asciiTheme="minorHAnsi" w:hAnsiTheme="minorHAnsi" w:cstheme="minorHAnsi"/>
              </w:rPr>
            </w:pPr>
            <w:r>
              <w:rPr>
                <w:rFonts w:asciiTheme="minorHAnsi" w:hAnsiTheme="minorHAnsi"/>
              </w:rPr>
              <w:t>4. formålet med høringen.</w:t>
            </w:r>
          </w:p>
          <w:p w14:paraId="061E65D0" w14:textId="77777777" w:rsidR="006D6750" w:rsidRPr="00565E6D" w:rsidRDefault="006D6750" w:rsidP="00DA1D75">
            <w:pPr>
              <w:jc w:val="both"/>
              <w:rPr>
                <w:rFonts w:asciiTheme="minorHAnsi" w:hAnsiTheme="minorHAnsi" w:cstheme="minorHAnsi"/>
                <w:lang w:val="fr-BE"/>
              </w:rPr>
            </w:pPr>
          </w:p>
        </w:tc>
      </w:tr>
      <w:tr w:rsidR="006D6750" w:rsidRPr="006D6750" w14:paraId="78BF45AE" w14:textId="77777777" w:rsidTr="006D6750">
        <w:tc>
          <w:tcPr>
            <w:tcW w:w="5000" w:type="pct"/>
          </w:tcPr>
          <w:p w14:paraId="31058F53" w14:textId="4F080699" w:rsidR="006D6750" w:rsidRPr="00565E6D" w:rsidRDefault="006D6750" w:rsidP="00DA1D75">
            <w:pPr>
              <w:jc w:val="both"/>
              <w:rPr>
                <w:rFonts w:asciiTheme="minorHAnsi" w:hAnsiTheme="minorHAnsi" w:cstheme="minorHAnsi"/>
              </w:rPr>
            </w:pPr>
            <w:r>
              <w:rPr>
                <w:rFonts w:asciiTheme="minorHAnsi" w:hAnsiTheme="minorHAnsi"/>
              </w:rPr>
              <w:t>§ 2. Belgiens nationalbank opretter logfiler med henblik på at oprette:</w:t>
            </w:r>
          </w:p>
          <w:p w14:paraId="31972E44" w14:textId="77777777" w:rsidR="006D6750" w:rsidRPr="00565E6D" w:rsidRDefault="006D6750" w:rsidP="00DA1D75">
            <w:pPr>
              <w:jc w:val="both"/>
              <w:rPr>
                <w:rFonts w:asciiTheme="minorHAnsi" w:hAnsiTheme="minorHAnsi" w:cstheme="minorHAnsi"/>
                <w:lang w:val="fr-BE"/>
              </w:rPr>
            </w:pPr>
          </w:p>
        </w:tc>
      </w:tr>
      <w:tr w:rsidR="006D6750" w:rsidRPr="006D6750" w14:paraId="1B061C40" w14:textId="77777777" w:rsidTr="006D6750">
        <w:tc>
          <w:tcPr>
            <w:tcW w:w="5000" w:type="pct"/>
          </w:tcPr>
          <w:p w14:paraId="7A3E5BA4" w14:textId="77777777" w:rsidR="006D6750" w:rsidRPr="00565E6D" w:rsidRDefault="006D6750" w:rsidP="00DA1D75">
            <w:pPr>
              <w:jc w:val="both"/>
              <w:rPr>
                <w:rFonts w:asciiTheme="minorHAnsi" w:hAnsiTheme="minorHAnsi" w:cstheme="minorHAnsi"/>
              </w:rPr>
            </w:pPr>
            <w:r>
              <w:rPr>
                <w:rFonts w:asciiTheme="minorHAnsi" w:hAnsiTheme="minorHAnsi"/>
              </w:rPr>
              <w:t xml:space="preserve">1. identifikation af den bruger, der har fået adgang til eller modtaget meddelelse af dataene </w:t>
            </w:r>
          </w:p>
          <w:p w14:paraId="509228AE" w14:textId="77777777" w:rsidR="006D6750" w:rsidRPr="00565E6D" w:rsidRDefault="006D6750" w:rsidP="00DA1D75">
            <w:pPr>
              <w:jc w:val="both"/>
              <w:rPr>
                <w:rFonts w:asciiTheme="minorHAnsi" w:hAnsiTheme="minorHAnsi" w:cstheme="minorHAnsi"/>
                <w:lang w:val="fr-BE"/>
              </w:rPr>
            </w:pPr>
          </w:p>
        </w:tc>
      </w:tr>
      <w:tr w:rsidR="006D6750" w:rsidRPr="006D6750" w14:paraId="34CE527C" w14:textId="77777777" w:rsidTr="006D6750">
        <w:tc>
          <w:tcPr>
            <w:tcW w:w="5000" w:type="pct"/>
          </w:tcPr>
          <w:p w14:paraId="113C10DB" w14:textId="1DA7FFE8" w:rsidR="006D6750" w:rsidRPr="00565E6D" w:rsidRDefault="006D6750" w:rsidP="00DA1D75">
            <w:pPr>
              <w:jc w:val="both"/>
              <w:rPr>
                <w:rFonts w:asciiTheme="minorHAnsi" w:hAnsiTheme="minorHAnsi" w:cstheme="minorHAnsi"/>
              </w:rPr>
            </w:pPr>
            <w:r>
              <w:rPr>
                <w:rFonts w:asciiTheme="minorHAnsi" w:hAnsiTheme="minorHAnsi"/>
              </w:rPr>
              <w:t xml:space="preserve">2. typen af anmodning, der er indgivet </w:t>
            </w:r>
          </w:p>
          <w:p w14:paraId="230E54E2" w14:textId="77777777" w:rsidR="006D6750" w:rsidRPr="00565E6D" w:rsidRDefault="006D6750" w:rsidP="00DA1D75">
            <w:pPr>
              <w:jc w:val="both"/>
              <w:rPr>
                <w:rFonts w:asciiTheme="minorHAnsi" w:hAnsiTheme="minorHAnsi" w:cstheme="minorHAnsi"/>
                <w:lang w:val="fr-BE"/>
              </w:rPr>
            </w:pPr>
          </w:p>
        </w:tc>
      </w:tr>
      <w:tr w:rsidR="006D6750" w:rsidRPr="006D6750" w14:paraId="26BFDCD2" w14:textId="77777777" w:rsidTr="006D6750">
        <w:tc>
          <w:tcPr>
            <w:tcW w:w="5000" w:type="pct"/>
          </w:tcPr>
          <w:p w14:paraId="21C90560" w14:textId="05DCFE55" w:rsidR="006D6750" w:rsidRPr="00565E6D" w:rsidRDefault="006D6750" w:rsidP="00DA1D75">
            <w:pPr>
              <w:jc w:val="both"/>
              <w:rPr>
                <w:rFonts w:asciiTheme="minorHAnsi" w:hAnsiTheme="minorHAnsi" w:cstheme="minorHAnsi"/>
              </w:rPr>
            </w:pPr>
            <w:r>
              <w:rPr>
                <w:rFonts w:asciiTheme="minorHAnsi" w:hAnsiTheme="minorHAnsi"/>
              </w:rPr>
              <w:t>3. dato og klokkeslæt for høringen eller meddelelsen.</w:t>
            </w:r>
          </w:p>
          <w:p w14:paraId="21F27E53" w14:textId="77777777" w:rsidR="006D6750" w:rsidRPr="00565E6D" w:rsidRDefault="006D6750" w:rsidP="00DA1D75">
            <w:pPr>
              <w:jc w:val="both"/>
              <w:rPr>
                <w:rFonts w:asciiTheme="minorHAnsi" w:hAnsiTheme="minorHAnsi" w:cstheme="minorHAnsi"/>
                <w:lang w:val="fr-BE"/>
              </w:rPr>
            </w:pPr>
          </w:p>
        </w:tc>
      </w:tr>
      <w:tr w:rsidR="006D6750" w:rsidRPr="006D6750" w14:paraId="51D67BDC" w14:textId="77777777" w:rsidTr="006D6750">
        <w:tc>
          <w:tcPr>
            <w:tcW w:w="5000" w:type="pct"/>
          </w:tcPr>
          <w:p w14:paraId="51489C91" w14:textId="0A15C3D8" w:rsidR="006D6750" w:rsidRPr="00565E6D" w:rsidRDefault="006D6750" w:rsidP="00DA1D75">
            <w:pPr>
              <w:jc w:val="both"/>
              <w:rPr>
                <w:rFonts w:asciiTheme="minorHAnsi" w:hAnsiTheme="minorHAnsi" w:cstheme="minorHAnsi"/>
              </w:rPr>
            </w:pPr>
            <w:r>
              <w:rPr>
                <w:rFonts w:asciiTheme="minorHAnsi" w:hAnsiTheme="minorHAnsi"/>
              </w:rPr>
              <w:t>§ 3. Spillekommissionen og Belgiens nationalbank træffer passende foranstaltninger for at sikre logfilernes sikkerhed og navnlig forhindre uautoriseret behandling og sikre de behandledes data integritet.</w:t>
            </w:r>
          </w:p>
          <w:p w14:paraId="3579A70D" w14:textId="61DC08C0" w:rsidR="006D6750" w:rsidRPr="00565E6D" w:rsidRDefault="006D6750" w:rsidP="00DA1D75">
            <w:pPr>
              <w:jc w:val="both"/>
              <w:rPr>
                <w:rFonts w:asciiTheme="minorHAnsi" w:hAnsiTheme="minorHAnsi" w:cstheme="minorHAnsi"/>
                <w:lang w:val="fr-BE"/>
              </w:rPr>
            </w:pPr>
          </w:p>
        </w:tc>
      </w:tr>
      <w:tr w:rsidR="006D6750" w:rsidRPr="006D6750" w14:paraId="4651C79C" w14:textId="77777777" w:rsidTr="006D6750">
        <w:tc>
          <w:tcPr>
            <w:tcW w:w="5000" w:type="pct"/>
          </w:tcPr>
          <w:p w14:paraId="286B980D" w14:textId="6605B038" w:rsidR="006D6750" w:rsidRPr="00565E6D" w:rsidRDefault="006D6750" w:rsidP="00DA1D75">
            <w:pPr>
              <w:jc w:val="both"/>
              <w:rPr>
                <w:rFonts w:asciiTheme="minorHAnsi" w:hAnsiTheme="minorHAnsi" w:cstheme="minorHAnsi"/>
              </w:rPr>
            </w:pPr>
            <w:r>
              <w:rPr>
                <w:rFonts w:asciiTheme="minorHAnsi" w:hAnsiTheme="minorHAnsi"/>
              </w:rPr>
              <w:t>Logfilerne opbevares i ti år fra datoen for høringen.</w:t>
            </w:r>
          </w:p>
          <w:p w14:paraId="5AA2A87D" w14:textId="0E57A743" w:rsidR="006D6750" w:rsidRPr="00565E6D" w:rsidRDefault="006D6750" w:rsidP="00DA1D75">
            <w:pPr>
              <w:jc w:val="both"/>
              <w:rPr>
                <w:rFonts w:asciiTheme="minorHAnsi" w:hAnsiTheme="minorHAnsi" w:cstheme="minorHAnsi"/>
                <w:lang w:val="fr-BE"/>
              </w:rPr>
            </w:pPr>
          </w:p>
        </w:tc>
      </w:tr>
      <w:tr w:rsidR="006D6750" w:rsidRPr="006D6750" w14:paraId="699AD9F6" w14:textId="77777777" w:rsidTr="006D6750">
        <w:tc>
          <w:tcPr>
            <w:tcW w:w="5000" w:type="pct"/>
          </w:tcPr>
          <w:p w14:paraId="72B70189" w14:textId="5C07FF84" w:rsidR="006D6750" w:rsidRPr="00565E6D" w:rsidRDefault="006D6750" w:rsidP="00DA1D75">
            <w:pPr>
              <w:jc w:val="both"/>
              <w:rPr>
                <w:rFonts w:asciiTheme="minorHAnsi" w:hAnsiTheme="minorHAnsi" w:cstheme="minorHAnsi"/>
              </w:rPr>
            </w:pPr>
            <w:r>
              <w:rPr>
                <w:rFonts w:asciiTheme="minorHAnsi" w:hAnsiTheme="minorHAnsi"/>
              </w:rPr>
              <w:t>Spillekommissionens logfiler opbevares og stilles til rådighed for databeskyttelsesmyndigheden efter første anmodning.</w:t>
            </w:r>
          </w:p>
          <w:p w14:paraId="6977894F" w14:textId="4C8057D9" w:rsidR="006D6750" w:rsidRPr="00565E6D" w:rsidRDefault="006D6750" w:rsidP="00DA1D75">
            <w:pPr>
              <w:jc w:val="both"/>
              <w:rPr>
                <w:rFonts w:asciiTheme="minorHAnsi" w:hAnsiTheme="minorHAnsi" w:cstheme="minorHAnsi"/>
                <w:lang w:val="fr-BE"/>
              </w:rPr>
            </w:pPr>
          </w:p>
        </w:tc>
      </w:tr>
      <w:tr w:rsidR="006D6750" w:rsidRPr="004445F4" w14:paraId="1863A8A9" w14:textId="77777777" w:rsidTr="006D6750">
        <w:tc>
          <w:tcPr>
            <w:tcW w:w="5000" w:type="pct"/>
          </w:tcPr>
          <w:p w14:paraId="415B0A2E" w14:textId="6990C065" w:rsidR="006D6750" w:rsidRPr="00565E6D" w:rsidRDefault="006D6750" w:rsidP="00DA1D75">
            <w:pPr>
              <w:jc w:val="both"/>
              <w:rPr>
                <w:rFonts w:asciiTheme="minorHAnsi" w:hAnsiTheme="minorHAnsi" w:cstheme="minorHAnsi"/>
                <w:b/>
                <w:u w:val="single"/>
              </w:rPr>
            </w:pPr>
            <w:r>
              <w:rPr>
                <w:rFonts w:asciiTheme="minorHAnsi" w:hAnsiTheme="minorHAnsi"/>
                <w:b/>
                <w:u w:val="single"/>
              </w:rPr>
              <w:t>Artikel 6</w:t>
            </w:r>
          </w:p>
          <w:p w14:paraId="565921D5" w14:textId="2FCF5E22" w:rsidR="006D6750" w:rsidRPr="00565E6D" w:rsidRDefault="006D6750" w:rsidP="00DA1D75">
            <w:pPr>
              <w:jc w:val="both"/>
              <w:rPr>
                <w:rFonts w:asciiTheme="minorHAnsi" w:hAnsiTheme="minorHAnsi" w:cstheme="minorHAnsi"/>
                <w:b/>
                <w:u w:val="single"/>
              </w:rPr>
            </w:pPr>
          </w:p>
        </w:tc>
      </w:tr>
      <w:tr w:rsidR="006D6750" w:rsidRPr="006D6750" w14:paraId="6D54AC83" w14:textId="77777777" w:rsidTr="006D6750">
        <w:tc>
          <w:tcPr>
            <w:tcW w:w="5000" w:type="pct"/>
          </w:tcPr>
          <w:p w14:paraId="7C3AD2B0" w14:textId="77777777" w:rsidR="006D6750" w:rsidRPr="00565E6D" w:rsidRDefault="006D6750" w:rsidP="00DA1D75">
            <w:pPr>
              <w:jc w:val="both"/>
              <w:rPr>
                <w:rFonts w:asciiTheme="minorHAnsi" w:hAnsiTheme="minorHAnsi" w:cstheme="minorHAnsi"/>
              </w:rPr>
            </w:pPr>
            <w:r>
              <w:rPr>
                <w:rFonts w:asciiTheme="minorHAnsi" w:hAnsiTheme="minorHAnsi"/>
              </w:rPr>
              <w:t xml:space="preserve">Repræsentanterne for spillekommissionens sekretariat, hvis rolle kræver adgang til Belgiens nationalbanks centralregister for lån til private, kan kun få adgang til oplysninger om, at en spiller har misligholdt sin betaling som omhandlet i artikel VII.148 i lov om økonomiske rettigheder, og kun efter autentificering ved hjælp af et elektronisk identitetskort, enten i forbindelse med anvendelsen af spillekommissionen eller i forbindelse med anvendelsen af Belgiens nationalbank. </w:t>
            </w:r>
          </w:p>
          <w:p w14:paraId="12174FEB" w14:textId="17B0FF32" w:rsidR="006D6750" w:rsidRPr="00565E6D" w:rsidRDefault="006D6750" w:rsidP="00DA1D75">
            <w:pPr>
              <w:jc w:val="both"/>
              <w:rPr>
                <w:rFonts w:asciiTheme="minorHAnsi" w:hAnsiTheme="minorHAnsi" w:cstheme="minorHAnsi"/>
                <w:lang w:val="fr-BE"/>
              </w:rPr>
            </w:pPr>
          </w:p>
        </w:tc>
      </w:tr>
      <w:tr w:rsidR="006D6750" w:rsidRPr="006D6750" w14:paraId="5A96940E" w14:textId="77777777" w:rsidTr="006D6750">
        <w:tc>
          <w:tcPr>
            <w:tcW w:w="5000" w:type="pct"/>
          </w:tcPr>
          <w:p w14:paraId="2A7F19B7" w14:textId="1DC7DE04" w:rsidR="006D6750" w:rsidRPr="00565E6D" w:rsidRDefault="006D6750" w:rsidP="00DA1D75">
            <w:pPr>
              <w:jc w:val="both"/>
              <w:rPr>
                <w:rFonts w:asciiTheme="minorHAnsi" w:hAnsiTheme="minorHAnsi" w:cstheme="minorHAnsi"/>
              </w:rPr>
            </w:pPr>
            <w:r>
              <w:rPr>
                <w:rFonts w:asciiTheme="minorHAnsi" w:hAnsiTheme="minorHAnsi"/>
              </w:rPr>
              <w:t>Spillekommissionen meddeler efter første anmodning Belgiens nationalbank eller databeskyttelsesmyndigheden identiteten på dens ansatte, som har konsulteret eller fået kendskab til de personoplysninger, der er omhandlet i foregående afsnit.</w:t>
            </w:r>
          </w:p>
          <w:p w14:paraId="3BCFBC1A" w14:textId="77777777" w:rsidR="006D6750" w:rsidRPr="00565E6D" w:rsidRDefault="006D6750" w:rsidP="00DA1D75">
            <w:pPr>
              <w:jc w:val="both"/>
              <w:rPr>
                <w:rFonts w:asciiTheme="minorHAnsi" w:hAnsiTheme="minorHAnsi" w:cstheme="minorHAnsi"/>
                <w:lang w:val="fr-BE"/>
              </w:rPr>
            </w:pPr>
          </w:p>
        </w:tc>
      </w:tr>
      <w:tr w:rsidR="006D6750" w:rsidRPr="004445F4" w14:paraId="28CAA371" w14:textId="77777777" w:rsidTr="006D6750">
        <w:tc>
          <w:tcPr>
            <w:tcW w:w="5000" w:type="pct"/>
          </w:tcPr>
          <w:p w14:paraId="4C7BB0D4" w14:textId="76A6BBFF" w:rsidR="006D6750" w:rsidRPr="00565E6D" w:rsidRDefault="006D6750" w:rsidP="00DA1D75">
            <w:pPr>
              <w:jc w:val="both"/>
              <w:rPr>
                <w:rFonts w:asciiTheme="minorHAnsi" w:hAnsiTheme="minorHAnsi" w:cstheme="minorHAnsi"/>
                <w:b/>
                <w:u w:val="single"/>
              </w:rPr>
            </w:pPr>
            <w:r>
              <w:rPr>
                <w:rFonts w:asciiTheme="minorHAnsi" w:hAnsiTheme="minorHAnsi"/>
                <w:b/>
                <w:u w:val="single"/>
              </w:rPr>
              <w:t>Artikel 7</w:t>
            </w:r>
          </w:p>
        </w:tc>
      </w:tr>
      <w:tr w:rsidR="006D6750" w:rsidRPr="006D6750" w14:paraId="23EAEED6" w14:textId="77777777" w:rsidTr="006D6750">
        <w:tc>
          <w:tcPr>
            <w:tcW w:w="5000" w:type="pct"/>
          </w:tcPr>
          <w:p w14:paraId="384E2120" w14:textId="2957531C" w:rsidR="006D6750" w:rsidRPr="00565E6D" w:rsidRDefault="000C3BA6" w:rsidP="00DA1D75">
            <w:pPr>
              <w:jc w:val="both"/>
              <w:rPr>
                <w:rFonts w:asciiTheme="minorHAnsi" w:hAnsiTheme="minorHAnsi" w:cstheme="minorHAnsi"/>
              </w:rPr>
            </w:pPr>
            <w:r>
              <w:rPr>
                <w:rFonts w:asciiTheme="minorHAnsi" w:hAnsiTheme="minorHAnsi"/>
              </w:rPr>
              <w:t>Spillekommissionen opbevarer de personoplysninger, som Belgiens nationalbank har adgang til i centralregisteret for lån til private, så længe det er nødvendigt for at udføre de opgaver, der er omhandlet i artikel 6, stk. 1, i kongelig anordning af 25. oktober 2018 om procedurerne for afholdelse af hasardspil og væddemål ved hjælp af informationssamfundets tjenester.</w:t>
            </w:r>
          </w:p>
          <w:p w14:paraId="288CDA19" w14:textId="77777777" w:rsidR="006D6750" w:rsidRPr="00565E6D" w:rsidRDefault="006D6750" w:rsidP="00DA1D75">
            <w:pPr>
              <w:jc w:val="both"/>
              <w:rPr>
                <w:rFonts w:asciiTheme="minorHAnsi" w:hAnsiTheme="minorHAnsi" w:cstheme="minorHAnsi"/>
                <w:lang w:val="fr-BE"/>
              </w:rPr>
            </w:pPr>
          </w:p>
        </w:tc>
      </w:tr>
      <w:tr w:rsidR="006D6750" w:rsidRPr="004445F4" w14:paraId="540DE0BE" w14:textId="77777777" w:rsidTr="006D6750">
        <w:tc>
          <w:tcPr>
            <w:tcW w:w="5000" w:type="pct"/>
          </w:tcPr>
          <w:p w14:paraId="70C9ACE2" w14:textId="5B452C20" w:rsidR="006D6750" w:rsidRPr="004445F4" w:rsidRDefault="006D6750" w:rsidP="00CF27F6">
            <w:pPr>
              <w:keepNext/>
              <w:jc w:val="both"/>
              <w:rPr>
                <w:rFonts w:asciiTheme="minorHAnsi" w:hAnsiTheme="minorHAnsi" w:cstheme="minorHAnsi"/>
                <w:b/>
                <w:u w:val="single"/>
              </w:rPr>
            </w:pPr>
            <w:r>
              <w:rPr>
                <w:rFonts w:asciiTheme="minorHAnsi" w:hAnsiTheme="minorHAnsi"/>
                <w:b/>
                <w:u w:val="single"/>
              </w:rPr>
              <w:lastRenderedPageBreak/>
              <w:t>Artikel 8</w:t>
            </w:r>
          </w:p>
          <w:p w14:paraId="5F80FDB1" w14:textId="77777777" w:rsidR="006D6750" w:rsidRPr="004445F4" w:rsidRDefault="006D6750" w:rsidP="00DA1D75">
            <w:pPr>
              <w:jc w:val="both"/>
              <w:rPr>
                <w:rFonts w:asciiTheme="minorHAnsi" w:hAnsiTheme="minorHAnsi" w:cstheme="minorHAnsi"/>
                <w:b/>
                <w:u w:val="single"/>
                <w:lang w:val="nl-BE"/>
              </w:rPr>
            </w:pPr>
          </w:p>
        </w:tc>
      </w:tr>
      <w:tr w:rsidR="006D6750" w:rsidRPr="006D6750" w14:paraId="69FE29A4" w14:textId="77777777" w:rsidTr="006D6750">
        <w:trPr>
          <w:trHeight w:val="931"/>
        </w:trPr>
        <w:tc>
          <w:tcPr>
            <w:tcW w:w="5000" w:type="pct"/>
          </w:tcPr>
          <w:p w14:paraId="69FE29A0" w14:textId="3B6A9E30" w:rsidR="006D6750" w:rsidRPr="004445F4" w:rsidRDefault="006D6750" w:rsidP="00DA1D75">
            <w:pPr>
              <w:jc w:val="both"/>
              <w:rPr>
                <w:rFonts w:asciiTheme="minorHAnsi" w:hAnsiTheme="minorHAnsi" w:cstheme="minorHAnsi"/>
              </w:rPr>
            </w:pPr>
            <w:r>
              <w:rPr>
                <w:rFonts w:asciiTheme="minorHAnsi" w:hAnsiTheme="minorHAnsi"/>
              </w:rPr>
              <w:t>Udgifterne til høring af Belgiens nationalbanks centralregister for lån til private afholdes fuldt ud af spillekommissionens midler, jf. artikel 19, stk. 2, i lov af 7. maj 1999 om spil, væddemål, spilleetablissementer og beskyttelse af spillere.</w:t>
            </w:r>
          </w:p>
        </w:tc>
      </w:tr>
      <w:tr w:rsidR="006D6750" w:rsidRPr="006D6750" w14:paraId="2689BF07" w14:textId="77777777" w:rsidTr="006D6750">
        <w:tc>
          <w:tcPr>
            <w:tcW w:w="5000" w:type="pct"/>
          </w:tcPr>
          <w:p w14:paraId="3C762D43" w14:textId="57105C2C" w:rsidR="006D6750" w:rsidRPr="004445F4" w:rsidRDefault="006D6750" w:rsidP="00DA1D75">
            <w:pPr>
              <w:jc w:val="both"/>
              <w:rPr>
                <w:rFonts w:asciiTheme="minorHAnsi" w:hAnsiTheme="minorHAnsi" w:cstheme="minorHAnsi"/>
                <w:b/>
              </w:rPr>
            </w:pPr>
            <w:r>
              <w:br w:type="page"/>
            </w:r>
            <w:r>
              <w:br w:type="page"/>
            </w:r>
            <w:r>
              <w:rPr>
                <w:rFonts w:asciiTheme="minorHAnsi" w:hAnsiTheme="minorHAnsi"/>
                <w:b/>
              </w:rPr>
              <w:t>Kapitel II — Ændringer af kongelig anordning af 25. oktober 2018 om procedurerne for afholdelse af hasardspil og væddemål ved hjælp af informationssamfundets tjenester</w:t>
            </w:r>
          </w:p>
          <w:p w14:paraId="4FF11E25" w14:textId="3BB6C610" w:rsidR="006D6750" w:rsidRPr="004445F4" w:rsidRDefault="006D6750" w:rsidP="00DA1D75">
            <w:pPr>
              <w:jc w:val="both"/>
              <w:rPr>
                <w:rFonts w:asciiTheme="minorHAnsi" w:hAnsiTheme="minorHAnsi" w:cstheme="minorHAnsi"/>
                <w:b/>
                <w:lang w:val="fr-BE"/>
              </w:rPr>
            </w:pPr>
          </w:p>
        </w:tc>
      </w:tr>
      <w:tr w:rsidR="006D6750" w:rsidRPr="004445F4" w14:paraId="2DB84B4E" w14:textId="77777777" w:rsidTr="006D6750">
        <w:tc>
          <w:tcPr>
            <w:tcW w:w="5000" w:type="pct"/>
            <w:shd w:val="clear" w:color="auto" w:fill="auto"/>
          </w:tcPr>
          <w:p w14:paraId="2A91C65F" w14:textId="5875BAAD" w:rsidR="006D6750" w:rsidRPr="004445F4" w:rsidRDefault="006D6750" w:rsidP="00DA1D75">
            <w:pPr>
              <w:jc w:val="both"/>
              <w:rPr>
                <w:rFonts w:asciiTheme="minorHAnsi" w:hAnsiTheme="minorHAnsi" w:cstheme="minorHAnsi"/>
                <w:b/>
                <w:u w:val="single"/>
              </w:rPr>
            </w:pPr>
            <w:r>
              <w:rPr>
                <w:rFonts w:asciiTheme="minorHAnsi" w:hAnsiTheme="minorHAnsi"/>
                <w:b/>
                <w:u w:val="single"/>
              </w:rPr>
              <w:t>Artikel 9</w:t>
            </w:r>
          </w:p>
          <w:p w14:paraId="602390EC" w14:textId="77777777" w:rsidR="006D6750" w:rsidRPr="004445F4" w:rsidRDefault="006D6750" w:rsidP="00DA1D75">
            <w:pPr>
              <w:jc w:val="both"/>
              <w:rPr>
                <w:rFonts w:asciiTheme="minorHAnsi" w:hAnsiTheme="minorHAnsi" w:cstheme="minorHAnsi"/>
                <w:b/>
              </w:rPr>
            </w:pPr>
          </w:p>
        </w:tc>
      </w:tr>
      <w:tr w:rsidR="006D6750" w:rsidRPr="006D6750" w14:paraId="30578FAD" w14:textId="77777777" w:rsidTr="006D6750">
        <w:tc>
          <w:tcPr>
            <w:tcW w:w="5000" w:type="pct"/>
          </w:tcPr>
          <w:p w14:paraId="5EDE13F6" w14:textId="372F3ABF" w:rsidR="006D6750" w:rsidRPr="004445F4" w:rsidRDefault="006D6750" w:rsidP="00DA1D75">
            <w:pPr>
              <w:jc w:val="both"/>
              <w:rPr>
                <w:rFonts w:asciiTheme="minorHAnsi" w:hAnsiTheme="minorHAnsi" w:cstheme="minorHAnsi"/>
              </w:rPr>
            </w:pPr>
            <w:r>
              <w:rPr>
                <w:rFonts w:asciiTheme="minorHAnsi" w:hAnsiTheme="minorHAnsi"/>
              </w:rPr>
              <w:t>I artikel 6, stk. 1, nr. 1, litra a), i kongelig anordning af 25. oktober 2018 om procedurerne for afholdelse af hasardspil og væddemål ved hjælp af informationssamfundets tjenester ændres tallet "500" til "200", og ordene "på alle deltagelser i hasardspil og væddemål" ophæves. </w:t>
            </w:r>
          </w:p>
          <w:p w14:paraId="5793F906" w14:textId="77777777" w:rsidR="006D6750" w:rsidRPr="004445F4" w:rsidRDefault="006D6750" w:rsidP="00DA1D75">
            <w:pPr>
              <w:jc w:val="both"/>
              <w:rPr>
                <w:rFonts w:asciiTheme="minorHAnsi" w:hAnsiTheme="minorHAnsi" w:cstheme="minorHAnsi"/>
                <w:lang w:val="fr-BE"/>
              </w:rPr>
            </w:pPr>
          </w:p>
        </w:tc>
      </w:tr>
      <w:tr w:rsidR="006D6750" w:rsidRPr="004445F4" w14:paraId="173956E5" w14:textId="77777777" w:rsidTr="006D6750">
        <w:tc>
          <w:tcPr>
            <w:tcW w:w="5000" w:type="pct"/>
          </w:tcPr>
          <w:p w14:paraId="72129D27" w14:textId="77777777" w:rsidR="006D6750" w:rsidRDefault="006D6750" w:rsidP="00DA1D75">
            <w:pPr>
              <w:jc w:val="both"/>
              <w:rPr>
                <w:rFonts w:asciiTheme="minorHAnsi" w:hAnsiTheme="minorHAnsi"/>
                <w:b/>
              </w:rPr>
            </w:pPr>
            <w:r>
              <w:rPr>
                <w:rFonts w:asciiTheme="minorHAnsi" w:hAnsiTheme="minorHAnsi"/>
                <w:b/>
              </w:rPr>
              <w:t>KAPITEL III – Afsluttende bestemmelser</w:t>
            </w:r>
          </w:p>
          <w:p w14:paraId="69C1A6D2" w14:textId="430ADE7F" w:rsidR="008E3CEE" w:rsidRPr="00662139" w:rsidRDefault="008E3CEE" w:rsidP="00DA1D75">
            <w:pPr>
              <w:jc w:val="both"/>
              <w:rPr>
                <w:rFonts w:asciiTheme="minorHAnsi" w:hAnsiTheme="minorHAnsi" w:cstheme="minorHAnsi"/>
                <w:b/>
              </w:rPr>
            </w:pPr>
          </w:p>
        </w:tc>
      </w:tr>
      <w:tr w:rsidR="006D6750" w:rsidRPr="004445F4" w14:paraId="716A353B" w14:textId="77777777" w:rsidTr="006D6750">
        <w:tc>
          <w:tcPr>
            <w:tcW w:w="5000" w:type="pct"/>
          </w:tcPr>
          <w:p w14:paraId="402DEB68" w14:textId="5F595E7C" w:rsidR="006D6750" w:rsidRPr="004445F4" w:rsidRDefault="006D6750" w:rsidP="00DA1D75">
            <w:pPr>
              <w:pStyle w:val="Heading5"/>
              <w:rPr>
                <w:rFonts w:asciiTheme="minorHAnsi" w:hAnsiTheme="minorHAnsi" w:cstheme="minorHAnsi"/>
                <w:bCs w:val="0"/>
              </w:rPr>
            </w:pPr>
            <w:r>
              <w:rPr>
                <w:rFonts w:asciiTheme="minorHAnsi" w:hAnsiTheme="minorHAnsi"/>
              </w:rPr>
              <w:t>Artikel 10</w:t>
            </w:r>
          </w:p>
          <w:p w14:paraId="599DE083" w14:textId="52ED68A5" w:rsidR="006D6750" w:rsidRPr="004445F4" w:rsidRDefault="006D6750" w:rsidP="00DA1D75">
            <w:pPr>
              <w:jc w:val="both"/>
              <w:rPr>
                <w:rFonts w:asciiTheme="minorHAnsi" w:hAnsiTheme="minorHAnsi" w:cstheme="minorHAnsi"/>
                <w:lang w:val="nl-BE"/>
              </w:rPr>
            </w:pPr>
          </w:p>
        </w:tc>
      </w:tr>
      <w:tr w:rsidR="006D6750" w:rsidRPr="006D6750" w14:paraId="71A52779" w14:textId="77777777" w:rsidTr="006D6750">
        <w:tc>
          <w:tcPr>
            <w:tcW w:w="5000" w:type="pct"/>
          </w:tcPr>
          <w:p w14:paraId="6775501A" w14:textId="7EC5D350" w:rsidR="006D6750" w:rsidRPr="004445F4" w:rsidRDefault="006D6750" w:rsidP="00DA1D75">
            <w:pPr>
              <w:jc w:val="both"/>
              <w:rPr>
                <w:rFonts w:asciiTheme="minorHAnsi" w:hAnsiTheme="minorHAnsi" w:cstheme="minorHAnsi"/>
              </w:rPr>
            </w:pPr>
            <w:r>
              <w:rPr>
                <w:rFonts w:asciiTheme="minorHAnsi" w:hAnsiTheme="minorHAnsi"/>
              </w:rPr>
              <w:t>Samme anordnings artikel 6, stk. 1, nr. 1, litra b), træder i kraft samme dag som denne anordning.</w:t>
            </w:r>
          </w:p>
          <w:p w14:paraId="34E92F27" w14:textId="1B347A62" w:rsidR="006D6750" w:rsidRPr="004445F4" w:rsidRDefault="006D6750" w:rsidP="00DA1D75">
            <w:pPr>
              <w:jc w:val="both"/>
              <w:rPr>
                <w:rFonts w:asciiTheme="minorHAnsi" w:hAnsiTheme="minorHAnsi" w:cstheme="minorHAnsi"/>
                <w:lang w:val="fr-BE"/>
              </w:rPr>
            </w:pPr>
          </w:p>
        </w:tc>
      </w:tr>
      <w:tr w:rsidR="006D6750" w:rsidRPr="006D6750" w14:paraId="13416A97" w14:textId="77777777" w:rsidTr="006D6750">
        <w:tc>
          <w:tcPr>
            <w:tcW w:w="5000" w:type="pct"/>
          </w:tcPr>
          <w:p w14:paraId="58B8A783" w14:textId="77777777" w:rsidR="006D6750" w:rsidRPr="006D6750" w:rsidRDefault="006D6750" w:rsidP="00DA1D75">
            <w:pPr>
              <w:jc w:val="both"/>
              <w:rPr>
                <w:rFonts w:asciiTheme="minorHAnsi" w:hAnsiTheme="minorHAnsi" w:cstheme="minorHAnsi"/>
                <w:lang w:val="fr-BE"/>
              </w:rPr>
            </w:pPr>
          </w:p>
        </w:tc>
      </w:tr>
      <w:tr w:rsidR="006D6750" w:rsidRPr="004445F4" w14:paraId="22606D6A" w14:textId="77777777" w:rsidTr="006D6750">
        <w:tc>
          <w:tcPr>
            <w:tcW w:w="5000" w:type="pct"/>
          </w:tcPr>
          <w:p w14:paraId="7627436F" w14:textId="1DCE687A" w:rsidR="006D6750" w:rsidRPr="004445F4" w:rsidRDefault="006D6750" w:rsidP="00DA1D75">
            <w:pPr>
              <w:rPr>
                <w:rFonts w:asciiTheme="minorHAnsi" w:hAnsiTheme="minorHAnsi" w:cstheme="minorHAnsi"/>
                <w:b/>
                <w:u w:val="single"/>
              </w:rPr>
            </w:pPr>
            <w:r>
              <w:rPr>
                <w:rFonts w:asciiTheme="minorHAnsi" w:hAnsiTheme="minorHAnsi"/>
                <w:b/>
                <w:u w:val="single"/>
              </w:rPr>
              <w:t>Artikel 11</w:t>
            </w:r>
          </w:p>
          <w:p w14:paraId="6DD94AEA" w14:textId="77777777" w:rsidR="006D6750" w:rsidRPr="004445F4" w:rsidRDefault="006D6750" w:rsidP="00DA1D75">
            <w:pPr>
              <w:jc w:val="both"/>
              <w:rPr>
                <w:rFonts w:asciiTheme="minorHAnsi" w:hAnsiTheme="minorHAnsi" w:cstheme="minorHAnsi"/>
                <w:b/>
                <w:lang w:val="nl-BE"/>
              </w:rPr>
            </w:pPr>
          </w:p>
        </w:tc>
      </w:tr>
      <w:tr w:rsidR="006D6750" w:rsidRPr="006D6750" w14:paraId="78314E93" w14:textId="77777777" w:rsidTr="006D6750">
        <w:tc>
          <w:tcPr>
            <w:tcW w:w="5000" w:type="pct"/>
          </w:tcPr>
          <w:p w14:paraId="4AAD5746" w14:textId="5A018DD1" w:rsidR="006D6750" w:rsidRPr="00E22F2C" w:rsidRDefault="006D6750" w:rsidP="00E22F2C">
            <w:pPr>
              <w:jc w:val="both"/>
              <w:rPr>
                <w:rFonts w:asciiTheme="minorHAnsi" w:hAnsiTheme="minorHAnsi" w:cstheme="minorHAnsi"/>
              </w:rPr>
            </w:pPr>
            <w:r>
              <w:br w:type="page"/>
            </w:r>
            <w:r>
              <w:rPr>
                <w:rFonts w:asciiTheme="minorHAnsi" w:hAnsiTheme="minorHAnsi"/>
              </w:rPr>
              <w:t>Økonomiministeren, finansministeren, sundhedsministeren, justitsministeren, indenrigsministeren og statssekretæren for det nationale lotteri er hver især ansvarlige for gennemførelsen af denne anordning.</w:t>
            </w:r>
          </w:p>
        </w:tc>
      </w:tr>
    </w:tbl>
    <w:p w14:paraId="69FE2AA1" w14:textId="77777777" w:rsidR="009E6A62" w:rsidRPr="006D6750" w:rsidRDefault="009E6A62">
      <w:pPr>
        <w:jc w:val="center"/>
        <w:rPr>
          <w:lang w:val="fr-BE"/>
        </w:rPr>
      </w:pPr>
    </w:p>
    <w:sectPr w:rsidR="009E6A62" w:rsidRPr="006D6750">
      <w:headerReference w:type="default" r:id="rId13"/>
      <w:pgSz w:w="11906" w:h="16838"/>
      <w:pgMar w:top="1417" w:right="1417" w:bottom="1260"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34E3" w14:textId="77777777" w:rsidR="00685DDC" w:rsidRDefault="00685DDC">
      <w:r>
        <w:separator/>
      </w:r>
    </w:p>
  </w:endnote>
  <w:endnote w:type="continuationSeparator" w:id="0">
    <w:p w14:paraId="7AC511EB" w14:textId="77777777" w:rsidR="00685DDC" w:rsidRDefault="0068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F3CD" w14:textId="77777777" w:rsidR="00685DDC" w:rsidRDefault="00685DDC">
      <w:r>
        <w:separator/>
      </w:r>
    </w:p>
  </w:footnote>
  <w:footnote w:type="continuationSeparator" w:id="0">
    <w:p w14:paraId="0D9BF893" w14:textId="77777777" w:rsidR="00685DDC" w:rsidRDefault="0068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2AA6" w14:textId="37B9B95D" w:rsidR="007F6935" w:rsidRDefault="007F69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3CEE">
      <w:rPr>
        <w:rStyle w:val="PageNumber"/>
      </w:rPr>
      <w:t>4</w:t>
    </w:r>
    <w:r>
      <w:rPr>
        <w:rStyle w:val="PageNumber"/>
      </w:rPr>
      <w:fldChar w:fldCharType="end"/>
    </w:r>
  </w:p>
  <w:p w14:paraId="69FE2AA7" w14:textId="77777777" w:rsidR="007F6935" w:rsidRDefault="007F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244"/>
    <w:multiLevelType w:val="hybridMultilevel"/>
    <w:tmpl w:val="A9A0F3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272A7"/>
    <w:multiLevelType w:val="hybridMultilevel"/>
    <w:tmpl w:val="77E647E4"/>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11191E51"/>
    <w:multiLevelType w:val="hybridMultilevel"/>
    <w:tmpl w:val="EDB4D196"/>
    <w:lvl w:ilvl="0" w:tplc="FFFFFFFF">
      <w:start w:val="7"/>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154F3AC8"/>
    <w:multiLevelType w:val="multilevel"/>
    <w:tmpl w:val="C0480F0E"/>
    <w:lvl w:ilvl="0">
      <w:start w:val="1"/>
      <w:numFmt w:val="decimal"/>
      <w:pStyle w:val="Standaardwetgeving"/>
      <w:lvlText w:val="Artikel %1."/>
      <w:lvlJc w:val="left"/>
      <w:pPr>
        <w:ind w:left="360" w:hanging="360"/>
      </w:pPr>
      <w:rPr>
        <w:b/>
        <w:bCs/>
      </w:rPr>
    </w:lvl>
    <w:lvl w:ilvl="1">
      <w:start w:val="1"/>
      <w:numFmt w:val="decimal"/>
      <w:lvlText w:val="%2°"/>
      <w:lvlJc w:val="left"/>
      <w:pPr>
        <w:ind w:left="720" w:hanging="360"/>
      </w:pPr>
    </w:lvl>
    <w:lvl w:ilvl="2">
      <w:start w:val="1"/>
      <w:numFmt w:val="bullet"/>
      <w:lvlText w:val="-"/>
      <w:lvlJc w:val="left"/>
      <w:pPr>
        <w:ind w:left="1080" w:hanging="360"/>
      </w:pPr>
      <w:rPr>
        <w:rFonts w:ascii="Courier New" w:hAnsi="Courier New" w:cs="Times New Roman" w:hint="default"/>
      </w:rPr>
    </w:lvl>
    <w:lvl w:ilvl="3">
      <w:start w:val="1"/>
      <w:numFmt w:val="bullet"/>
      <w:lvlText w:val="-"/>
      <w:lvlJc w:val="left"/>
      <w:pPr>
        <w:ind w:left="1440" w:hanging="360"/>
      </w:pPr>
      <w:rPr>
        <w:rFonts w:ascii="Courier New" w:hAnsi="Courier New"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32743DB"/>
    <w:multiLevelType w:val="hybridMultilevel"/>
    <w:tmpl w:val="A3AC90A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95970AD"/>
    <w:multiLevelType w:val="hybridMultilevel"/>
    <w:tmpl w:val="ED58066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2F267360"/>
    <w:multiLevelType w:val="hybridMultilevel"/>
    <w:tmpl w:val="93629396"/>
    <w:lvl w:ilvl="0" w:tplc="FFFFFFFF">
      <w:start w:val="1"/>
      <w:numFmt w:val="low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Roman"/>
      <w:lvlText w:val="%3."/>
      <w:lvlJc w:val="right"/>
      <w:pPr>
        <w:tabs>
          <w:tab w:val="num" w:pos="3216"/>
        </w:tabs>
        <w:ind w:left="3216" w:hanging="18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7" w15:restartNumberingAfterBreak="0">
    <w:nsid w:val="2FF62C53"/>
    <w:multiLevelType w:val="multilevel"/>
    <w:tmpl w:val="482A01E4"/>
    <w:lvl w:ilvl="0">
      <w:start w:val="1"/>
      <w:numFmt w:val="upp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177BD9"/>
    <w:multiLevelType w:val="hybridMultilevel"/>
    <w:tmpl w:val="DC36C6E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E8205B8"/>
    <w:multiLevelType w:val="hybridMultilevel"/>
    <w:tmpl w:val="6B4A89C0"/>
    <w:lvl w:ilvl="0" w:tplc="FFFFFFFF">
      <w:start w:val="830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4F0A79BE"/>
    <w:multiLevelType w:val="hybridMultilevel"/>
    <w:tmpl w:val="0D8C0CB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E5E05A7"/>
    <w:multiLevelType w:val="multilevel"/>
    <w:tmpl w:val="040C000F"/>
    <w:lvl w:ilvl="0">
      <w:start w:val="1"/>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751E90"/>
    <w:multiLevelType w:val="hybridMultilevel"/>
    <w:tmpl w:val="025E4C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9"/>
  </w:num>
  <w:num w:numId="6">
    <w:abstractNumId w:val="2"/>
  </w:num>
  <w:num w:numId="7">
    <w:abstractNumId w:val="11"/>
  </w:num>
  <w:num w:numId="8">
    <w:abstractNumId w:val="4"/>
  </w:num>
  <w:num w:numId="9">
    <w:abstractNumId w:val="8"/>
  </w:num>
  <w:num w:numId="10">
    <w:abstractNumId w:val="12"/>
  </w:num>
  <w:num w:numId="11">
    <w:abstractNumId w:val="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7E"/>
    <w:rsid w:val="000003D1"/>
    <w:rsid w:val="00002835"/>
    <w:rsid w:val="00007073"/>
    <w:rsid w:val="0000749B"/>
    <w:rsid w:val="000143DB"/>
    <w:rsid w:val="00015057"/>
    <w:rsid w:val="00016219"/>
    <w:rsid w:val="0001647E"/>
    <w:rsid w:val="0003531C"/>
    <w:rsid w:val="00036E33"/>
    <w:rsid w:val="00043739"/>
    <w:rsid w:val="00051A63"/>
    <w:rsid w:val="00057875"/>
    <w:rsid w:val="00060BF6"/>
    <w:rsid w:val="00060C6C"/>
    <w:rsid w:val="00062249"/>
    <w:rsid w:val="00063311"/>
    <w:rsid w:val="00063C53"/>
    <w:rsid w:val="0006676B"/>
    <w:rsid w:val="000703E2"/>
    <w:rsid w:val="0007249A"/>
    <w:rsid w:val="000763CF"/>
    <w:rsid w:val="000801B8"/>
    <w:rsid w:val="00080386"/>
    <w:rsid w:val="00082EA8"/>
    <w:rsid w:val="00095C9F"/>
    <w:rsid w:val="000A0778"/>
    <w:rsid w:val="000A07A9"/>
    <w:rsid w:val="000A083D"/>
    <w:rsid w:val="000A57BF"/>
    <w:rsid w:val="000A78C4"/>
    <w:rsid w:val="000B20C2"/>
    <w:rsid w:val="000B3C51"/>
    <w:rsid w:val="000C3BA6"/>
    <w:rsid w:val="000D05B5"/>
    <w:rsid w:val="000D2A49"/>
    <w:rsid w:val="000D2FC0"/>
    <w:rsid w:val="000E3B6E"/>
    <w:rsid w:val="000E40C6"/>
    <w:rsid w:val="000F46AC"/>
    <w:rsid w:val="000F7935"/>
    <w:rsid w:val="000F7D13"/>
    <w:rsid w:val="00124F6F"/>
    <w:rsid w:val="00127893"/>
    <w:rsid w:val="00133273"/>
    <w:rsid w:val="0013697C"/>
    <w:rsid w:val="0014038C"/>
    <w:rsid w:val="00146732"/>
    <w:rsid w:val="00147DD1"/>
    <w:rsid w:val="0015179D"/>
    <w:rsid w:val="0015323E"/>
    <w:rsid w:val="00154246"/>
    <w:rsid w:val="0015505F"/>
    <w:rsid w:val="0016343E"/>
    <w:rsid w:val="00164A61"/>
    <w:rsid w:val="00165C7E"/>
    <w:rsid w:val="0016681B"/>
    <w:rsid w:val="00175C13"/>
    <w:rsid w:val="00176436"/>
    <w:rsid w:val="0017714F"/>
    <w:rsid w:val="001826CA"/>
    <w:rsid w:val="00185735"/>
    <w:rsid w:val="00191261"/>
    <w:rsid w:val="00191A53"/>
    <w:rsid w:val="00193913"/>
    <w:rsid w:val="001A562F"/>
    <w:rsid w:val="001B2F1C"/>
    <w:rsid w:val="001B578F"/>
    <w:rsid w:val="001C3B01"/>
    <w:rsid w:val="001C4980"/>
    <w:rsid w:val="001C4C9D"/>
    <w:rsid w:val="001C559B"/>
    <w:rsid w:val="001D664B"/>
    <w:rsid w:val="001D6C4E"/>
    <w:rsid w:val="001E0139"/>
    <w:rsid w:val="001E07DD"/>
    <w:rsid w:val="001E0BBA"/>
    <w:rsid w:val="001E558B"/>
    <w:rsid w:val="001E5B6E"/>
    <w:rsid w:val="001E6E7A"/>
    <w:rsid w:val="001F2095"/>
    <w:rsid w:val="001F2441"/>
    <w:rsid w:val="001F2FC1"/>
    <w:rsid w:val="001F3A65"/>
    <w:rsid w:val="001F6307"/>
    <w:rsid w:val="002019D1"/>
    <w:rsid w:val="0020730A"/>
    <w:rsid w:val="00214D78"/>
    <w:rsid w:val="0022227E"/>
    <w:rsid w:val="002235D5"/>
    <w:rsid w:val="00224B07"/>
    <w:rsid w:val="00235F1A"/>
    <w:rsid w:val="00237DAB"/>
    <w:rsid w:val="00242968"/>
    <w:rsid w:val="0025387F"/>
    <w:rsid w:val="00254EEE"/>
    <w:rsid w:val="00266523"/>
    <w:rsid w:val="00275E8B"/>
    <w:rsid w:val="00281DE8"/>
    <w:rsid w:val="00284CA5"/>
    <w:rsid w:val="002872F9"/>
    <w:rsid w:val="00287A4A"/>
    <w:rsid w:val="00294083"/>
    <w:rsid w:val="002959EA"/>
    <w:rsid w:val="002A414C"/>
    <w:rsid w:val="002A707A"/>
    <w:rsid w:val="002B0E32"/>
    <w:rsid w:val="002B1C2F"/>
    <w:rsid w:val="002B1EDB"/>
    <w:rsid w:val="002C1C6B"/>
    <w:rsid w:val="002C1DF8"/>
    <w:rsid w:val="002C24AB"/>
    <w:rsid w:val="002C2588"/>
    <w:rsid w:val="002C557B"/>
    <w:rsid w:val="002C7B8C"/>
    <w:rsid w:val="002D1DB3"/>
    <w:rsid w:val="002D2ACB"/>
    <w:rsid w:val="002D4452"/>
    <w:rsid w:val="002D4B2B"/>
    <w:rsid w:val="002D4E42"/>
    <w:rsid w:val="002E124C"/>
    <w:rsid w:val="002E2992"/>
    <w:rsid w:val="002E40F6"/>
    <w:rsid w:val="002F151D"/>
    <w:rsid w:val="002F27C0"/>
    <w:rsid w:val="002F32DD"/>
    <w:rsid w:val="002F4F59"/>
    <w:rsid w:val="002F6D7F"/>
    <w:rsid w:val="002F718A"/>
    <w:rsid w:val="0030693E"/>
    <w:rsid w:val="00312CFB"/>
    <w:rsid w:val="00314F67"/>
    <w:rsid w:val="00315AB5"/>
    <w:rsid w:val="0032178B"/>
    <w:rsid w:val="00325DD6"/>
    <w:rsid w:val="003335C7"/>
    <w:rsid w:val="00333E5F"/>
    <w:rsid w:val="003340FD"/>
    <w:rsid w:val="00334107"/>
    <w:rsid w:val="003361C4"/>
    <w:rsid w:val="0033707E"/>
    <w:rsid w:val="00340156"/>
    <w:rsid w:val="0034480A"/>
    <w:rsid w:val="00356B0C"/>
    <w:rsid w:val="00356BB8"/>
    <w:rsid w:val="00357825"/>
    <w:rsid w:val="0036032F"/>
    <w:rsid w:val="00360998"/>
    <w:rsid w:val="003611EA"/>
    <w:rsid w:val="00361783"/>
    <w:rsid w:val="003635C6"/>
    <w:rsid w:val="00370DC2"/>
    <w:rsid w:val="0037563A"/>
    <w:rsid w:val="00381387"/>
    <w:rsid w:val="00382B71"/>
    <w:rsid w:val="0038764B"/>
    <w:rsid w:val="00390BE1"/>
    <w:rsid w:val="00391004"/>
    <w:rsid w:val="003920BC"/>
    <w:rsid w:val="003928C6"/>
    <w:rsid w:val="003935C7"/>
    <w:rsid w:val="003A2DD6"/>
    <w:rsid w:val="003A303F"/>
    <w:rsid w:val="003A3A7C"/>
    <w:rsid w:val="003A443E"/>
    <w:rsid w:val="003A461C"/>
    <w:rsid w:val="003A6163"/>
    <w:rsid w:val="003A6F18"/>
    <w:rsid w:val="003C1257"/>
    <w:rsid w:val="003C26FD"/>
    <w:rsid w:val="003C45DC"/>
    <w:rsid w:val="003C71AD"/>
    <w:rsid w:val="003D06CE"/>
    <w:rsid w:val="003D5A5B"/>
    <w:rsid w:val="003D6B80"/>
    <w:rsid w:val="003D751F"/>
    <w:rsid w:val="003E449F"/>
    <w:rsid w:val="003F4F69"/>
    <w:rsid w:val="003F516C"/>
    <w:rsid w:val="003F6043"/>
    <w:rsid w:val="003F6B70"/>
    <w:rsid w:val="00400E4D"/>
    <w:rsid w:val="004027A1"/>
    <w:rsid w:val="00402AF0"/>
    <w:rsid w:val="00405A1A"/>
    <w:rsid w:val="00406691"/>
    <w:rsid w:val="00410955"/>
    <w:rsid w:val="0042100D"/>
    <w:rsid w:val="00433507"/>
    <w:rsid w:val="00437C30"/>
    <w:rsid w:val="00443167"/>
    <w:rsid w:val="004445F4"/>
    <w:rsid w:val="00447A8D"/>
    <w:rsid w:val="004531DC"/>
    <w:rsid w:val="0045596F"/>
    <w:rsid w:val="00455B4F"/>
    <w:rsid w:val="0045629A"/>
    <w:rsid w:val="0046479A"/>
    <w:rsid w:val="00475015"/>
    <w:rsid w:val="00476B62"/>
    <w:rsid w:val="004818C7"/>
    <w:rsid w:val="00484CCB"/>
    <w:rsid w:val="00485206"/>
    <w:rsid w:val="0049053C"/>
    <w:rsid w:val="0049115B"/>
    <w:rsid w:val="00491D38"/>
    <w:rsid w:val="00495C07"/>
    <w:rsid w:val="00495D61"/>
    <w:rsid w:val="0049604B"/>
    <w:rsid w:val="004A333B"/>
    <w:rsid w:val="004A6FE1"/>
    <w:rsid w:val="004B51A1"/>
    <w:rsid w:val="004B5AE7"/>
    <w:rsid w:val="004B7330"/>
    <w:rsid w:val="004C287B"/>
    <w:rsid w:val="004C55EA"/>
    <w:rsid w:val="004C5C05"/>
    <w:rsid w:val="004C63DF"/>
    <w:rsid w:val="004D11F4"/>
    <w:rsid w:val="004D12BF"/>
    <w:rsid w:val="004D3ED4"/>
    <w:rsid w:val="004D4DF4"/>
    <w:rsid w:val="004D64FC"/>
    <w:rsid w:val="004D7B97"/>
    <w:rsid w:val="004F2087"/>
    <w:rsid w:val="004F3BF4"/>
    <w:rsid w:val="0050288A"/>
    <w:rsid w:val="0050697D"/>
    <w:rsid w:val="00506C86"/>
    <w:rsid w:val="00513FCC"/>
    <w:rsid w:val="00524734"/>
    <w:rsid w:val="005253F9"/>
    <w:rsid w:val="0052608A"/>
    <w:rsid w:val="00526C98"/>
    <w:rsid w:val="00535122"/>
    <w:rsid w:val="00544722"/>
    <w:rsid w:val="005448AD"/>
    <w:rsid w:val="00546773"/>
    <w:rsid w:val="005504C1"/>
    <w:rsid w:val="0055267E"/>
    <w:rsid w:val="00552D09"/>
    <w:rsid w:val="005552FB"/>
    <w:rsid w:val="005575BD"/>
    <w:rsid w:val="00557D4A"/>
    <w:rsid w:val="00561B0A"/>
    <w:rsid w:val="00562FB4"/>
    <w:rsid w:val="00563A07"/>
    <w:rsid w:val="005647F9"/>
    <w:rsid w:val="00565E6D"/>
    <w:rsid w:val="00573EE3"/>
    <w:rsid w:val="00581089"/>
    <w:rsid w:val="005832DA"/>
    <w:rsid w:val="00583F66"/>
    <w:rsid w:val="00587AC9"/>
    <w:rsid w:val="0059126F"/>
    <w:rsid w:val="005918EA"/>
    <w:rsid w:val="0059242B"/>
    <w:rsid w:val="0059320D"/>
    <w:rsid w:val="00595153"/>
    <w:rsid w:val="005A0F62"/>
    <w:rsid w:val="005A1411"/>
    <w:rsid w:val="005A761B"/>
    <w:rsid w:val="005A7C84"/>
    <w:rsid w:val="005B0D02"/>
    <w:rsid w:val="005B3601"/>
    <w:rsid w:val="005C1801"/>
    <w:rsid w:val="005C1D1C"/>
    <w:rsid w:val="005C35E1"/>
    <w:rsid w:val="005C492D"/>
    <w:rsid w:val="005C55A0"/>
    <w:rsid w:val="005C74DA"/>
    <w:rsid w:val="005D003E"/>
    <w:rsid w:val="005D0783"/>
    <w:rsid w:val="005D0FA5"/>
    <w:rsid w:val="005E0B80"/>
    <w:rsid w:val="005E63AA"/>
    <w:rsid w:val="005F0EFF"/>
    <w:rsid w:val="005F69E1"/>
    <w:rsid w:val="006063FD"/>
    <w:rsid w:val="00613E29"/>
    <w:rsid w:val="00617461"/>
    <w:rsid w:val="00633757"/>
    <w:rsid w:val="00633EB0"/>
    <w:rsid w:val="006403EF"/>
    <w:rsid w:val="00640A49"/>
    <w:rsid w:val="00640B80"/>
    <w:rsid w:val="006473ED"/>
    <w:rsid w:val="00662139"/>
    <w:rsid w:val="00664BBB"/>
    <w:rsid w:val="006661E8"/>
    <w:rsid w:val="00671B4D"/>
    <w:rsid w:val="00681EA3"/>
    <w:rsid w:val="00685794"/>
    <w:rsid w:val="00685DDC"/>
    <w:rsid w:val="006941F6"/>
    <w:rsid w:val="00695BBC"/>
    <w:rsid w:val="006A30B9"/>
    <w:rsid w:val="006A4747"/>
    <w:rsid w:val="006B556D"/>
    <w:rsid w:val="006B7536"/>
    <w:rsid w:val="006B763D"/>
    <w:rsid w:val="006C3787"/>
    <w:rsid w:val="006D1600"/>
    <w:rsid w:val="006D560F"/>
    <w:rsid w:val="006D6750"/>
    <w:rsid w:val="006D682F"/>
    <w:rsid w:val="006E34E3"/>
    <w:rsid w:val="006E55A0"/>
    <w:rsid w:val="006E5C82"/>
    <w:rsid w:val="006E7A44"/>
    <w:rsid w:val="006F209C"/>
    <w:rsid w:val="006F22D5"/>
    <w:rsid w:val="006F24B2"/>
    <w:rsid w:val="006F45E5"/>
    <w:rsid w:val="006F795B"/>
    <w:rsid w:val="0070647E"/>
    <w:rsid w:val="007112FB"/>
    <w:rsid w:val="00712F67"/>
    <w:rsid w:val="00714C89"/>
    <w:rsid w:val="00715988"/>
    <w:rsid w:val="00717284"/>
    <w:rsid w:val="00720619"/>
    <w:rsid w:val="007248C3"/>
    <w:rsid w:val="007269CA"/>
    <w:rsid w:val="00727460"/>
    <w:rsid w:val="00731983"/>
    <w:rsid w:val="00731DAE"/>
    <w:rsid w:val="007377C9"/>
    <w:rsid w:val="007507D1"/>
    <w:rsid w:val="00760635"/>
    <w:rsid w:val="00760DAD"/>
    <w:rsid w:val="00765214"/>
    <w:rsid w:val="00773B38"/>
    <w:rsid w:val="0077462D"/>
    <w:rsid w:val="007757B0"/>
    <w:rsid w:val="00785AF2"/>
    <w:rsid w:val="00794807"/>
    <w:rsid w:val="00794F9A"/>
    <w:rsid w:val="00797C84"/>
    <w:rsid w:val="00797FFB"/>
    <w:rsid w:val="007A393A"/>
    <w:rsid w:val="007A69F1"/>
    <w:rsid w:val="007B1A21"/>
    <w:rsid w:val="007B4F9E"/>
    <w:rsid w:val="007B6912"/>
    <w:rsid w:val="007C6B4F"/>
    <w:rsid w:val="007D38DE"/>
    <w:rsid w:val="007D5FEB"/>
    <w:rsid w:val="007E313D"/>
    <w:rsid w:val="007E553F"/>
    <w:rsid w:val="007E6F84"/>
    <w:rsid w:val="007F153D"/>
    <w:rsid w:val="007F1E2F"/>
    <w:rsid w:val="007F5C40"/>
    <w:rsid w:val="007F6935"/>
    <w:rsid w:val="007F6EEC"/>
    <w:rsid w:val="00803C5B"/>
    <w:rsid w:val="0081171B"/>
    <w:rsid w:val="00814045"/>
    <w:rsid w:val="00814C44"/>
    <w:rsid w:val="008234F2"/>
    <w:rsid w:val="00823C1E"/>
    <w:rsid w:val="00825483"/>
    <w:rsid w:val="00827A35"/>
    <w:rsid w:val="008321C0"/>
    <w:rsid w:val="00832C4C"/>
    <w:rsid w:val="00832E80"/>
    <w:rsid w:val="00833399"/>
    <w:rsid w:val="008360A6"/>
    <w:rsid w:val="00840E67"/>
    <w:rsid w:val="00841347"/>
    <w:rsid w:val="00841D3A"/>
    <w:rsid w:val="00843E6D"/>
    <w:rsid w:val="0084730F"/>
    <w:rsid w:val="008474A7"/>
    <w:rsid w:val="00852042"/>
    <w:rsid w:val="0085257D"/>
    <w:rsid w:val="008526BA"/>
    <w:rsid w:val="0085576F"/>
    <w:rsid w:val="00861DD8"/>
    <w:rsid w:val="00863174"/>
    <w:rsid w:val="00864590"/>
    <w:rsid w:val="008652CB"/>
    <w:rsid w:val="00865F1E"/>
    <w:rsid w:val="008661E8"/>
    <w:rsid w:val="008676CF"/>
    <w:rsid w:val="00876BA1"/>
    <w:rsid w:val="00884F2D"/>
    <w:rsid w:val="0089312C"/>
    <w:rsid w:val="00897C0D"/>
    <w:rsid w:val="008A0A18"/>
    <w:rsid w:val="008A668F"/>
    <w:rsid w:val="008B1A4F"/>
    <w:rsid w:val="008B221B"/>
    <w:rsid w:val="008B4C02"/>
    <w:rsid w:val="008C4A7C"/>
    <w:rsid w:val="008C572A"/>
    <w:rsid w:val="008D0B74"/>
    <w:rsid w:val="008D2F43"/>
    <w:rsid w:val="008D78EE"/>
    <w:rsid w:val="008E1263"/>
    <w:rsid w:val="008E28F1"/>
    <w:rsid w:val="008E3CEE"/>
    <w:rsid w:val="008E4784"/>
    <w:rsid w:val="008E620A"/>
    <w:rsid w:val="008E6514"/>
    <w:rsid w:val="008E6A43"/>
    <w:rsid w:val="008E74A8"/>
    <w:rsid w:val="008F2BBC"/>
    <w:rsid w:val="008F3AD9"/>
    <w:rsid w:val="008F60F2"/>
    <w:rsid w:val="0090322B"/>
    <w:rsid w:val="00907B06"/>
    <w:rsid w:val="00910B6D"/>
    <w:rsid w:val="009125C0"/>
    <w:rsid w:val="009148A0"/>
    <w:rsid w:val="009155B4"/>
    <w:rsid w:val="00922D32"/>
    <w:rsid w:val="009272CB"/>
    <w:rsid w:val="009272D1"/>
    <w:rsid w:val="00927F91"/>
    <w:rsid w:val="009308CF"/>
    <w:rsid w:val="00936F46"/>
    <w:rsid w:val="0093778E"/>
    <w:rsid w:val="00937FB3"/>
    <w:rsid w:val="00951343"/>
    <w:rsid w:val="00951524"/>
    <w:rsid w:val="00952FE9"/>
    <w:rsid w:val="0095489D"/>
    <w:rsid w:val="00954A9C"/>
    <w:rsid w:val="009656C3"/>
    <w:rsid w:val="00965BF2"/>
    <w:rsid w:val="00972A6D"/>
    <w:rsid w:val="00973D0B"/>
    <w:rsid w:val="00975F66"/>
    <w:rsid w:val="009807DA"/>
    <w:rsid w:val="0098108A"/>
    <w:rsid w:val="00981CA4"/>
    <w:rsid w:val="0099433E"/>
    <w:rsid w:val="00995845"/>
    <w:rsid w:val="00997FC4"/>
    <w:rsid w:val="009A0F77"/>
    <w:rsid w:val="009A23C0"/>
    <w:rsid w:val="009A328E"/>
    <w:rsid w:val="009A544C"/>
    <w:rsid w:val="009A6AFC"/>
    <w:rsid w:val="009B16D6"/>
    <w:rsid w:val="009C31AA"/>
    <w:rsid w:val="009C3DC3"/>
    <w:rsid w:val="009D19A8"/>
    <w:rsid w:val="009D3B91"/>
    <w:rsid w:val="009E21FB"/>
    <w:rsid w:val="009E2446"/>
    <w:rsid w:val="009E2456"/>
    <w:rsid w:val="009E56BD"/>
    <w:rsid w:val="009E6A62"/>
    <w:rsid w:val="009E703F"/>
    <w:rsid w:val="009F5395"/>
    <w:rsid w:val="00A00D4D"/>
    <w:rsid w:val="00A047EE"/>
    <w:rsid w:val="00A146A0"/>
    <w:rsid w:val="00A203CA"/>
    <w:rsid w:val="00A30223"/>
    <w:rsid w:val="00A3025B"/>
    <w:rsid w:val="00A31645"/>
    <w:rsid w:val="00A35544"/>
    <w:rsid w:val="00A369D9"/>
    <w:rsid w:val="00A37EC3"/>
    <w:rsid w:val="00A40957"/>
    <w:rsid w:val="00A425FC"/>
    <w:rsid w:val="00A42C83"/>
    <w:rsid w:val="00A43BDD"/>
    <w:rsid w:val="00A4517B"/>
    <w:rsid w:val="00A4691C"/>
    <w:rsid w:val="00A46FA0"/>
    <w:rsid w:val="00A509C2"/>
    <w:rsid w:val="00A53C81"/>
    <w:rsid w:val="00A60132"/>
    <w:rsid w:val="00A62244"/>
    <w:rsid w:val="00A633E1"/>
    <w:rsid w:val="00A638B0"/>
    <w:rsid w:val="00A6494B"/>
    <w:rsid w:val="00A71B42"/>
    <w:rsid w:val="00A72C53"/>
    <w:rsid w:val="00A72F21"/>
    <w:rsid w:val="00A8088E"/>
    <w:rsid w:val="00A8311E"/>
    <w:rsid w:val="00AA2C7F"/>
    <w:rsid w:val="00AA59B3"/>
    <w:rsid w:val="00AB12BC"/>
    <w:rsid w:val="00AB3422"/>
    <w:rsid w:val="00AB3D8F"/>
    <w:rsid w:val="00AB7E03"/>
    <w:rsid w:val="00AC4196"/>
    <w:rsid w:val="00AC4894"/>
    <w:rsid w:val="00AC7458"/>
    <w:rsid w:val="00AD1769"/>
    <w:rsid w:val="00AD59E6"/>
    <w:rsid w:val="00AE2ED2"/>
    <w:rsid w:val="00AE5087"/>
    <w:rsid w:val="00AE5101"/>
    <w:rsid w:val="00AE62BF"/>
    <w:rsid w:val="00AF08FF"/>
    <w:rsid w:val="00AF0CBA"/>
    <w:rsid w:val="00AF124F"/>
    <w:rsid w:val="00AF25F5"/>
    <w:rsid w:val="00B0046D"/>
    <w:rsid w:val="00B06482"/>
    <w:rsid w:val="00B11F78"/>
    <w:rsid w:val="00B15580"/>
    <w:rsid w:val="00B21506"/>
    <w:rsid w:val="00B22D88"/>
    <w:rsid w:val="00B23C04"/>
    <w:rsid w:val="00B50B6B"/>
    <w:rsid w:val="00B50BA6"/>
    <w:rsid w:val="00B528AB"/>
    <w:rsid w:val="00B538D3"/>
    <w:rsid w:val="00B57775"/>
    <w:rsid w:val="00B62955"/>
    <w:rsid w:val="00B64629"/>
    <w:rsid w:val="00B65443"/>
    <w:rsid w:val="00B66D1C"/>
    <w:rsid w:val="00B73016"/>
    <w:rsid w:val="00B733CC"/>
    <w:rsid w:val="00B805A3"/>
    <w:rsid w:val="00B83E9F"/>
    <w:rsid w:val="00B84F67"/>
    <w:rsid w:val="00B85FBC"/>
    <w:rsid w:val="00B86E09"/>
    <w:rsid w:val="00B91CED"/>
    <w:rsid w:val="00B9294A"/>
    <w:rsid w:val="00B93BB4"/>
    <w:rsid w:val="00B950BF"/>
    <w:rsid w:val="00B9742E"/>
    <w:rsid w:val="00BA1916"/>
    <w:rsid w:val="00BA294D"/>
    <w:rsid w:val="00BA532E"/>
    <w:rsid w:val="00BA764F"/>
    <w:rsid w:val="00BB267B"/>
    <w:rsid w:val="00BB49F4"/>
    <w:rsid w:val="00BB5732"/>
    <w:rsid w:val="00BB5BC4"/>
    <w:rsid w:val="00BC2E4A"/>
    <w:rsid w:val="00BC406B"/>
    <w:rsid w:val="00BC48AD"/>
    <w:rsid w:val="00BC52A3"/>
    <w:rsid w:val="00BD4979"/>
    <w:rsid w:val="00BE04FF"/>
    <w:rsid w:val="00BE1728"/>
    <w:rsid w:val="00BE2E03"/>
    <w:rsid w:val="00BE5EFE"/>
    <w:rsid w:val="00BF0331"/>
    <w:rsid w:val="00BF13A1"/>
    <w:rsid w:val="00BF3D13"/>
    <w:rsid w:val="00BF52C6"/>
    <w:rsid w:val="00BF5EB8"/>
    <w:rsid w:val="00BF7847"/>
    <w:rsid w:val="00C0207F"/>
    <w:rsid w:val="00C1059F"/>
    <w:rsid w:val="00C10E52"/>
    <w:rsid w:val="00C116EF"/>
    <w:rsid w:val="00C20C82"/>
    <w:rsid w:val="00C27258"/>
    <w:rsid w:val="00C32646"/>
    <w:rsid w:val="00C35CC6"/>
    <w:rsid w:val="00C36B52"/>
    <w:rsid w:val="00C434CE"/>
    <w:rsid w:val="00C450D3"/>
    <w:rsid w:val="00C605D0"/>
    <w:rsid w:val="00C61C01"/>
    <w:rsid w:val="00C625EF"/>
    <w:rsid w:val="00C67B61"/>
    <w:rsid w:val="00C67BE0"/>
    <w:rsid w:val="00C702DD"/>
    <w:rsid w:val="00C7147F"/>
    <w:rsid w:val="00C73C13"/>
    <w:rsid w:val="00C8019E"/>
    <w:rsid w:val="00C80D13"/>
    <w:rsid w:val="00C85902"/>
    <w:rsid w:val="00C923CB"/>
    <w:rsid w:val="00C94EB0"/>
    <w:rsid w:val="00C96472"/>
    <w:rsid w:val="00CA217B"/>
    <w:rsid w:val="00CA2C4A"/>
    <w:rsid w:val="00CA4F5E"/>
    <w:rsid w:val="00CB0098"/>
    <w:rsid w:val="00CB1E81"/>
    <w:rsid w:val="00CB38DE"/>
    <w:rsid w:val="00CB3D73"/>
    <w:rsid w:val="00CB77B5"/>
    <w:rsid w:val="00CC245A"/>
    <w:rsid w:val="00CD3EA1"/>
    <w:rsid w:val="00CD417F"/>
    <w:rsid w:val="00CD60C9"/>
    <w:rsid w:val="00CE187B"/>
    <w:rsid w:val="00CE430A"/>
    <w:rsid w:val="00CE5387"/>
    <w:rsid w:val="00CF27F6"/>
    <w:rsid w:val="00D0077F"/>
    <w:rsid w:val="00D0172C"/>
    <w:rsid w:val="00D01FEA"/>
    <w:rsid w:val="00D02E65"/>
    <w:rsid w:val="00D05DB4"/>
    <w:rsid w:val="00D07A36"/>
    <w:rsid w:val="00D10942"/>
    <w:rsid w:val="00D13AB3"/>
    <w:rsid w:val="00D20014"/>
    <w:rsid w:val="00D20041"/>
    <w:rsid w:val="00D210B1"/>
    <w:rsid w:val="00D275FE"/>
    <w:rsid w:val="00D30829"/>
    <w:rsid w:val="00D31BCD"/>
    <w:rsid w:val="00D341D9"/>
    <w:rsid w:val="00D35753"/>
    <w:rsid w:val="00D35945"/>
    <w:rsid w:val="00D36A41"/>
    <w:rsid w:val="00D4117F"/>
    <w:rsid w:val="00D4285E"/>
    <w:rsid w:val="00D5196B"/>
    <w:rsid w:val="00D63BF6"/>
    <w:rsid w:val="00D64262"/>
    <w:rsid w:val="00D741A9"/>
    <w:rsid w:val="00D77A0A"/>
    <w:rsid w:val="00D85416"/>
    <w:rsid w:val="00D92970"/>
    <w:rsid w:val="00D9317B"/>
    <w:rsid w:val="00D95163"/>
    <w:rsid w:val="00D9658E"/>
    <w:rsid w:val="00D96F74"/>
    <w:rsid w:val="00DA00DC"/>
    <w:rsid w:val="00DA1D75"/>
    <w:rsid w:val="00DA34AE"/>
    <w:rsid w:val="00DB3A6C"/>
    <w:rsid w:val="00DC05D6"/>
    <w:rsid w:val="00DC6562"/>
    <w:rsid w:val="00DD05D8"/>
    <w:rsid w:val="00DD2823"/>
    <w:rsid w:val="00DD2E94"/>
    <w:rsid w:val="00DD2F87"/>
    <w:rsid w:val="00DD3B10"/>
    <w:rsid w:val="00DD5DD8"/>
    <w:rsid w:val="00DE0FC0"/>
    <w:rsid w:val="00DE21EC"/>
    <w:rsid w:val="00DE3C81"/>
    <w:rsid w:val="00DE7049"/>
    <w:rsid w:val="00DF01B8"/>
    <w:rsid w:val="00DF52C0"/>
    <w:rsid w:val="00E050B8"/>
    <w:rsid w:val="00E06571"/>
    <w:rsid w:val="00E123AE"/>
    <w:rsid w:val="00E1544C"/>
    <w:rsid w:val="00E22428"/>
    <w:rsid w:val="00E22F2C"/>
    <w:rsid w:val="00E31165"/>
    <w:rsid w:val="00E31729"/>
    <w:rsid w:val="00E368C4"/>
    <w:rsid w:val="00E401E4"/>
    <w:rsid w:val="00E4149C"/>
    <w:rsid w:val="00E43C76"/>
    <w:rsid w:val="00E45E18"/>
    <w:rsid w:val="00E51FC7"/>
    <w:rsid w:val="00E52731"/>
    <w:rsid w:val="00E54134"/>
    <w:rsid w:val="00E54EF4"/>
    <w:rsid w:val="00E57A59"/>
    <w:rsid w:val="00E62D01"/>
    <w:rsid w:val="00E703FB"/>
    <w:rsid w:val="00E70B72"/>
    <w:rsid w:val="00E737D7"/>
    <w:rsid w:val="00E804C2"/>
    <w:rsid w:val="00E80A42"/>
    <w:rsid w:val="00E82EA4"/>
    <w:rsid w:val="00E83522"/>
    <w:rsid w:val="00E86CE2"/>
    <w:rsid w:val="00E904E0"/>
    <w:rsid w:val="00E90A2A"/>
    <w:rsid w:val="00E92976"/>
    <w:rsid w:val="00E9405B"/>
    <w:rsid w:val="00EA66B6"/>
    <w:rsid w:val="00EA73C1"/>
    <w:rsid w:val="00EB13B3"/>
    <w:rsid w:val="00EC0121"/>
    <w:rsid w:val="00EC0A09"/>
    <w:rsid w:val="00EC1643"/>
    <w:rsid w:val="00EC30CB"/>
    <w:rsid w:val="00EC5713"/>
    <w:rsid w:val="00EC7394"/>
    <w:rsid w:val="00EC773E"/>
    <w:rsid w:val="00ED14E3"/>
    <w:rsid w:val="00ED2AC6"/>
    <w:rsid w:val="00ED44CA"/>
    <w:rsid w:val="00ED5EA7"/>
    <w:rsid w:val="00ED60A7"/>
    <w:rsid w:val="00ED66CA"/>
    <w:rsid w:val="00EE12D2"/>
    <w:rsid w:val="00EE4FAA"/>
    <w:rsid w:val="00EE5071"/>
    <w:rsid w:val="00EF0182"/>
    <w:rsid w:val="00EF4E24"/>
    <w:rsid w:val="00F00D67"/>
    <w:rsid w:val="00F0148F"/>
    <w:rsid w:val="00F01F55"/>
    <w:rsid w:val="00F02163"/>
    <w:rsid w:val="00F05465"/>
    <w:rsid w:val="00F05D42"/>
    <w:rsid w:val="00F06088"/>
    <w:rsid w:val="00F13009"/>
    <w:rsid w:val="00F13DEB"/>
    <w:rsid w:val="00F20D9C"/>
    <w:rsid w:val="00F21859"/>
    <w:rsid w:val="00F237D9"/>
    <w:rsid w:val="00F26A2C"/>
    <w:rsid w:val="00F2778A"/>
    <w:rsid w:val="00F27A9A"/>
    <w:rsid w:val="00F27CAC"/>
    <w:rsid w:val="00F3212F"/>
    <w:rsid w:val="00F32844"/>
    <w:rsid w:val="00F32FE1"/>
    <w:rsid w:val="00F33A5D"/>
    <w:rsid w:val="00F34BDB"/>
    <w:rsid w:val="00F4189A"/>
    <w:rsid w:val="00F43ACA"/>
    <w:rsid w:val="00F528B1"/>
    <w:rsid w:val="00F53516"/>
    <w:rsid w:val="00F547E7"/>
    <w:rsid w:val="00F56B6A"/>
    <w:rsid w:val="00F62498"/>
    <w:rsid w:val="00F70EE8"/>
    <w:rsid w:val="00F73C35"/>
    <w:rsid w:val="00F86DAB"/>
    <w:rsid w:val="00F91625"/>
    <w:rsid w:val="00F92EFF"/>
    <w:rsid w:val="00F96A55"/>
    <w:rsid w:val="00F97EE9"/>
    <w:rsid w:val="00FA56E3"/>
    <w:rsid w:val="00FA5EAA"/>
    <w:rsid w:val="00FA60B9"/>
    <w:rsid w:val="00FA7B88"/>
    <w:rsid w:val="00FB1FE6"/>
    <w:rsid w:val="00FB2C71"/>
    <w:rsid w:val="00FB36E7"/>
    <w:rsid w:val="00FB5465"/>
    <w:rsid w:val="00FC19CE"/>
    <w:rsid w:val="00FC1F05"/>
    <w:rsid w:val="00FC35D0"/>
    <w:rsid w:val="00FC6DF2"/>
    <w:rsid w:val="00FD07F5"/>
    <w:rsid w:val="00FD1A64"/>
    <w:rsid w:val="00FD23B3"/>
    <w:rsid w:val="00FD59CA"/>
    <w:rsid w:val="00FD5FBE"/>
    <w:rsid w:val="00FE2523"/>
    <w:rsid w:val="00FE2B3E"/>
    <w:rsid w:val="00FE4321"/>
    <w:rsid w:val="00FE4DA2"/>
    <w:rsid w:val="00FE5753"/>
    <w:rsid w:val="00FF0499"/>
    <w:rsid w:val="00FF0794"/>
    <w:rsid w:val="00FF34A3"/>
    <w:rsid w:val="00FF45EC"/>
    <w:rsid w:val="00FF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E293F"/>
  <w15:docId w15:val="{1B3F6E95-64AB-4A05-81C2-41B9665C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Heading4">
    <w:name w:val="heading 4"/>
    <w:basedOn w:val="Normal"/>
    <w:next w:val="Normal"/>
    <w:qFormat/>
    <w:pPr>
      <w:keepNext/>
      <w:jc w:val="both"/>
      <w:outlineLvl w:val="3"/>
    </w:pPr>
    <w:rPr>
      <w:b/>
      <w:bCs/>
      <w:snapToGrid w:val="0"/>
      <w:u w:val="single"/>
      <w:lang w:eastAsia="en-US"/>
    </w:rPr>
  </w:style>
  <w:style w:type="paragraph" w:styleId="Heading5">
    <w:name w:val="heading 5"/>
    <w:basedOn w:val="Normal"/>
    <w:next w:val="Normal"/>
    <w:qFormat/>
    <w:pPr>
      <w:keepNext/>
      <w:outlineLvl w:val="4"/>
    </w:pPr>
    <w:rPr>
      <w:b/>
      <w:bCs/>
      <w:snapToGrid w:val="0"/>
      <w:u w:val="single"/>
      <w:lang w:eastAsia="en-US"/>
    </w:rPr>
  </w:style>
  <w:style w:type="paragraph" w:styleId="Heading6">
    <w:name w:val="heading 6"/>
    <w:basedOn w:val="Normal"/>
    <w:next w:val="Normal"/>
    <w:qFormat/>
    <w:pPr>
      <w:keepNext/>
      <w:jc w:val="both"/>
      <w:outlineLvl w:val="5"/>
    </w:pPr>
    <w:rPr>
      <w:b/>
      <w:bCs/>
      <w:snapToGrid w:val="0"/>
      <w:lang w:eastAsia="en-US"/>
    </w:rPr>
  </w:style>
  <w:style w:type="paragraph" w:styleId="Heading7">
    <w:name w:val="heading 7"/>
    <w:basedOn w:val="Normal"/>
    <w:next w:val="Normal"/>
    <w:qFormat/>
    <w:pPr>
      <w:keepNext/>
      <w:ind w:left="-70"/>
      <w:jc w:val="center"/>
      <w:outlineLvl w:val="6"/>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pPr>
      <w:ind w:firstLine="1631"/>
      <w:jc w:val="both"/>
    </w:pPr>
    <w:rPr>
      <w:snapToGrid w:val="0"/>
      <w:lang w:eastAsia="en-US"/>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snapToGrid w:val="0"/>
      <w:sz w:val="20"/>
      <w:szCs w:val="20"/>
      <w:lang w:eastAsia="en-US"/>
    </w:rPr>
  </w:style>
  <w:style w:type="character" w:styleId="Hyperlink">
    <w:name w:val="Hyperlink"/>
    <w:semiHidden/>
    <w:rPr>
      <w:color w:val="0000FF"/>
      <w:u w:val="single"/>
    </w:rPr>
  </w:style>
  <w:style w:type="paragraph" w:styleId="BodyText">
    <w:name w:val="Body Text"/>
    <w:basedOn w:val="Normal"/>
    <w:semiHidden/>
    <w:pPr>
      <w:jc w:val="both"/>
    </w:pPr>
  </w:style>
  <w:style w:type="paragraph" w:styleId="BalloonText">
    <w:name w:val="Balloon Text"/>
    <w:basedOn w:val="Normal"/>
    <w:link w:val="BalloonTextChar"/>
    <w:uiPriority w:val="99"/>
    <w:semiHidden/>
    <w:unhideWhenUsed/>
    <w:rsid w:val="007F6EEC"/>
    <w:rPr>
      <w:rFonts w:ascii="Tahoma" w:hAnsi="Tahoma" w:cs="Tahoma"/>
      <w:sz w:val="16"/>
      <w:szCs w:val="16"/>
    </w:rPr>
  </w:style>
  <w:style w:type="character" w:customStyle="1" w:styleId="BalloonTextChar">
    <w:name w:val="Balloon Text Char"/>
    <w:link w:val="BalloonText"/>
    <w:uiPriority w:val="99"/>
    <w:semiHidden/>
    <w:rsid w:val="007F6EEC"/>
    <w:rPr>
      <w:rFonts w:ascii="Tahoma" w:hAnsi="Tahoma" w:cs="Tahoma"/>
      <w:sz w:val="16"/>
      <w:szCs w:val="16"/>
      <w:lang w:val="da-DK" w:eastAsia="fr-FR"/>
    </w:rPr>
  </w:style>
  <w:style w:type="character" w:customStyle="1" w:styleId="BodyTextIndent2Char">
    <w:name w:val="Body Text Indent 2 Char"/>
    <w:link w:val="BodyTextIndent2"/>
    <w:semiHidden/>
    <w:rsid w:val="008321C0"/>
    <w:rPr>
      <w:snapToGrid w:val="0"/>
      <w:sz w:val="24"/>
      <w:szCs w:val="24"/>
      <w:lang w:val="da-DK" w:eastAsia="en-US"/>
    </w:rPr>
  </w:style>
  <w:style w:type="paragraph" w:styleId="ListParagraph">
    <w:name w:val="List Paragraph"/>
    <w:basedOn w:val="Normal"/>
    <w:uiPriority w:val="34"/>
    <w:qFormat/>
    <w:rsid w:val="00B15580"/>
    <w:pPr>
      <w:ind w:left="720"/>
      <w:contextualSpacing/>
    </w:pPr>
  </w:style>
  <w:style w:type="character" w:styleId="CommentReference">
    <w:name w:val="annotation reference"/>
    <w:basedOn w:val="DefaultParagraphFont"/>
    <w:uiPriority w:val="99"/>
    <w:semiHidden/>
    <w:unhideWhenUsed/>
    <w:rsid w:val="00E45E18"/>
    <w:rPr>
      <w:sz w:val="16"/>
      <w:szCs w:val="16"/>
    </w:rPr>
  </w:style>
  <w:style w:type="paragraph" w:styleId="CommentText">
    <w:name w:val="annotation text"/>
    <w:basedOn w:val="Normal"/>
    <w:link w:val="CommentTextChar"/>
    <w:uiPriority w:val="99"/>
    <w:semiHidden/>
    <w:unhideWhenUsed/>
    <w:rsid w:val="00E45E18"/>
    <w:rPr>
      <w:sz w:val="20"/>
      <w:szCs w:val="20"/>
    </w:rPr>
  </w:style>
  <w:style w:type="character" w:customStyle="1" w:styleId="CommentTextChar">
    <w:name w:val="Comment Text Char"/>
    <w:basedOn w:val="DefaultParagraphFont"/>
    <w:link w:val="CommentText"/>
    <w:uiPriority w:val="99"/>
    <w:semiHidden/>
    <w:rsid w:val="00E45E18"/>
    <w:rPr>
      <w:lang w:val="da-DK" w:eastAsia="fr-FR"/>
    </w:rPr>
  </w:style>
  <w:style w:type="paragraph" w:styleId="CommentSubject">
    <w:name w:val="annotation subject"/>
    <w:basedOn w:val="CommentText"/>
    <w:next w:val="CommentText"/>
    <w:link w:val="CommentSubjectChar"/>
    <w:uiPriority w:val="99"/>
    <w:semiHidden/>
    <w:unhideWhenUsed/>
    <w:rsid w:val="00E45E18"/>
    <w:rPr>
      <w:b/>
      <w:bCs/>
    </w:rPr>
  </w:style>
  <w:style w:type="character" w:customStyle="1" w:styleId="CommentSubjectChar">
    <w:name w:val="Comment Subject Char"/>
    <w:basedOn w:val="CommentTextChar"/>
    <w:link w:val="CommentSubject"/>
    <w:uiPriority w:val="99"/>
    <w:semiHidden/>
    <w:rsid w:val="00E45E18"/>
    <w:rPr>
      <w:b/>
      <w:bCs/>
      <w:lang w:val="da-DK" w:eastAsia="fr-FR"/>
    </w:rPr>
  </w:style>
  <w:style w:type="character" w:customStyle="1" w:styleId="gh1">
    <w:name w:val="gh1"/>
    <w:basedOn w:val="DefaultParagraphFont"/>
    <w:rsid w:val="00DE3C81"/>
    <w:rPr>
      <w:rFonts w:ascii="Verdana" w:hAnsi="Verdana" w:hint="default"/>
      <w:b/>
      <w:bCs/>
      <w:color w:val="673693"/>
      <w:sz w:val="25"/>
      <w:szCs w:val="25"/>
    </w:rPr>
  </w:style>
  <w:style w:type="paragraph" w:customStyle="1" w:styleId="Standaardwetgeving">
    <w:name w:val="Standaard wetgeving"/>
    <w:basedOn w:val="ListParagraph"/>
    <w:qFormat/>
    <w:rsid w:val="0015323E"/>
    <w:pPr>
      <w:numPr>
        <w:numId w:val="11"/>
      </w:numPr>
      <w:tabs>
        <w:tab w:val="num" w:pos="360"/>
      </w:tabs>
      <w:spacing w:after="200" w:line="276" w:lineRule="auto"/>
      <w:ind w:left="720" w:firstLine="0"/>
      <w:contextualSpacing w:val="0"/>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12559">
      <w:bodyDiv w:val="1"/>
      <w:marLeft w:val="0"/>
      <w:marRight w:val="0"/>
      <w:marTop w:val="0"/>
      <w:marBottom w:val="0"/>
      <w:divBdr>
        <w:top w:val="none" w:sz="0" w:space="0" w:color="auto"/>
        <w:left w:val="none" w:sz="0" w:space="0" w:color="auto"/>
        <w:bottom w:val="none" w:sz="0" w:space="0" w:color="auto"/>
        <w:right w:val="none" w:sz="0" w:space="0" w:color="auto"/>
      </w:divBdr>
    </w:div>
    <w:div w:id="931162973">
      <w:bodyDiv w:val="1"/>
      <w:marLeft w:val="0"/>
      <w:marRight w:val="0"/>
      <w:marTop w:val="0"/>
      <w:marBottom w:val="0"/>
      <w:divBdr>
        <w:top w:val="none" w:sz="0" w:space="0" w:color="auto"/>
        <w:left w:val="none" w:sz="0" w:space="0" w:color="auto"/>
        <w:bottom w:val="none" w:sz="0" w:space="0" w:color="auto"/>
        <w:right w:val="none" w:sz="0" w:space="0" w:color="auto"/>
      </w:divBdr>
    </w:div>
    <w:div w:id="1025330135">
      <w:bodyDiv w:val="1"/>
      <w:marLeft w:val="0"/>
      <w:marRight w:val="0"/>
      <w:marTop w:val="0"/>
      <w:marBottom w:val="0"/>
      <w:divBdr>
        <w:top w:val="none" w:sz="0" w:space="0" w:color="auto"/>
        <w:left w:val="none" w:sz="0" w:space="0" w:color="auto"/>
        <w:bottom w:val="none" w:sz="0" w:space="0" w:color="auto"/>
        <w:right w:val="none" w:sz="0" w:space="0" w:color="auto"/>
      </w:divBdr>
    </w:div>
    <w:div w:id="1480725268">
      <w:bodyDiv w:val="1"/>
      <w:marLeft w:val="0"/>
      <w:marRight w:val="0"/>
      <w:marTop w:val="0"/>
      <w:marBottom w:val="0"/>
      <w:divBdr>
        <w:top w:val="none" w:sz="0" w:space="0" w:color="auto"/>
        <w:left w:val="none" w:sz="0" w:space="0" w:color="auto"/>
        <w:bottom w:val="none" w:sz="0" w:space="0" w:color="auto"/>
        <w:right w:val="none" w:sz="0" w:space="0" w:color="auto"/>
      </w:divBdr>
    </w:div>
    <w:div w:id="1580677303">
      <w:bodyDiv w:val="1"/>
      <w:marLeft w:val="0"/>
      <w:marRight w:val="0"/>
      <w:marTop w:val="0"/>
      <w:marBottom w:val="0"/>
      <w:divBdr>
        <w:top w:val="none" w:sz="0" w:space="0" w:color="auto"/>
        <w:left w:val="none" w:sz="0" w:space="0" w:color="auto"/>
        <w:bottom w:val="none" w:sz="0" w:space="0" w:color="auto"/>
        <w:right w:val="none" w:sz="0" w:space="0" w:color="auto"/>
      </w:divBdr>
    </w:div>
    <w:div w:id="20283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GWLRoyalDecreeDoc" ma:contentTypeID="0x01010019A3678727083D4694BA0E319D4EF8DC0100516D54665B8A184DA9B4E24634C9D800" ma:contentTypeVersion="0" ma:contentTypeDescription="" ma:contentTypeScope="" ma:versionID="f560432493498bc42876f871190d2815">
  <xsd:schema xmlns:xsd="http://www.w3.org/2001/XMLSchema" xmlns:xs="http://www.w3.org/2001/XMLSchema" xmlns:p="http://schemas.microsoft.com/office/2006/metadata/properties" xmlns:ns2="0ed28443-0e4f-42de-bea0-5e9782d0a73a" xmlns:ns3="232ae7aa-1163-483e-9057-bc92b2c1d050" xmlns:ns4="CD49F6B8-954C-4B64-8248-AA0A395BA72F" targetNamespace="http://schemas.microsoft.com/office/2006/metadata/properties" ma:root="true" ma:fieldsID="429d33651d7318f2fb087a02ae17f67c" ns2:_="" ns3:_="" ns4:_="">
    <xsd:import namespace="0ed28443-0e4f-42de-bea0-5e9782d0a73a"/>
    <xsd:import namespace="232ae7aa-1163-483e-9057-bc92b2c1d050"/>
    <xsd:import namespace="CD49F6B8-954C-4B64-8248-AA0A395BA72F"/>
    <xsd:element name="properties">
      <xsd:complexType>
        <xsd:sequence>
          <xsd:element name="documentManagement">
            <xsd:complexType>
              <xsd:all>
                <xsd:element ref="ns2:_dlc_DocId" minOccurs="0"/>
                <xsd:element ref="ns2:_dlc_DocIdUrl" minOccurs="0"/>
                <xsd:element ref="ns2:_dlc_DocIdPersistId" minOccurs="0"/>
                <xsd:element ref="ns2:f1a19977e65e4fde8220f527be186a1b" minOccurs="0"/>
                <xsd:element ref="ns3:TaxCatchAll" minOccurs="0"/>
                <xsd:element ref="ns3:TaxCatchAllLabel" minOccurs="0"/>
                <xsd:element ref="ns2:Archive" minOccurs="0"/>
                <xsd:element ref="ns2:ab1ed0c6b540436c896493fb007829c4" minOccurs="0"/>
                <xsd:element ref="ns4:Approval" minOccurs="0"/>
                <xsd:element ref="ns4: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8443-0e4f-42de-bea0-5e9782d0a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1a19977e65e4fde8220f527be186a1b" ma:index="11" ma:taxonomy="true" ma:internalName="f1a19977e65e4fde8220f527be186a1b" ma:taxonomyFieldName="DocumentType" ma:displayName="DocumentType" ma:default="3;#Note|7620bcaa-bbd5-4679-9d7b-14f1d44f35af" ma:fieldId="{f1a19977-e65e-4fde-8220-f527be186a1b}" ma:sspId="81f31668-a7a6-4790-81d7-2f054b796190" ma:termSetId="a1cd02ba-5d0a-4256-bb1a-ebf7e286d1d1" ma:anchorId="00000000-0000-0000-0000-000000000000" ma:open="false" ma:isKeyword="false">
      <xsd:complexType>
        <xsd:sequence>
          <xsd:element ref="pc:Terms" minOccurs="0" maxOccurs="1"/>
        </xsd:sequence>
      </xsd:complexType>
    </xsd:element>
    <xsd:element name="Archive" ma:index="15" nillable="true" ma:displayName="Archive" ma:default="0" ma:description="Voor archivering - Pour archivage" ma:internalName="Archive">
      <xsd:simpleType>
        <xsd:restriction base="dms:Boolean"/>
      </xsd:simpleType>
    </xsd:element>
    <xsd:element name="ab1ed0c6b540436c896493fb007829c4" ma:index="16" ma:taxonomy="true" ma:internalName="ab1ed0c6b540436c896493fb007829c4" ma:taxonomyFieldName="FolderKB" ma:displayName="FolderKB" ma:default="4;#Preparation|358cfc8e-6565-4b8c-b5c9-af9659aca599" ma:fieldId="{ab1ed0c6-b540-436c-8964-93fb007829c4}" ma:sspId="81f31668-a7a6-4790-81d7-2f054b796190" ma:termSetId="deb4d87f-34f4-45d7-a019-a86385e06519" ma:anchorId="2e9c4165-2e61-4d41-8ad8-59c8a622fbf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99e261-a036-4965-bb15-6915d9eb631d}" ma:internalName="TaxCatchAll" ma:showField="CatchAllData" ma:web="0ed28443-0e4f-42de-bea0-5e9782d0a7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e99e261-a036-4965-bb15-6915d9eb631d}" ma:internalName="TaxCatchAllLabel" ma:readOnly="true" ma:showField="CatchAllDataLabel" ma:web="0ed28443-0e4f-42de-bea0-5e9782d0a7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9F6B8-954C-4B64-8248-AA0A395BA72F" elementFormDefault="qualified">
    <xsd:import namespace="http://schemas.microsoft.com/office/2006/documentManagement/types"/>
    <xsd:import namespace="http://schemas.microsoft.com/office/infopath/2007/PartnerControls"/>
    <xsd:element name="Approval" ma:index="18" nillable="true" ma:displayName="Approval" ma:internalName="Approval">
      <xsd:complexType>
        <xsd:complexContent>
          <xsd:extension base="dms:URL">
            <xsd:sequence>
              <xsd:element name="Url" type="dms:ValidUrl" minOccurs="0" nillable="true"/>
              <xsd:element name="Description" type="xsd:string" nillable="true"/>
            </xsd:sequence>
          </xsd:extension>
        </xsd:complexContent>
      </xsd:complexType>
    </xsd:element>
    <xsd:element name="Review" ma:index="19" nillable="true" ma:displayName="Review" ma:internalName="Review">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 xmlns="0ed28443-0e4f-42de-bea0-5e9782d0a73a">false</Archive>
    <Review xmlns="CD49F6B8-954C-4B64-8248-AA0A395BA72F">
      <Url xsi:nil="true"/>
      <Description xsi:nil="true"/>
    </Review>
    <ab1ed0c6b540436c896493fb007829c4 xmlns="0ed28443-0e4f-42de-bea0-5e9782d0a73a">
      <Terms xmlns="http://schemas.microsoft.com/office/infopath/2007/PartnerControls">
        <TermInfo xmlns="http://schemas.microsoft.com/office/infopath/2007/PartnerControls">
          <TermName xmlns="http://schemas.microsoft.com/office/infopath/2007/PartnerControls">Préparation</TermName>
          <TermId xmlns="http://schemas.microsoft.com/office/infopath/2007/PartnerControls">358cfc8e-6565-4b8c-b5c9-af9659aca599</TermId>
        </TermInfo>
      </Terms>
    </ab1ed0c6b540436c896493fb007829c4>
    <f1a19977e65e4fde8220f527be186a1b xmlns="0ed28443-0e4f-42de-bea0-5e9782d0a73a">
      <Terms xmlns="http://schemas.microsoft.com/office/infopath/2007/PartnerControls">
        <TermInfo xmlns="http://schemas.microsoft.com/office/infopath/2007/PartnerControls">
          <TermName xmlns="http://schemas.microsoft.com/office/infopath/2007/PartnerControls">Projet</TermName>
          <TermId xmlns="http://schemas.microsoft.com/office/infopath/2007/PartnerControls">ee91f70e-57bf-401c-bc26-ad15a5df3984</TermId>
        </TermInfo>
      </Terms>
    </f1a19977e65e4fde8220f527be186a1b>
    <Approval xmlns="CD49F6B8-954C-4B64-8248-AA0A395BA72F">
      <Url xsi:nil="true"/>
      <Description xsi:nil="true"/>
    </Approval>
    <TaxCatchAll xmlns="232ae7aa-1163-483e-9057-bc92b2c1d050">
      <Value>8</Value>
      <Value>4</Value>
    </TaxCatchAll>
    <_dlc_DocId xmlns="0ed28443-0e4f-42de-bea0-5e9782d0a73a">4MER7KCM4VJC-1757338905-24</_dlc_DocId>
    <_dlc_DocIdUrl xmlns="0ed28443-0e4f-42de-bea0-5e9782d0a73a">
      <Url>https://dgwl.intranet.spfod.just.fgov.be/lawprojects/180420_Wl32_2/_layouts/15/DocIdRedir.aspx?ID=4MER7KCM4VJC-1757338905-24</Url>
      <Description>4MER7KCM4VJC-1757338905-24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2EEFF25-8213-4B44-90E7-8B4852FADB0D}">
  <ds:schemaRefs>
    <ds:schemaRef ds:uri="http://schemas.openxmlformats.org/officeDocument/2006/bibliography"/>
  </ds:schemaRefs>
</ds:datastoreItem>
</file>

<file path=customXml/itemProps2.xml><?xml version="1.0" encoding="utf-8"?>
<ds:datastoreItem xmlns:ds="http://schemas.openxmlformats.org/officeDocument/2006/customXml" ds:itemID="{9693F6AB-2C5B-462B-8A56-EEA358065FC7}">
  <ds:schemaRefs>
    <ds:schemaRef ds:uri="http://schemas.microsoft.com/sharepoint/events"/>
  </ds:schemaRefs>
</ds:datastoreItem>
</file>

<file path=customXml/itemProps3.xml><?xml version="1.0" encoding="utf-8"?>
<ds:datastoreItem xmlns:ds="http://schemas.openxmlformats.org/officeDocument/2006/customXml" ds:itemID="{54B372AB-F201-4108-999A-6B0F0745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8443-0e4f-42de-bea0-5e9782d0a73a"/>
    <ds:schemaRef ds:uri="232ae7aa-1163-483e-9057-bc92b2c1d050"/>
    <ds:schemaRef ds:uri="CD49F6B8-954C-4B64-8248-AA0A395B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55D80-D12D-4AF3-996A-6B31C819A6DB}">
  <ds:schemaRefs>
    <ds:schemaRef ds:uri="http://schemas.microsoft.com/office/2006/metadata/properties"/>
    <ds:schemaRef ds:uri="http://schemas.microsoft.com/office/infopath/2007/PartnerControls"/>
    <ds:schemaRef ds:uri="0ed28443-0e4f-42de-bea0-5e9782d0a73a"/>
    <ds:schemaRef ds:uri="CD49F6B8-954C-4B64-8248-AA0A395BA72F"/>
    <ds:schemaRef ds:uri="232ae7aa-1163-483e-9057-bc92b2c1d050"/>
  </ds:schemaRefs>
</ds:datastoreItem>
</file>

<file path=customXml/itemProps5.xml><?xml version="1.0" encoding="utf-8"?>
<ds:datastoreItem xmlns:ds="http://schemas.openxmlformats.org/officeDocument/2006/customXml" ds:itemID="{44F04093-6AF2-431A-9EC7-843D693915FD}">
  <ds:schemaRefs>
    <ds:schemaRef ds:uri="http://schemas.microsoft.com/sharepoint/v3/contenttype/forms"/>
  </ds:schemaRefs>
</ds:datastoreItem>
</file>

<file path=customXml/itemProps6.xml><?xml version="1.0" encoding="utf-8"?>
<ds:datastoreItem xmlns:ds="http://schemas.openxmlformats.org/officeDocument/2006/customXml" ds:itemID="{32B97F0C-BEE1-4B30-B607-ED0AD2CEC54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1085</Words>
  <Characters>6186</Characters>
  <Application>Microsoft Office Word</Application>
  <DocSecurity>0</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fod justitie</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marietie</dc:creator>
  <cp:lastModifiedBy>Liana Brili</cp:lastModifiedBy>
  <cp:revision>7</cp:revision>
  <cp:lastPrinted>2019-02-21T09:39:00Z</cp:lastPrinted>
  <dcterms:created xsi:type="dcterms:W3CDTF">2021-12-09T08:45:00Z</dcterms:created>
  <dcterms:modified xsi:type="dcterms:W3CDTF">2021-12-16T16:25:00Z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0x01010019A3678727083D4694BA0E319D4EF8DC0100516D54665B8A184DA9B4E24634C9D800</vt:lpwstr>
  </property>
  <property fmtid="{D5CDD505-2E9C-101B-9397-08002B2CF9AE}" pid="3" name="_dlc_DocIdItemGuid">
    <vt:lpwstr>ebcf1557-8668-44ec-b6b3-44c5f7420f6c</vt:lpwstr>
  </property>
  <property fmtid="{D5CDD505-2E9C-101B-9397-08002B2CF9AE}" pid="4" name="FolderKB">
    <vt:lpwstr>4;#Préparation|358cfc8e-6565-4b8c-b5c9-af9659aca599</vt:lpwstr>
  </property>
  <property fmtid="{D5CDD505-2E9C-101B-9397-08002B2CF9AE}" pid="5" name="DocumentType">
    <vt:lpwstr>8;#Projet|ee91f70e-57bf-401c-bc26-ad15a5df3984</vt:lpwstr>
  </property>
</Properties>
</file>