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27" w:rsidRPr="00C77E4C" w:rsidRDefault="00ED0627" w:rsidP="00ED0627">
      <w:pPr>
        <w:jc w:val="center"/>
        <w:rPr>
          <w:sz w:val="20"/>
          <w:rFonts w:ascii="Courier New" w:hAnsi="Courier New"/>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------IND- 2020 0338 F-- HR- ------ 20200612 --- --- PROJET</w:t>
      </w:r>
    </w:p>
    <w:p w:rsidR="007606BC" w:rsidRPr="00EC1FD0" w:rsidRDefault="008E1D2E" w:rsidP="008E1D2E">
      <w:pPr>
        <w:jc w:val="center"/>
        <w:rPr>
          <w:b/>
          <w:rFonts w:ascii="Arial" w:hAnsi="Arial" w:cs="Arial"/>
        </w:rPr>
      </w:pPr>
      <w:r>
        <w:rPr>
          <w:b/>
          <w:rFonts w:ascii="Arial" w:hAnsi="Arial"/>
        </w:rPr>
        <w:t xml:space="preserve">Zakon o transparentnosti informiranja o poljoprivrednim i prehrambenim proizvodima (tekst koji je Nacionalna skupština konačno usvojila 27. svibnja 2020.)</w:t>
      </w:r>
    </w:p>
    <w:p w:rsidR="008E1D2E" w:rsidRPr="00EC1FD0" w:rsidRDefault="008E1D2E" w:rsidP="008E1D2E">
      <w:pPr>
        <w:jc w:val="center"/>
        <w:rPr>
          <w:b/>
          <w:rFonts w:ascii="Arial" w:hAnsi="Arial" w:cs="Arial"/>
        </w:rPr>
      </w:pPr>
      <w:r>
        <w:rPr>
          <w:b/>
          <w:rFonts w:ascii="Arial" w:hAnsi="Arial"/>
        </w:rPr>
        <w:t xml:space="preserve">-</w:t>
      </w:r>
    </w:p>
    <w:p w:rsidR="008E1D2E" w:rsidRPr="00EC1FD0" w:rsidRDefault="008E1D2E" w:rsidP="008E1D2E">
      <w:pPr>
        <w:jc w:val="center"/>
        <w:rPr>
          <w:rFonts w:ascii="Arial" w:hAnsi="Arial" w:cs="Arial"/>
        </w:rPr>
      </w:pPr>
      <w:r>
        <w:rPr>
          <w:rFonts w:ascii="Arial" w:hAnsi="Arial"/>
        </w:rPr>
        <w:t xml:space="preserve">Odredbe Zakona koji je predmet obavijesti</w:t>
      </w:r>
    </w:p>
    <w:p w:rsidR="008E1D2E" w:rsidRDefault="008E1D2E"/>
    <w:p w:rsidR="008E1D2E" w:rsidRPr="008E1D2E" w:rsidRDefault="008E1D2E"/>
    <w:p w:rsidR="008E1D2E" w:rsidRPr="008E1D2E" w:rsidRDefault="008E1D2E" w:rsidP="00ED0627">
      <w:pPr>
        <w:keepNext/>
        <w:keepLines/>
        <w:jc w:val="both"/>
        <w:rPr>
          <w:b/>
          <w:rFonts w:ascii="Arial" w:hAnsi="Arial" w:cs="Arial"/>
        </w:rPr>
      </w:pPr>
      <w:r>
        <w:rPr>
          <w:b/>
          <w:rFonts w:ascii="Arial" w:hAnsi="Arial"/>
        </w:rPr>
        <w:t xml:space="preserve">Članak 1.</w:t>
      </w:r>
    </w:p>
    <w:p w:rsidR="008E1D2E" w:rsidRPr="008E1D2E" w:rsidRDefault="008E1D2E" w:rsidP="008E1D2E">
      <w:pPr>
        <w:jc w:val="both"/>
        <w:rPr>
          <w:rFonts w:ascii="Arial" w:hAnsi="Arial" w:cs="Arial"/>
        </w:rPr>
      </w:pPr>
      <w:r>
        <w:rPr>
          <w:rFonts w:ascii="Arial" w:hAnsi="Arial"/>
        </w:rPr>
        <w:t xml:space="preserve">Članak L. 412-1. Zakonika o potrošnji mijenja se kako slijedi:</w:t>
      </w:r>
    </w:p>
    <w:p w:rsidR="008E1D2E" w:rsidRDefault="008E1D2E" w:rsidP="008E1D2E">
      <w:pPr>
        <w:jc w:val="both"/>
        <w:rPr>
          <w:rFonts w:ascii="Arial" w:hAnsi="Arial" w:cs="Arial"/>
        </w:rPr>
      </w:pPr>
      <w:r>
        <w:rPr>
          <w:rFonts w:ascii="Arial" w:hAnsi="Arial"/>
        </w:rPr>
        <w:t xml:space="preserve">1. nakon točke 3. stavka I. umeće se točka 3.a, koja glasi kako slijedi:</w:t>
      </w:r>
    </w:p>
    <w:p w:rsidR="008E1D2E" w:rsidRDefault="008E1D2E" w:rsidP="008E1D2E">
      <w:pPr>
        <w:jc w:val="both"/>
        <w:rPr>
          <w:rFonts w:ascii="Arial" w:hAnsi="Arial" w:cs="Arial"/>
        </w:rPr>
      </w:pPr>
      <w:r>
        <w:rPr>
          <w:rFonts w:ascii="Arial" w:hAnsi="Arial"/>
        </w:rPr>
        <w:t xml:space="preserve">„3.a Kada je riječ o svim vrstama upisa koji se odnose na pretpakiranu hranu, načini na koje osoba odgovorna za prvo stavljanje na tržište stavlja na raspolaganje javnosti na internetu odgovarajuće informacije, pod uvjetima predviđenim sveskom III. Zakonika o odnosima između javnosti i uprave;”</w:t>
      </w:r>
    </w:p>
    <w:p w:rsidR="008E1D2E" w:rsidRDefault="008E1D2E" w:rsidP="008E1D2E">
      <w:pPr>
        <w:jc w:val="both"/>
        <w:rPr>
          <w:rFonts w:ascii="Arial" w:hAnsi="Arial" w:cs="Arial"/>
        </w:rPr>
      </w:pPr>
      <w:r>
        <w:rPr>
          <w:rFonts w:ascii="Arial" w:hAnsi="Arial"/>
        </w:rPr>
        <w:t xml:space="preserve">2. stavak II. nadopunjava se podstavkom koji glasi kako slijedi:</w:t>
      </w:r>
      <w:r>
        <w:rPr>
          <w:rFonts w:ascii="Arial" w:hAnsi="Arial"/>
        </w:rPr>
        <w:t xml:space="preserve"> </w:t>
      </w:r>
    </w:p>
    <w:p w:rsidR="008E1D2E" w:rsidRDefault="008E1D2E" w:rsidP="008E1D2E">
      <w:pPr>
        <w:jc w:val="both"/>
        <w:rPr>
          <w:rFonts w:ascii="Arial" w:hAnsi="Arial" w:cs="Arial"/>
        </w:rPr>
      </w:pPr>
      <w:r>
        <w:rPr>
          <w:rFonts w:ascii="Arial" w:hAnsi="Arial"/>
        </w:rPr>
        <w:t xml:space="preserve">„Kada je riječ o informacijama iz točke 3.a istog stavka I., tim će se uredbama osobito utvrditi mjesto stavljanja na raspolaganje i format podataka kako bi se uspostavila otvorena baza dostupna svim korisnicima i omogućila slobodna ponovna uporaba tih podataka.”</w:t>
      </w:r>
    </w:p>
    <w:p w:rsidR="007F3528" w:rsidRPr="008E1D2E" w:rsidRDefault="007F3528" w:rsidP="008E1D2E">
      <w:pPr>
        <w:jc w:val="both"/>
      </w:pPr>
    </w:p>
    <w:p w:rsidR="008E1D2E" w:rsidRPr="008E1D2E" w:rsidRDefault="008E1D2E" w:rsidP="00ED0627">
      <w:pPr>
        <w:keepNext/>
        <w:keepLines/>
        <w:jc w:val="both"/>
        <w:rPr>
          <w:b/>
          <w:rFonts w:ascii="Arial" w:hAnsi="Arial" w:cs="Arial"/>
        </w:rPr>
      </w:pPr>
      <w:r>
        <w:rPr>
          <w:b/>
          <w:rFonts w:ascii="Arial" w:hAnsi="Arial"/>
        </w:rPr>
        <w:t xml:space="preserve">Članak 2.</w:t>
      </w:r>
      <w:r>
        <w:rPr>
          <w:b/>
          <w:rFonts w:ascii="Arial" w:hAnsi="Arial"/>
        </w:rPr>
        <w:t xml:space="preserve"> </w:t>
      </w:r>
    </w:p>
    <w:p w:rsidR="008E1D2E" w:rsidRDefault="008E1D2E" w:rsidP="008E1D2E">
      <w:pPr>
        <w:jc w:val="both"/>
        <w:rPr>
          <w:rFonts w:ascii="Arial" w:hAnsi="Arial" w:cs="Arial"/>
        </w:rPr>
      </w:pPr>
      <w:r>
        <w:rPr>
          <w:rFonts w:ascii="Arial" w:hAnsi="Arial"/>
        </w:rPr>
        <w:t xml:space="preserve">I. — Nakon prvog podstavka članka L.412-4. Zakonika o potrošnji dodaju se tri podstavka, koji glase kako slijedi:</w:t>
      </w:r>
    </w:p>
    <w:p w:rsidR="008E1D2E" w:rsidRDefault="008E1D2E" w:rsidP="008E1D2E">
      <w:pPr>
        <w:jc w:val="both"/>
        <w:rPr>
          <w:rFonts w:ascii="Arial" w:hAnsi="Arial" w:cs="Arial"/>
        </w:rPr>
      </w:pPr>
      <w:r>
        <w:rPr>
          <w:rFonts w:ascii="Arial" w:hAnsi="Arial"/>
        </w:rPr>
        <w:t xml:space="preserve">„Za proizvode koji sadrže sirov ili prerađeni kakao, namijenjene za prehranu ljudi, također se obavezno navodi zemlja podrijetla.</w:t>
      </w:r>
    </w:p>
    <w:p w:rsidR="008E1D2E" w:rsidRDefault="008E1D2E" w:rsidP="008E1D2E">
      <w:pPr>
        <w:jc w:val="both"/>
        <w:rPr>
          <w:rFonts w:ascii="Arial" w:hAnsi="Arial" w:cs="Arial"/>
        </w:rPr>
      </w:pPr>
      <w:r>
        <w:rPr>
          <w:rFonts w:ascii="Arial" w:hAnsi="Arial"/>
        </w:rPr>
        <w:t xml:space="preserve">„Za med koji čini mješavina meda iz više od jedne države članice Europske unije ili iz treće zemlje, na etiketi se navode sve zemlje podrijetla prikupljanja silaznim ponderiranim redoslijedom.</w:t>
      </w:r>
    </w:p>
    <w:p w:rsidR="008E1D2E" w:rsidRDefault="008E1D2E" w:rsidP="008E1D2E">
      <w:pPr>
        <w:jc w:val="both"/>
        <w:rPr>
          <w:rFonts w:ascii="Arial" w:hAnsi="Arial" w:cs="Arial"/>
        </w:rPr>
      </w:pPr>
      <w:r>
        <w:rPr>
          <w:rFonts w:ascii="Arial" w:hAnsi="Arial"/>
        </w:rPr>
        <w:t xml:space="preserve">„Treći podstavak primjenjuje se i na matičnu mliječ.”</w:t>
      </w:r>
    </w:p>
    <w:p w:rsidR="008E1D2E" w:rsidRDefault="008E1D2E" w:rsidP="008E1D2E">
      <w:pPr>
        <w:jc w:val="both"/>
        <w:rPr>
          <w:rFonts w:ascii="Arial" w:hAnsi="Arial" w:cs="Arial"/>
        </w:rPr>
      </w:pPr>
      <w:r>
        <w:rPr>
          <w:rFonts w:ascii="Arial" w:hAnsi="Arial"/>
        </w:rPr>
        <w:t xml:space="preserve">II.</w:t>
      </w:r>
      <w:r>
        <w:rPr>
          <w:rFonts w:ascii="Arial" w:hAnsi="Arial"/>
        </w:rPr>
        <w:t xml:space="preserve"> </w:t>
      </w:r>
      <w:r>
        <w:rPr>
          <w:rFonts w:ascii="Arial" w:hAnsi="Arial"/>
        </w:rPr>
        <w:t xml:space="preserve">— Stavak I. ovog članka stupa na snagu 1. siječnja 2021.</w:t>
      </w:r>
      <w:r>
        <w:rPr>
          <w:rFonts w:ascii="Arial" w:hAnsi="Arial"/>
        </w:rPr>
        <w:t xml:space="preserve"> </w:t>
      </w:r>
      <w:r>
        <w:rPr>
          <w:rFonts w:ascii="Arial" w:hAnsi="Arial"/>
        </w:rPr>
        <w:t xml:space="preserve">Od tog datuma proizvodi koji se zakonito proizvode ili stavljaju na tržište prije tog istog datuma, a čije oznake nisu u skladu s trećim podstavkom članka L. 412-4. Zakonika o potrošnji, kako je izmijenjen ovim člankom, mogu se prodavati ili besplatno distribuirati do isteka zaliha.</w:t>
      </w:r>
    </w:p>
    <w:p w:rsidR="007F3528" w:rsidRPr="008E1D2E" w:rsidRDefault="007F3528" w:rsidP="008E1D2E">
      <w:pPr>
        <w:jc w:val="both"/>
        <w:rPr>
          <w:rFonts w:ascii="Arial" w:hAnsi="Arial" w:cs="Arial"/>
        </w:rPr>
      </w:pPr>
    </w:p>
    <w:p w:rsidR="008E1D2E" w:rsidRPr="008E1D2E" w:rsidRDefault="008E1D2E" w:rsidP="00ED0627">
      <w:pPr>
        <w:keepNext/>
        <w:keepLines/>
        <w:rPr>
          <w:b/>
          <w:rFonts w:ascii="Arial" w:hAnsi="Arial" w:cs="Arial"/>
        </w:rPr>
      </w:pPr>
      <w:r>
        <w:rPr>
          <w:b/>
          <w:rFonts w:ascii="Arial" w:hAnsi="Arial"/>
        </w:rPr>
        <w:t xml:space="preserve">Članak 5.</w:t>
      </w:r>
    </w:p>
    <w:p w:rsidR="008E1D2E" w:rsidRPr="008E1D2E" w:rsidRDefault="008E1D2E" w:rsidP="00ED0627">
      <w:pPr>
        <w:jc w:val="both"/>
        <w:rPr>
          <w:rFonts w:ascii="Arial" w:hAnsi="Arial" w:cs="Arial"/>
        </w:rPr>
      </w:pPr>
      <w:r>
        <w:rPr>
          <w:rFonts w:ascii="Arial" w:hAnsi="Arial"/>
        </w:rPr>
        <w:t xml:space="preserve">Odjeljak 2. poglavlja II. glave I. sveska IV. Zakonika o potrošnji nadopunjuje se člankom L.412-10., koji glasi kako slijedi:</w:t>
      </w:r>
    </w:p>
    <w:p w:rsidR="008E1D2E" w:rsidRDefault="008E1D2E" w:rsidP="008E1D2E">
      <w:pPr>
        <w:jc w:val="both"/>
        <w:rPr>
          <w:rFonts w:ascii="Arial" w:hAnsi="Arial" w:cs="Arial"/>
        </w:rPr>
      </w:pPr>
      <w:r>
        <w:rPr>
          <w:rFonts w:ascii="Arial" w:hAnsi="Arial"/>
        </w:rPr>
        <w:t xml:space="preserve">„Čl. L.412-10.</w:t>
      </w:r>
      <w:r>
        <w:rPr>
          <w:rFonts w:ascii="Arial" w:hAnsi="Arial"/>
        </w:rPr>
        <w:t xml:space="preserve"> </w:t>
      </w:r>
      <w:r>
        <w:rPr>
          <w:rFonts w:ascii="Arial" w:hAnsi="Arial"/>
        </w:rPr>
        <w:t xml:space="preserve">— Nazivi koji se upotrebljavaju za označivanje hrane životinjskog podrijetla ne smiju se upotrebljavati za opisivanje, stavljanje na tržište ili promicanje hrane koja sadrži biljne bjelančevine.</w:t>
      </w:r>
      <w:r>
        <w:rPr>
          <w:rFonts w:ascii="Arial" w:hAnsi="Arial"/>
        </w:rPr>
        <w:t xml:space="preserve"> </w:t>
      </w:r>
      <w:r>
        <w:rPr>
          <w:rFonts w:ascii="Arial" w:hAnsi="Arial"/>
        </w:rPr>
        <w:t xml:space="preserve">Uredbom se utvrđuje udio biljnih bjelančevina iznad kojeg uporaba tog naziva nije moguća.</w:t>
      </w:r>
      <w:r>
        <w:rPr>
          <w:rFonts w:ascii="Arial" w:hAnsi="Arial"/>
        </w:rPr>
        <w:t xml:space="preserve"> </w:t>
      </w:r>
      <w:r>
        <w:rPr>
          <w:rFonts w:ascii="Arial" w:hAnsi="Arial"/>
        </w:rPr>
        <w:t xml:space="preserve">Tom se uredbom također utvrđuju načini primjene ovog članka i moguće sankcije u slučaju njegova nepoštovanja.”</w:t>
      </w:r>
    </w:p>
    <w:p w:rsidR="007F3528" w:rsidRDefault="007F3528" w:rsidP="008E1D2E">
      <w:pPr>
        <w:jc w:val="both"/>
        <w:rPr>
          <w:rFonts w:ascii="Arial" w:hAnsi="Arial" w:cs="Arial"/>
        </w:rPr>
      </w:pPr>
    </w:p>
    <w:p w:rsidR="008E1D2E" w:rsidRPr="008E1D2E" w:rsidRDefault="008E1D2E" w:rsidP="00ED0627">
      <w:pPr>
        <w:keepNext/>
        <w:keepLines/>
        <w:jc w:val="both"/>
        <w:rPr>
          <w:b/>
          <w:rFonts w:ascii="Arial" w:hAnsi="Arial" w:cs="Arial"/>
        </w:rPr>
      </w:pPr>
      <w:r>
        <w:rPr>
          <w:b/>
          <w:rFonts w:ascii="Arial" w:hAnsi="Arial"/>
        </w:rPr>
        <w:t xml:space="preserve">Članak 6.</w:t>
      </w:r>
    </w:p>
    <w:p w:rsidR="008E1D2E" w:rsidRDefault="008E1D2E" w:rsidP="008E1D2E">
      <w:pPr>
        <w:jc w:val="both"/>
        <w:rPr>
          <w:rFonts w:ascii="Arial" w:hAnsi="Arial" w:cs="Arial"/>
        </w:rPr>
      </w:pPr>
      <w:r>
        <w:rPr>
          <w:rFonts w:ascii="Arial" w:hAnsi="Arial"/>
        </w:rPr>
        <w:t xml:space="preserve">Članak L. 641-19. Zakonika o ruralnim aktivnostima i pomorskom ribolovu nadopunjuje se stavkom koji glasi:</w:t>
      </w:r>
    </w:p>
    <w:p w:rsidR="008E1D2E" w:rsidRDefault="008E1D2E" w:rsidP="008E1D2E">
      <w:pPr>
        <w:jc w:val="both"/>
        <w:rPr>
          <w:rFonts w:ascii="Arial" w:hAnsi="Arial" w:cs="Arial"/>
        </w:rPr>
      </w:pPr>
      <w:r>
        <w:rPr>
          <w:rFonts w:ascii="Arial" w:hAnsi="Arial"/>
        </w:rPr>
        <w:t xml:space="preserve">„Za domaće sireve, kada do zrenja dolazi izvan gospodarstva u skladu s tradicionalnim praksama, informacije potrošaču moraju se osigurati uz navode predviđene u prvom podstavku na načine utvrđene uredbom.”</w:t>
      </w:r>
    </w:p>
    <w:p w:rsidR="007F3528" w:rsidRDefault="007F3528" w:rsidP="008E1D2E">
      <w:pPr>
        <w:jc w:val="both"/>
        <w:rPr>
          <w:rFonts w:ascii="Arial" w:hAnsi="Arial" w:cs="Arial"/>
        </w:rPr>
      </w:pPr>
    </w:p>
    <w:p w:rsidR="008E1D2E" w:rsidRPr="008E1D2E" w:rsidRDefault="008E1D2E" w:rsidP="00ED0627">
      <w:pPr>
        <w:keepNext/>
        <w:keepLines/>
        <w:jc w:val="both"/>
        <w:rPr>
          <w:b/>
          <w:rFonts w:ascii="Arial" w:hAnsi="Arial" w:cs="Arial"/>
        </w:rPr>
      </w:pPr>
      <w:r>
        <w:rPr>
          <w:b/>
          <w:rFonts w:ascii="Arial" w:hAnsi="Arial"/>
        </w:rPr>
        <w:t xml:space="preserve">Članak 8.</w:t>
      </w:r>
    </w:p>
    <w:p w:rsidR="008E1D2E" w:rsidRDefault="008E1D2E" w:rsidP="008E1D2E">
      <w:pPr>
        <w:jc w:val="both"/>
        <w:rPr>
          <w:rFonts w:ascii="Arial" w:hAnsi="Arial" w:cs="Arial"/>
        </w:rPr>
      </w:pPr>
      <w:r>
        <w:rPr>
          <w:rFonts w:ascii="Arial" w:hAnsi="Arial"/>
        </w:rPr>
        <w:t xml:space="preserve">I. — Odjeljak 2. poglavlja II. glave I. sveska IV. Zakonika o potrošnji nadopunjuje se člankom L. 412-11., koji glasi kako slijedi:</w:t>
      </w:r>
    </w:p>
    <w:p w:rsidR="008E1D2E" w:rsidRDefault="008E1D2E" w:rsidP="008E1D2E">
      <w:pPr>
        <w:jc w:val="both"/>
        <w:rPr>
          <w:rFonts w:ascii="Arial" w:hAnsi="Arial" w:cs="Arial"/>
        </w:rPr>
      </w:pPr>
      <w:r>
        <w:rPr>
          <w:rFonts w:ascii="Arial" w:hAnsi="Arial"/>
        </w:rPr>
        <w:t xml:space="preserve">„L. 412-11. — Operatori objekata koji imaju dozvolu za točenje pića na licu mjesta ili za ponijeti ili dozvolu za restoran na svojim jelovnicima ili na bilo koji drugi način navode podrijetlo, a po potrebi i naziv zaštićene oznake izvornosti ili zaštićene oznake zemljopisnog podrijetla vina koja se prodaju u boci, vrču ili čaši.”</w:t>
      </w:r>
    </w:p>
    <w:p w:rsidR="008E1D2E" w:rsidRDefault="008E1D2E" w:rsidP="008E1D2E">
      <w:pPr>
        <w:jc w:val="both"/>
        <w:rPr>
          <w:rFonts w:ascii="Arial" w:hAnsi="Arial" w:cs="Arial"/>
        </w:rPr>
      </w:pPr>
      <w:r>
        <w:rPr>
          <w:rFonts w:ascii="Arial" w:hAnsi="Arial"/>
        </w:rPr>
        <w:t xml:space="preserve">II.</w:t>
      </w:r>
      <w:r>
        <w:rPr>
          <w:rFonts w:ascii="Arial" w:hAnsi="Arial"/>
        </w:rPr>
        <w:t xml:space="preserve"> </w:t>
      </w:r>
      <w:r>
        <w:rPr>
          <w:rFonts w:ascii="Arial" w:hAnsi="Arial"/>
        </w:rPr>
        <w:t xml:space="preserve">— Stavak I. ovog članka stupa na snagu 1. siječnja 2020.</w:t>
      </w:r>
    </w:p>
    <w:p w:rsidR="007F3528" w:rsidRDefault="007F3528" w:rsidP="008E1D2E">
      <w:pPr>
        <w:jc w:val="both"/>
        <w:rPr>
          <w:rFonts w:ascii="Arial" w:hAnsi="Arial" w:cs="Arial"/>
        </w:rPr>
      </w:pPr>
    </w:p>
    <w:p w:rsidR="007F3528" w:rsidRDefault="007F3528" w:rsidP="00ED0627">
      <w:pPr>
        <w:keepNext/>
        <w:keepLines/>
        <w:jc w:val="both"/>
        <w:rPr>
          <w:b/>
          <w:rFonts w:ascii="Arial" w:hAnsi="Arial" w:cs="Arial"/>
        </w:rPr>
      </w:pPr>
      <w:r>
        <w:rPr>
          <w:b/>
          <w:rFonts w:ascii="Arial" w:hAnsi="Arial"/>
        </w:rPr>
        <w:t xml:space="preserve">Članak 9.</w:t>
      </w:r>
    </w:p>
    <w:p w:rsidR="007F3528" w:rsidRDefault="007F3528" w:rsidP="008E1D2E">
      <w:pPr>
        <w:jc w:val="both"/>
        <w:rPr>
          <w:rFonts w:ascii="Arial" w:hAnsi="Arial" w:cs="Arial"/>
        </w:rPr>
      </w:pPr>
      <w:r>
        <w:rPr>
          <w:rFonts w:ascii="Arial" w:hAnsi="Arial"/>
        </w:rPr>
        <w:t xml:space="preserve">Odjeljak 2. poglavlja II. glave I. sveska IV. Zakonika o potrošnji nadopunjuje se člankom L.412-12., koji glasi kako slijedi:</w:t>
      </w:r>
    </w:p>
    <w:p w:rsidR="007F3528" w:rsidRPr="007F3528" w:rsidRDefault="007F3528" w:rsidP="008E1D2E">
      <w:pPr>
        <w:jc w:val="both"/>
        <w:rPr>
          <w:rFonts w:ascii="Arial" w:hAnsi="Arial" w:cs="Arial"/>
        </w:rPr>
      </w:pPr>
      <w:r>
        <w:rPr>
          <w:rFonts w:ascii="Arial" w:hAnsi="Arial"/>
        </w:rPr>
        <w:t xml:space="preserve">„Čl. L.412-12.</w:t>
      </w:r>
      <w:r>
        <w:rPr>
          <w:rFonts w:ascii="Arial" w:hAnsi="Arial"/>
        </w:rPr>
        <w:t xml:space="preserve"> </w:t>
      </w:r>
      <w:r>
        <w:rPr>
          <w:rFonts w:ascii="Arial" w:hAnsi="Arial"/>
        </w:rPr>
        <w:t xml:space="preserve">— Naziv i adresa proizvođača piva navode se na vidljivom mjestu na oznaci, na način da se potrošače ni na koji način ne dovede u zabludu u pogledu podrijetla piva, uključujući i zbog opće prezentacije etikete.</w:t>
      </w:r>
      <w:r>
        <w:rPr>
          <w:rFonts w:ascii="Arial" w:hAnsi="Arial"/>
        </w:rPr>
        <w:t xml:space="preserve"> </w:t>
      </w:r>
      <w:r>
        <w:rPr>
          <w:rFonts w:ascii="Arial" w:hAnsi="Arial"/>
        </w:rPr>
        <w:t xml:space="preserve">”</w:t>
      </w:r>
    </w:p>
    <w:sectPr w:rsidR="007F3528" w:rsidRPr="007F3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2E"/>
    <w:rsid w:val="005C36B3"/>
    <w:rsid w:val="007606BC"/>
    <w:rsid w:val="007F3528"/>
    <w:rsid w:val="008E1D2E"/>
    <w:rsid w:val="00BC7E60"/>
    <w:rsid w:val="00D83FCF"/>
    <w:rsid w:val="00EC1FD0"/>
    <w:rsid w:val="00ED0627"/>
    <w:rsid w:val="00F305D0"/>
    <w:rsid w:val="00F847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9A8E3-CCB1-44D8-880B-71115CDE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9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621</Words>
  <Characters>3542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DGCCRF</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Ke, Tingting</cp:lastModifiedBy>
  <cp:revision>1</cp:revision>
  <dcterms:created xsi:type="dcterms:W3CDTF">2020-06-03T17:11:00Z</dcterms:created>
  <dcterms:modified xsi:type="dcterms:W3CDTF">2020-06-05T09:01:00Z</dcterms:modified>
</cp:coreProperties>
</file>