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7248C" w14:textId="77777777" w:rsidR="00A87D68" w:rsidRPr="00A87D68" w:rsidRDefault="00A87D68" w:rsidP="00A87D68">
      <w:pPr>
        <w:spacing w:before="100" w:beforeAutospacing="1" w:after="100" w:afterAutospacing="1" w:line="240" w:lineRule="auto"/>
        <w:outlineLvl w:val="1"/>
        <w:rPr>
          <w:b/>
          <w:bCs/>
          <w:sz w:val="36"/>
          <w:szCs w:val="36"/>
          <w:rFonts w:ascii="Times New Roman" w:eastAsia="Times New Roman" w:hAnsi="Times New Roman" w:cs="Times New Roman"/>
        </w:rPr>
      </w:pPr>
      <w:r>
        <w:rPr>
          <w:b/>
          <w:sz w:val="36"/>
          <w:rFonts w:ascii="Times New Roman" w:hAnsi="Times New Roman"/>
        </w:rPr>
        <w:t xml:space="preserve">Uredba št. 2020-1828 z dne 31. decembra 2020 o prepovedi nekaterih plastičnih proizvodov za enkratno uporabo</w:t>
      </w:r>
    </w:p>
    <w:p w14:paraId="6361B4B2" w14:textId="77777777" w:rsidR="00A87D68" w:rsidRPr="00A87D68" w:rsidRDefault="00A87D68" w:rsidP="00A87D68">
      <w:pPr>
        <w:spacing w:before="100" w:beforeAutospacing="1" w:after="100" w:afterAutospacing="1" w:line="240" w:lineRule="auto"/>
        <w:outlineLvl w:val="3"/>
        <w:rPr>
          <w:b/>
          <w:bCs/>
          <w:sz w:val="24"/>
          <w:szCs w:val="24"/>
          <w:rFonts w:ascii="Times New Roman" w:eastAsia="Times New Roman" w:hAnsi="Times New Roman" w:cs="Times New Roman"/>
        </w:rPr>
      </w:pPr>
      <w:r>
        <w:rPr>
          <w:b/>
          <w:sz w:val="24"/>
          <w:rFonts w:ascii="Times New Roman" w:hAnsi="Times New Roman"/>
        </w:rPr>
        <w:t xml:space="preserve">Prvotna različica</w:t>
      </w:r>
      <w:r>
        <w:rPr>
          <w:b/>
          <w:sz w:val="24"/>
          <w:rFonts w:ascii="Times New Roman" w:hAnsi="Times New Roman"/>
        </w:rPr>
        <w:t xml:space="preserve"> </w:t>
      </w:r>
    </w:p>
    <w:p w14:paraId="365E0674"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Zadevna javnost: </w:t>
      </w:r>
      <w:r>
        <w:rPr>
          <w:sz w:val="24"/>
          <w:rFonts w:ascii="Times New Roman" w:hAnsi="Times New Roman"/>
        </w:rPr>
        <w:t xml:space="preserve">fizične ali pravne osebe, ki v okviru svoje gospodarske dejavnosti bodisi odplačno bodisi brezplačno dostavljajo, uporabljajo, distribuirajo ali dajejo na razpolago nekatere plastične proizvode za enkratno uporabo.</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Zadeva: </w:t>
      </w:r>
      <w:r>
        <w:rPr>
          <w:sz w:val="24"/>
          <w:rFonts w:ascii="Times New Roman" w:hAnsi="Times New Roman"/>
        </w:rPr>
        <w:t xml:space="preserve">pogoji za uporabo prepovedi dajanja na razpolago nekaterih plastičnih proizvodov za enkratno uporabo.</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Začetek veljavnosti: </w:t>
      </w:r>
      <w:r>
        <w:rPr>
          <w:sz w:val="24"/>
          <w:rFonts w:ascii="Times New Roman" w:hAnsi="Times New Roman"/>
        </w:rPr>
        <w:t xml:space="preserve">uredba začne veljati dan po objavi, z izjemo nekaterih določb člena 2, ki začnejo veljati 3. julija 2021.</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Obvestilo: </w:t>
      </w:r>
      <w:r>
        <w:rPr>
          <w:sz w:val="24"/>
          <w:rFonts w:ascii="Times New Roman" w:hAnsi="Times New Roman"/>
        </w:rPr>
        <w:t xml:space="preserve">uredba ureja uporabo nekaterih določb Zakona z dne 10. februarja 2020 o preprečevanju nastajanja odpadkov in krožnem gospodarstvu, ki prepovedujejo dajanje na razpolago nekaterih plastičnih proizvodov za enkratno uporabo.</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Pojasnjuje prepovedi, ki se nanašajo na nekatere plastične proizvode za enkratno uporabo v skladu z novimi prepovedmi, ki so sprejete v okviru zakona.</w:t>
      </w:r>
      <w:r>
        <w:rPr>
          <w:sz w:val="24"/>
          <w:rFonts w:ascii="Times New Roman" w:hAnsi="Times New Roman"/>
        </w:rPr>
        <w:t xml:space="preserve"> </w:t>
      </w:r>
      <w:r>
        <w:rPr>
          <w:sz w:val="24"/>
          <w:rFonts w:ascii="Times New Roman" w:hAnsi="Times New Roman"/>
        </w:rPr>
        <w:t xml:space="preserve">Dajanje plastičnih proizvodov za enkratno uporabo na razpolago, kot določa zakon, se prepove postopoma v skladu s porabo zalog in najpozneje 1. julija 2021.</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Referenčno besedilo: </w:t>
      </w:r>
      <w:r>
        <w:rPr>
          <w:sz w:val="24"/>
          <w:rFonts w:ascii="Times New Roman" w:hAnsi="Times New Roman"/>
        </w:rPr>
        <w:t xml:space="preserve">Okoljski zakonik je v različici, spremenjeni s to uredbo, na voljo na spletnem mestu Légifrance (</w:t>
      </w:r>
      <w:r>
        <w:rPr>
          <w:sz w:val="24"/>
          <w:rFonts w:ascii="Times New Roman" w:hAnsi="Times New Roman"/>
        </w:rPr>
        <w:t xml:space="preserve">https://www.legifrance.gouv.fr</w:t>
      </w:r>
      <w:r>
        <w:rPr>
          <w:sz w:val="24"/>
          <w:rFonts w:ascii="Times New Roman" w:hAnsi="Times New Roman"/>
        </w:rPr>
        <w:t xml:space="preserve">).</w:t>
      </w:r>
      <w:r>
        <w:rPr>
          <w:sz w:val="24"/>
          <w:rFonts w:ascii="Times New Roman" w:hAnsi="Times New Roman"/>
        </w:rPr>
        <w:t xml:space="preserve"> </w:t>
      </w:r>
    </w:p>
    <w:p w14:paraId="7702FDAA"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Predsednik vlade –</w:t>
      </w:r>
    </w:p>
    <w:p w14:paraId="65FEAD9C"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na podlagi poročila ministrice za ekološki prehod;</w:t>
      </w:r>
    </w:p>
    <w:p w14:paraId="03A62F73" w14:textId="66C8E049"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ob upoštevanju Uredbe (EU) 2017/745 Evropskega parlamenta in Sveta z dne 5. aprila 2017 o medicinskih pripomočkih, spremembi Direktive 2001/83/ES, Uredbe (ES) št. 178/2002 in Uredbe (ES) št. 1223/2009 ter razveljavitvi direktiv Sveta 90/385/EGS in 93/42/EGS;</w:t>
      </w:r>
    </w:p>
    <w:p w14:paraId="3FAA5957" w14:textId="7A51292C"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ob upoštevanju Direktive Sveta 90/385/EGS o približevanju zakonodaje držav članic o aktivnih medicinskih pripomočkih za vsaditev;</w:t>
      </w:r>
    </w:p>
    <w:p w14:paraId="5D6156F0" w14:textId="16A58415"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ob upoštevanju Direktive Sveta 93/42/EGS o medicinskih pripomočkih;</w:t>
      </w:r>
    </w:p>
    <w:p w14:paraId="7AA0FEDF" w14:textId="61DC5979"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ob upoštevanju Direktive Evropskega parlamenta in Sveta 94/62/ES z dne 20. decembra 1994 o embalaži in odpadni embalaži, kakor je bila spremenjena zlasti z Direktivo 2004/12/ES Evropskega parlamenta in Sveta z dne 11. februarja 2004;</w:t>
      </w:r>
    </w:p>
    <w:p w14:paraId="47DD7FAF"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ob upoštevanju Direktive 2008/98/ES Evropskega parlamenta in Sveta z dne 19. novembra 2008 o odpadkih in razveljavitvi nekaterih direktiv, kakor je bila nazadnje spremenjena z Direktivo (EU) 2018/851 z dne 30. maja 2018;</w:t>
      </w:r>
    </w:p>
    <w:p w14:paraId="65EA85D0"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ob upoštevanju Direktive (EU) 2015/1535 Evropskega parlamenta in Sveta z dne 9. septembra 2015 o določitvi postopka za zbiranje informacij na področju tehničnih predpisov in pravil za storitve informacijske družbe ter uradnega obvestila št. 2020/401/F, ki je bilo Evropski komisiji predloženo 26. junija 2020;</w:t>
      </w:r>
    </w:p>
    <w:p w14:paraId="6B1E7B43"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ob upoštevanju Direktive (EU) 2019/904 Evropskega parlamenta in Sveta z dne 5. junija 2019 o zmanjšanju vpliva nekaterih plastičnih proizvodov na okolje;</w:t>
      </w:r>
    </w:p>
    <w:p w14:paraId="605A4402"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ob upoštevanju Okoljskega zakonika, zlasti člena L. 541-15-10;</w:t>
      </w:r>
    </w:p>
    <w:p w14:paraId="4C7612C3"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ob upoštevanju Uredbe št. 2019-1451 z dne 24. decembra 2019 o prepovedi nekaterih plastičnih proizvodov za enkratno uporabo,</w:t>
      </w:r>
    </w:p>
    <w:p w14:paraId="4ECDA807"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ob upoštevanju pripomb, podanih med javnim posvetovanjem, ki je potekalo od 22. junija</w:t>
      </w:r>
      <w:r>
        <w:rPr>
          <w:sz w:val="24"/>
          <w:rFonts w:ascii="Times New Roman" w:hAnsi="Times New Roman"/>
        </w:rPr>
        <w:t xml:space="preserve"> do </w:t>
      </w:r>
      <w:r>
        <w:rPr>
          <w:sz w:val="24"/>
          <w:rFonts w:ascii="Times New Roman" w:hAnsi="Times New Roman"/>
        </w:rPr>
        <w:t xml:space="preserve">13. julija 2020, v skladu s členom L. 123-19-1 Okoljskega zakonika –</w:t>
      </w:r>
    </w:p>
    <w:p w14:paraId="502A584C" w14:textId="5C1939DD" w:rsidR="00A87D68" w:rsidRPr="00A87D68"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odreja:</w:t>
      </w:r>
    </w:p>
    <w:p w14:paraId="038A3261"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Člen 1</w:t>
      </w:r>
    </w:p>
    <w:p w14:paraId="34556B73" w14:textId="77777777"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Pododdelek 3 oddelka 10 poglavja I naslova IV zvezka V regulativnega dela Okoljskega zakonika se spremeni, kot je določeno v nadaljevanju:</w:t>
      </w:r>
      <w:r>
        <w:rPr>
          <w:sz w:val="24"/>
          <w:rFonts w:ascii="Times New Roman" w:hAnsi="Times New Roman"/>
        </w:rPr>
        <w:br/>
      </w: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v točki 1 člena D. 541-330 se vstavi besedilo</w:t>
      </w:r>
      <w:r>
        <w:rPr>
          <w:sz w:val="24"/>
          <w:rFonts w:ascii="Times New Roman" w:hAnsi="Times New Roman"/>
        </w:rPr>
        <w:t xml:space="preserve"> </w:t>
      </w:r>
      <w:r>
        <w:rPr>
          <w:sz w:val="24"/>
          <w:rFonts w:ascii="Times New Roman" w:hAnsi="Times New Roman"/>
        </w:rPr>
        <w:t xml:space="preserve">„premazov, črnil in lepil“;</w:t>
      </w:r>
      <w:r>
        <w:rPr>
          <w:sz w:val="24"/>
          <w:rFonts w:ascii="Times New Roman" w:hAnsi="Times New Roman"/>
        </w:rPr>
        <w:br/>
      </w: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točka 6 člena D. 541-330 se nadomesti z naslednjim pododstavkom:</w:t>
      </w:r>
      <w:r>
        <w:rPr>
          <w:sz w:val="24"/>
          <w:rFonts w:ascii="Times New Roman" w:hAnsi="Times New Roman"/>
        </w:rPr>
        <w:br/>
      </w:r>
      <w:r>
        <w:rPr>
          <w:sz w:val="24"/>
          <w:rFonts w:ascii="Times New Roman" w:hAnsi="Times New Roman"/>
        </w:rPr>
        <w:t xml:space="preserve">„6.</w:t>
      </w:r>
      <w:r>
        <w:rPr>
          <w:sz w:val="24"/>
          <w:rFonts w:ascii="Times New Roman" w:hAnsi="Times New Roman"/>
        </w:rPr>
        <w:t xml:space="preserve"> </w:t>
      </w:r>
      <w:r>
        <w:rPr>
          <w:sz w:val="24"/>
          <w:rFonts w:ascii="Times New Roman" w:hAnsi="Times New Roman"/>
        </w:rPr>
        <w:t xml:space="preserve">‚oksorazgradljiva plastika‘ pomeni plastiko, ki vsebuje aditive, ki zaradi oksidacije povzročajo drobljenje plastičnega materiala v mikrodelce ali kemijsko razgradnjo;‘</w:t>
      </w:r>
      <w:r>
        <w:rPr>
          <w:sz w:val="24"/>
          <w:rFonts w:ascii="Times New Roman" w:hAnsi="Times New Roman"/>
        </w:rPr>
        <w:br/>
      </w:r>
      <w:r>
        <w:rPr>
          <w:sz w:val="24"/>
          <w:rFonts w:ascii="Times New Roman" w:hAnsi="Times New Roman"/>
        </w:rPr>
        <w:t xml:space="preserve">3.</w:t>
      </w:r>
      <w:r>
        <w:rPr>
          <w:sz w:val="24"/>
          <w:rFonts w:ascii="Times New Roman" w:hAnsi="Times New Roman"/>
        </w:rPr>
        <w:t xml:space="preserve"> </w:t>
      </w:r>
      <w:r>
        <w:rPr>
          <w:sz w:val="24"/>
          <w:rFonts w:ascii="Times New Roman" w:hAnsi="Times New Roman"/>
        </w:rPr>
        <w:t xml:space="preserve">točka 7 člena D. 541-330 se nadomesti z naslednjimi tremi pododstavki:</w:t>
      </w:r>
      <w:r>
        <w:rPr>
          <w:sz w:val="24"/>
          <w:rFonts w:ascii="Times New Roman" w:hAnsi="Times New Roman"/>
        </w:rPr>
        <w:br/>
      </w:r>
      <w:r>
        <w:rPr>
          <w:sz w:val="24"/>
          <w:rFonts w:ascii="Times New Roman" w:hAnsi="Times New Roman"/>
        </w:rPr>
        <w:t xml:space="preserve">„7.</w:t>
      </w:r>
      <w:r>
        <w:rPr>
          <w:sz w:val="24"/>
          <w:rFonts w:ascii="Times New Roman" w:hAnsi="Times New Roman"/>
        </w:rPr>
        <w:t xml:space="preserve"> </w:t>
      </w:r>
      <w:r>
        <w:rPr>
          <w:sz w:val="24"/>
          <w:rFonts w:ascii="Times New Roman" w:hAnsi="Times New Roman"/>
        </w:rPr>
        <w:t xml:space="preserve">‚lončki in kozarci‘ pomenijo:</w:t>
      </w:r>
      <w:r>
        <w:rPr>
          <w:sz w:val="24"/>
          <w:rFonts w:ascii="Times New Roman" w:hAnsi="Times New Roman"/>
        </w:rPr>
        <w:br/>
      </w:r>
      <w:r>
        <w:rPr>
          <w:sz w:val="24"/>
          <w:rFonts w:ascii="Times New Roman" w:hAnsi="Times New Roman"/>
        </w:rPr>
        <w:t xml:space="preserve">(a) lončke in kozarce za pijačo, ki so v celoti ali delno izdelani iz ekspandiranega polistirena, vključno z njihovimi sredstvi za zapiranje in pokrovi;</w:t>
      </w:r>
      <w:r>
        <w:rPr>
          <w:sz w:val="24"/>
          <w:rFonts w:ascii="Times New Roman" w:hAnsi="Times New Roman"/>
        </w:rPr>
        <w:br/>
      </w:r>
      <w:r>
        <w:rPr>
          <w:sz w:val="24"/>
          <w:rFonts w:ascii="Times New Roman" w:hAnsi="Times New Roman"/>
        </w:rPr>
        <w:t xml:space="preserve">(b) lončke in kozarce za pijačo, ki ne spadajo v opredelitev iz točke (a) in so v celoti izdelani iz plastike.“;</w:t>
      </w:r>
      <w:r>
        <w:rPr>
          <w:sz w:val="24"/>
          <w:rFonts w:ascii="Times New Roman" w:hAnsi="Times New Roman"/>
        </w:rPr>
        <w:br/>
      </w:r>
      <w:r>
        <w:rPr>
          <w:sz w:val="24"/>
          <w:rFonts w:ascii="Times New Roman" w:hAnsi="Times New Roman"/>
        </w:rPr>
        <w:t xml:space="preserve">4.</w:t>
      </w:r>
      <w:r>
        <w:rPr>
          <w:sz w:val="24"/>
          <w:rFonts w:ascii="Times New Roman" w:hAnsi="Times New Roman"/>
        </w:rPr>
        <w:t xml:space="preserve"> </w:t>
      </w:r>
      <w:r>
        <w:rPr>
          <w:sz w:val="24"/>
          <w:rFonts w:ascii="Times New Roman" w:hAnsi="Times New Roman"/>
        </w:rPr>
        <w:t xml:space="preserve">v točki 8 člena D. 541-330 se doda naslednji stavek:</w:t>
      </w:r>
      <w:r>
        <w:rPr>
          <w:sz w:val="24"/>
          <w:rFonts w:ascii="Times New Roman" w:hAnsi="Times New Roman"/>
        </w:rPr>
        <w:t xml:space="preserve"> </w:t>
      </w:r>
      <w:r>
        <w:rPr>
          <w:sz w:val="24"/>
          <w:rFonts w:ascii="Times New Roman" w:hAnsi="Times New Roman"/>
        </w:rPr>
        <w:t xml:space="preserve">„‚drugi krožniki‘ pa pomenijo krožnike, delno izdelane iz plastike, vključno s plastično folijo;“</w:t>
      </w:r>
      <w:r>
        <w:rPr>
          <w:sz w:val="24"/>
          <w:rFonts w:ascii="Times New Roman" w:hAnsi="Times New Roman"/>
        </w:rPr>
        <w:br/>
      </w:r>
      <w:r>
        <w:rPr>
          <w:sz w:val="24"/>
          <w:rFonts w:ascii="Times New Roman" w:hAnsi="Times New Roman"/>
        </w:rPr>
        <w:t xml:space="preserve">5.</w:t>
      </w:r>
      <w:r>
        <w:rPr>
          <w:sz w:val="24"/>
          <w:rFonts w:ascii="Times New Roman" w:hAnsi="Times New Roman"/>
        </w:rPr>
        <w:t xml:space="preserve"> </w:t>
      </w:r>
      <w:r>
        <w:rPr>
          <w:sz w:val="24"/>
          <w:rFonts w:ascii="Times New Roman" w:hAnsi="Times New Roman"/>
        </w:rPr>
        <w:t xml:space="preserve">točke 9 do 15 člena D. 541-330 se nadomestijo s točkami 9 do 13, ki se glasijo:</w:t>
      </w:r>
      <w:r>
        <w:rPr>
          <w:sz w:val="24"/>
          <w:rFonts w:ascii="Times New Roman" w:hAnsi="Times New Roman"/>
        </w:rPr>
        <w:br/>
      </w:r>
      <w:r>
        <w:rPr>
          <w:sz w:val="24"/>
          <w:rFonts w:ascii="Times New Roman" w:hAnsi="Times New Roman"/>
        </w:rPr>
        <w:t xml:space="preserve">„9.</w:t>
      </w:r>
      <w:r>
        <w:rPr>
          <w:sz w:val="24"/>
          <w:rFonts w:ascii="Times New Roman" w:hAnsi="Times New Roman"/>
        </w:rPr>
        <w:t xml:space="preserve"> </w:t>
      </w:r>
      <w:r>
        <w:rPr>
          <w:sz w:val="24"/>
          <w:rFonts w:ascii="Times New Roman" w:hAnsi="Times New Roman"/>
        </w:rPr>
        <w:t xml:space="preserve">‚jedilni pribor‘ pomeni vilice, nože, žlice, palčke in drug podoben namizni pribor, ki se uporablja za jemanje, rezanje ali mešanje živil, razen pribora, ki se uporablja v zaporih, zdravstvenih ustanovah ter letalskem, železniškem in pomorskem prometu, ter pripomočkov za odmerjanje neživilskih proizvodov;</w:t>
      </w:r>
      <w:r>
        <w:rPr>
          <w:sz w:val="24"/>
          <w:rFonts w:ascii="Times New Roman" w:hAnsi="Times New Roman"/>
        </w:rPr>
        <w:br/>
      </w:r>
      <w:r>
        <w:rPr>
          <w:sz w:val="24"/>
          <w:rFonts w:ascii="Times New Roman" w:hAnsi="Times New Roman"/>
        </w:rPr>
        <w:t xml:space="preserve">10.</w:t>
      </w:r>
      <w:r>
        <w:rPr>
          <w:sz w:val="24"/>
          <w:rFonts w:ascii="Times New Roman" w:hAnsi="Times New Roman"/>
        </w:rPr>
        <w:t xml:space="preserve"> </w:t>
      </w:r>
      <w:r>
        <w:rPr>
          <w:sz w:val="24"/>
          <w:rFonts w:ascii="Times New Roman" w:hAnsi="Times New Roman"/>
        </w:rPr>
        <w:t xml:space="preserve">‚vsebniki ali posode iz ekspandiranega polistirena‘ pomenijo:</w:t>
      </w:r>
      <w:r>
        <w:rPr>
          <w:sz w:val="24"/>
          <w:rFonts w:ascii="Times New Roman" w:hAnsi="Times New Roman"/>
        </w:rPr>
        <w:br/>
      </w:r>
      <w:r>
        <w:rPr>
          <w:sz w:val="24"/>
          <w:rFonts w:ascii="Times New Roman" w:hAnsi="Times New Roman"/>
        </w:rPr>
        <w:t xml:space="preserve">(a) posode za živila iz ekspandiranega polistirena, namenjene za uživanje na kraju samem ali drugje, kot so škatle z zapirali ali brez, ki se uporabljajo za shranjevanje živil, ki so namenjena takojšnjemu zaužitju bodisi na kraju samem bodisi na drugi lokaciji, se običajno zaužijejo neposredno iz posode in so pripravljena za uživanje brez nadaljnje priprave, kot so kuhanje, vrenje ali ponovno pogrevanje, z izjemo vsebnikov za pijače, krožnikov in vrečk ter embalaže, ki vsebuje hrano;</w:t>
      </w:r>
    </w:p>
    <w:p w14:paraId="3611C100" w14:textId="62260021"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(b) posode za pijačo iz ekspandiranega polistirena, vključno z njihovimi zamaški in pokrovi;</w:t>
      </w:r>
    </w:p>
    <w:p w14:paraId="2B76CB27" w14:textId="0E74E8C0"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11.</w:t>
      </w:r>
      <w:r>
        <w:rPr>
          <w:sz w:val="24"/>
          <w:rFonts w:ascii="Times New Roman" w:hAnsi="Times New Roman"/>
        </w:rPr>
        <w:t xml:space="preserve"> </w:t>
      </w:r>
      <w:r>
        <w:rPr>
          <w:sz w:val="24"/>
          <w:rFonts w:ascii="Times New Roman" w:hAnsi="Times New Roman"/>
        </w:rPr>
        <w:t xml:space="preserve">‚slamice razen slamic, ki se uporabljajo za medicinske namene‘ pomenijo slamice, ki so na razpolago na kraju samem, ali slamice, ki se končnim potrošnikom prodajajo posamično ali v serijah, razen slamic, ki spadajo na področje uporabe Direktive 90/385/EGS ali Direktive 93/42/EGS ali Uredbe (EU) 2017/745;</w:t>
      </w:r>
    </w:p>
    <w:p w14:paraId="09EEDEF2" w14:textId="77777777"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12.</w:t>
      </w:r>
      <w:r>
        <w:rPr>
          <w:sz w:val="24"/>
          <w:rFonts w:ascii="Times New Roman" w:hAnsi="Times New Roman"/>
        </w:rPr>
        <w:t xml:space="preserve"> </w:t>
      </w:r>
      <w:r>
        <w:rPr>
          <w:sz w:val="24"/>
          <w:rFonts w:ascii="Times New Roman" w:hAnsi="Times New Roman"/>
        </w:rPr>
        <w:t xml:space="preserve">‚pokrovčki za kozarce za enkratno uporabo‘ pomenijo pokrovčke za kozarce ali lončke za pijačo;</w:t>
      </w:r>
    </w:p>
    <w:p w14:paraId="74B9A58F" w14:textId="34646120"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13.</w:t>
      </w:r>
      <w:r>
        <w:rPr>
          <w:sz w:val="24"/>
          <w:rFonts w:ascii="Times New Roman" w:hAnsi="Times New Roman"/>
        </w:rPr>
        <w:t xml:space="preserve"> </w:t>
      </w:r>
      <w:r>
        <w:rPr>
          <w:sz w:val="24"/>
          <w:rFonts w:ascii="Times New Roman" w:hAnsi="Times New Roman"/>
        </w:rPr>
        <w:t xml:space="preserve">‚konfeti‘ pomenijo konfete, ki se uporabljajo za okraševanje ali ob praznovanjih;“</w:t>
      </w:r>
    </w:p>
    <w:p w14:paraId="1D5475A7" w14:textId="5C3C0670" w:rsidR="00A87D68" w:rsidRPr="00A87D68" w:rsidRDefault="00A87D68" w:rsidP="000967A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6.</w:t>
      </w:r>
      <w:r>
        <w:rPr>
          <w:sz w:val="24"/>
          <w:rFonts w:ascii="Times New Roman" w:hAnsi="Times New Roman"/>
        </w:rPr>
        <w:t xml:space="preserve"> </w:t>
      </w:r>
      <w:r>
        <w:rPr>
          <w:sz w:val="24"/>
          <w:rFonts w:ascii="Times New Roman" w:hAnsi="Times New Roman"/>
        </w:rPr>
        <w:t xml:space="preserve">člen D. 541-331 se glasi:</w:t>
      </w:r>
      <w:r>
        <w:rPr>
          <w:sz w:val="24"/>
          <w:rFonts w:ascii="Times New Roman" w:hAnsi="Times New Roman"/>
        </w:rPr>
        <w:br/>
      </w:r>
      <w:r>
        <w:rPr>
          <w:sz w:val="24"/>
          <w:rFonts w:ascii="Times New Roman" w:hAnsi="Times New Roman"/>
        </w:rPr>
        <w:t xml:space="preserve">„Člen D. 541-331.</w:t>
      </w:r>
      <w:r>
        <w:rPr>
          <w:sz w:val="24"/>
          <w:rFonts w:ascii="Times New Roman" w:hAnsi="Times New Roman"/>
        </w:rPr>
        <w:t xml:space="preserve"> </w:t>
      </w:r>
      <w:r>
        <w:rPr>
          <w:sz w:val="24"/>
          <w:rFonts w:ascii="Times New Roman" w:hAnsi="Times New Roman"/>
        </w:rPr>
        <w:t xml:space="preserve">Prepoved dajanja na razpolago plastičnih proizvodov za enkratno uporabo iz točk 1 in 2 odstavka III člena L. 541-15-10 se ne uporablja za proizvode, ki pomenijo embalažo v smislu člena R. 543-43 Okoljskega zakonika.“;</w:t>
      </w:r>
      <w:r>
        <w:rPr>
          <w:sz w:val="24"/>
          <w:rFonts w:ascii="Times New Roman" w:hAnsi="Times New Roman"/>
        </w:rPr>
        <w:t xml:space="preserve"> </w:t>
      </w:r>
    </w:p>
    <w:p w14:paraId="4C324688"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7.</w:t>
      </w:r>
      <w:r>
        <w:rPr>
          <w:sz w:val="24"/>
          <w:rFonts w:ascii="Times New Roman" w:hAnsi="Times New Roman"/>
        </w:rPr>
        <w:t xml:space="preserve"> </w:t>
      </w:r>
      <w:r>
        <w:rPr>
          <w:sz w:val="24"/>
          <w:rFonts w:ascii="Times New Roman" w:hAnsi="Times New Roman"/>
        </w:rPr>
        <w:t xml:space="preserve">člen D. 543-332 se spremeni in se glasi:</w:t>
      </w:r>
    </w:p>
    <w:p w14:paraId="3FC8B875"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„Člen D. 541-332.</w:t>
      </w:r>
      <w:r>
        <w:rPr>
          <w:sz w:val="24"/>
          <w:rFonts w:ascii="Times New Roman" w:hAnsi="Times New Roman"/>
        </w:rPr>
        <w:t xml:space="preserve"> </w:t>
      </w:r>
      <w:r>
        <w:rPr>
          <w:sz w:val="24"/>
          <w:rFonts w:ascii="Times New Roman" w:hAnsi="Times New Roman"/>
        </w:rPr>
        <w:t xml:space="preserve">Prepoved dajanja na razpolago plastičnih proizvodov za enkratno uporabo iz točk 1 in 2 odstavka III člena L. 541-15-10 se uporablja tudi za plastične proizvode, ki so po trajnosti, odpornosti in trdnosti primerljivi s proizvodi za enkratno uporabo.</w:t>
      </w:r>
      <w:r>
        <w:rPr>
          <w:sz w:val="24"/>
          <w:rFonts w:ascii="Times New Roman" w:hAnsi="Times New Roman"/>
        </w:rPr>
        <w:t xml:space="preserve"> </w:t>
      </w:r>
      <w:r>
        <w:rPr>
          <w:sz w:val="24"/>
          <w:rFonts w:ascii="Times New Roman" w:hAnsi="Times New Roman"/>
        </w:rPr>
        <w:t xml:space="preserve">Ta prepoved se ne uporablja za proizvode, ki so zasnovani, izdelani in dani na trg z namenom, da bi v svoji življenjski dobi opravili več poti ali kroženj, tako da bi se vrnili proizvajalcu za ponovno polnjenje.“;</w:t>
      </w:r>
      <w:r>
        <w:rPr>
          <w:sz w:val="24"/>
          <w:rFonts w:ascii="Times New Roman" w:hAnsi="Times New Roman"/>
        </w:rPr>
        <w:t xml:space="preserve"> </w:t>
      </w:r>
    </w:p>
    <w:p w14:paraId="12592D4F"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8.</w:t>
      </w:r>
      <w:r>
        <w:rPr>
          <w:sz w:val="24"/>
          <w:rFonts w:ascii="Times New Roman" w:hAnsi="Times New Roman"/>
        </w:rPr>
        <w:t xml:space="preserve"> </w:t>
      </w:r>
      <w:r>
        <w:rPr>
          <w:sz w:val="24"/>
          <w:rFonts w:ascii="Times New Roman" w:hAnsi="Times New Roman"/>
        </w:rPr>
        <w:t xml:space="preserve">člen D. 541-334 se razveljavi.</w:t>
      </w:r>
    </w:p>
    <w:p w14:paraId="022BEA26"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Člen 2</w:t>
      </w:r>
    </w:p>
    <w:p w14:paraId="69C25AFD"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Člen D. 541-330 se spremeni:</w:t>
      </w:r>
      <w:r>
        <w:rPr>
          <w:sz w:val="24"/>
          <w:rFonts w:ascii="Times New Roman" w:hAnsi="Times New Roman"/>
        </w:rPr>
        <w:br/>
      </w:r>
      <w:r>
        <w:rPr>
          <w:sz w:val="24"/>
          <w:rFonts w:ascii="Times New Roman" w:hAnsi="Times New Roman"/>
        </w:rPr>
        <w:t xml:space="preserve">(a) v točki 7(b) se za besedilom</w:t>
      </w:r>
      <w:r>
        <w:rPr>
          <w:sz w:val="24"/>
          <w:rFonts w:ascii="Times New Roman" w:hAnsi="Times New Roman"/>
        </w:rPr>
        <w:t xml:space="preserve"> </w:t>
      </w:r>
      <w:r>
        <w:rPr>
          <w:sz w:val="24"/>
          <w:rFonts w:ascii="Times New Roman" w:hAnsi="Times New Roman"/>
        </w:rPr>
        <w:t xml:space="preserve">„v celoti“ vstavi besedilo</w:t>
      </w:r>
      <w:r>
        <w:rPr>
          <w:sz w:val="24"/>
          <w:rFonts w:ascii="Times New Roman" w:hAnsi="Times New Roman"/>
        </w:rPr>
        <w:t xml:space="preserve"> </w:t>
      </w:r>
      <w:r>
        <w:rPr>
          <w:sz w:val="24"/>
          <w:rFonts w:ascii="Times New Roman" w:hAnsi="Times New Roman"/>
        </w:rPr>
        <w:t xml:space="preserve">„ali delno izdelani iz plastike in katerih vsebnost plastike presega največjo vsebnost, določeno v odredbi o največji dovoljeni vsebnosti plastike in pogojih, v skladu s katerimi je treba vsebnost plastike postopoma zmanjšati do njene popolne odprave“;</w:t>
      </w:r>
      <w:r>
        <w:rPr>
          <w:sz w:val="24"/>
          <w:rFonts w:ascii="Times New Roman" w:hAnsi="Times New Roman"/>
        </w:rPr>
        <w:br/>
      </w:r>
      <w:r>
        <w:rPr>
          <w:sz w:val="24"/>
          <w:rFonts w:ascii="Times New Roman" w:hAnsi="Times New Roman"/>
        </w:rPr>
        <w:t xml:space="preserve">(b) v točki 9 se besedilo</w:t>
      </w:r>
      <w:r>
        <w:rPr>
          <w:sz w:val="24"/>
          <w:rFonts w:ascii="Times New Roman" w:hAnsi="Times New Roman"/>
        </w:rPr>
        <w:t xml:space="preserve"> </w:t>
      </w:r>
      <w:r>
        <w:rPr>
          <w:sz w:val="24"/>
          <w:rFonts w:ascii="Times New Roman" w:hAnsi="Times New Roman"/>
        </w:rPr>
        <w:t xml:space="preserve">„pribor, ki se uporablja v zaporih, zdravstvenih ustanovah ter v zračnem, železniškem in pomorskem prometu ter“ črta;</w:t>
      </w:r>
      <w:r>
        <w:rPr>
          <w:sz w:val="24"/>
          <w:rFonts w:ascii="Times New Roman" w:hAnsi="Times New Roman"/>
        </w:rPr>
        <w:br/>
      </w:r>
      <w:r>
        <w:rPr>
          <w:sz w:val="24"/>
          <w:rFonts w:ascii="Times New Roman" w:hAnsi="Times New Roman"/>
        </w:rPr>
        <w:t xml:space="preserve">(c) v točki 11 se besedilo</w:t>
      </w:r>
      <w:r>
        <w:rPr>
          <w:sz w:val="24"/>
          <w:rFonts w:ascii="Times New Roman" w:hAnsi="Times New Roman"/>
        </w:rPr>
        <w:t xml:space="preserve"> </w:t>
      </w:r>
      <w:r>
        <w:rPr>
          <w:sz w:val="24"/>
          <w:rFonts w:ascii="Times New Roman" w:hAnsi="Times New Roman"/>
        </w:rPr>
        <w:t xml:space="preserve">„ki so na razpolago na kraju samem ali se končnim potrošnikom prodajajo posamično ali v serijah“ nadomesti z besedilom</w:t>
      </w:r>
      <w:r>
        <w:rPr>
          <w:sz w:val="24"/>
          <w:rFonts w:ascii="Times New Roman" w:hAnsi="Times New Roman"/>
        </w:rPr>
        <w:t xml:space="preserve"> </w:t>
      </w:r>
      <w:r>
        <w:rPr>
          <w:sz w:val="24"/>
          <w:rFonts w:ascii="Times New Roman" w:hAnsi="Times New Roman"/>
        </w:rPr>
        <w:t xml:space="preserve">„ki so navedeni v delu B Priloge k Direktivi (EU) 2019/904“;</w:t>
      </w:r>
      <w:r>
        <w:rPr>
          <w:sz w:val="24"/>
          <w:rFonts w:ascii="Times New Roman" w:hAnsi="Times New Roman"/>
        </w:rPr>
        <w:br/>
      </w: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v členu D. 541-331 se besedilo</w:t>
      </w:r>
      <w:r>
        <w:rPr>
          <w:sz w:val="24"/>
          <w:rFonts w:ascii="Times New Roman" w:hAnsi="Times New Roman"/>
        </w:rPr>
        <w:t xml:space="preserve"> </w:t>
      </w:r>
      <w:r>
        <w:rPr>
          <w:sz w:val="24"/>
          <w:rFonts w:ascii="Times New Roman" w:hAnsi="Times New Roman"/>
        </w:rPr>
        <w:t xml:space="preserve">„se ne uporablja“ nadomesti z besedilom</w:t>
      </w:r>
      <w:r>
        <w:rPr>
          <w:sz w:val="24"/>
          <w:rFonts w:ascii="Times New Roman" w:hAnsi="Times New Roman"/>
        </w:rPr>
        <w:t xml:space="preserve"> </w:t>
      </w:r>
      <w:r>
        <w:rPr>
          <w:sz w:val="24"/>
          <w:rFonts w:ascii="Times New Roman" w:hAnsi="Times New Roman"/>
        </w:rPr>
        <w:t xml:space="preserve">„se tudi uporablja“.</w:t>
      </w:r>
    </w:p>
    <w:p w14:paraId="60299C0A"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Člen 3</w:t>
      </w:r>
    </w:p>
    <w:p w14:paraId="37540D57"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I. Določbe te uredbe začnejo veljati dan po objavi v Uradnem listu, razen člena 2, ki začne veljati 3. julija 2021.</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Zaloge proizvodov, ki so predmet prepovedi dajanja na razpolago na podlagi točke 2 odstavka III člena L. 541-15-10, se lahko porabijo do 1. julija 2021 pod pogojem, da so bili proizvodi izdelani ali uvoženi pred tem datumom, razen proizvodov, v zvezi s katerimi začne prepoved dajanja na razpolago veljati 3. julija 2021 na podlagi tega člena in za katere ta rok ne velja.</w:t>
      </w:r>
    </w:p>
    <w:p w14:paraId="2E90970D"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Člen 4</w:t>
      </w:r>
    </w:p>
    <w:p w14:paraId="7BFF9C65"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Člen 3 zgoraj navedene uredbe št. 2019-1451 z dne 24. decembra 2019 se razveljavi.</w:t>
      </w:r>
    </w:p>
    <w:p w14:paraId="181FC442"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Člen 5</w:t>
      </w:r>
    </w:p>
    <w:p w14:paraId="15B8CB4E"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Ministrica za ekološki prehod ter minister za gospodarstvo, finance in okrevanje sta vsak v skladu s svojimi pristojnostmi odgovorna za izvajanje te uredbe, ki bo objavljena v Uradnem listu Francoske republike.</w:t>
      </w:r>
    </w:p>
    <w:p w14:paraId="6D5C3312"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Datum: 31. december 2020</w:t>
      </w:r>
    </w:p>
    <w:p w14:paraId="05201B2D"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Jean Castex</w:t>
      </w:r>
      <w:r>
        <w:rPr>
          <w:sz w:val="24"/>
          <w:rFonts w:ascii="Times New Roman" w:hAnsi="Times New Roman"/>
        </w:rPr>
        <w:br/>
      </w:r>
      <w:r>
        <w:rPr>
          <w:sz w:val="24"/>
          <w:rFonts w:ascii="Times New Roman" w:hAnsi="Times New Roman"/>
        </w:rPr>
        <w:t xml:space="preserve">v imenu predsednika vlade:</w:t>
      </w:r>
    </w:p>
    <w:p w14:paraId="3BBF3489"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ministrica za ekološki prehod</w:t>
      </w:r>
      <w:r>
        <w:rPr>
          <w:sz w:val="24"/>
          <w:rFonts w:ascii="Times New Roman" w:hAnsi="Times New Roman"/>
        </w:rPr>
        <w:br/>
      </w:r>
      <w:r>
        <w:rPr>
          <w:sz w:val="24"/>
          <w:rFonts w:ascii="Times New Roman" w:hAnsi="Times New Roman"/>
        </w:rPr>
        <w:t xml:space="preserve">Barbara Pompili</w:t>
      </w:r>
    </w:p>
    <w:p w14:paraId="314F4589"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minister za gospodarstvo, finance in okrevanje</w:t>
      </w:r>
      <w:r>
        <w:rPr>
          <w:sz w:val="24"/>
          <w:rFonts w:ascii="Times New Roman" w:hAnsi="Times New Roman"/>
        </w:rPr>
        <w:br/>
      </w:r>
      <w:r>
        <w:rPr>
          <w:sz w:val="24"/>
          <w:rFonts w:ascii="Times New Roman" w:hAnsi="Times New Roman"/>
        </w:rPr>
        <w:t xml:space="preserve">Bruno Le Maire</w:t>
      </w:r>
    </w:p>
    <w:p w14:paraId="492B6379" w14:textId="77777777" w:rsidR="00EB24C2" w:rsidRDefault="00EB24C2"/>
    <w:sectPr w:rsidR="00EB24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D68"/>
    <w:rsid w:val="000967AB"/>
    <w:rsid w:val="000E6F07"/>
    <w:rsid w:val="00117739"/>
    <w:rsid w:val="004D4827"/>
    <w:rsid w:val="00A87D68"/>
    <w:rsid w:val="00EB24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32771"/>
  <w15:chartTrackingRefBased/>
  <w15:docId w15:val="{E6976E17-F039-45AD-A102-7EAF5DF27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9915721">
      <w:bodyDiv w:val="1"/>
      <w:marLeft w:val="0"/>
      <w:marRight w:val="0"/>
      <w:marTop w:val="0"/>
      <w:marBottom w:val="0"/>
      <w:divBdr>
        <w:top w:val="none" w:sz="0" w:space="0" w:color="auto"/>
        <w:left w:val="none" w:sz="0" w:space="0" w:color="auto"/>
        <w:bottom w:val="none" w:sz="0" w:space="0" w:color="auto"/>
        <w:right w:val="none" w:sz="0" w:space="0" w:color="auto"/>
      </w:divBdr>
      <w:divsChild>
        <w:div w:id="462621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1398</Words>
  <Characters>7970</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Dimitris Dimitriadis</cp:lastModifiedBy>
  <cp:revision>5</cp:revision>
  <dcterms:created xsi:type="dcterms:W3CDTF">2021-01-04T15:16:00Z</dcterms:created>
  <dcterms:modified xsi:type="dcterms:W3CDTF">2021-04-13T11:47:00Z</dcterms:modified>
</cp:coreProperties>
</file>