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št. 2021-835 z dne 29. junija 2021 o oznakah za obveščanje potrošnikov o pravilu ločevanja odpadkov iz proizvodov, za katere velja načelo razširjene odgovornosti proizvajalca</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Začetna različica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Zadevna javnost: proizvajalci proizvodov, ki se dajejo na trg za uporabo v gospodinjstvih in za katere velja načelo razširjene odgovornosti proizvajalca. </w:t>
      </w:r>
      <w:r>
        <w:rPr>
          <w:rFonts w:ascii="Times New Roman" w:hAnsi="Times New Roman"/>
          <w:sz w:val="24"/>
        </w:rPr>
        <w:br/>
        <w:t xml:space="preserve">Zadeva: uvedba oznak za obveščanje potrošnikov o pravilih ločevanja odpadkov iz proizvodov, ki se dajejo na trg za uporabo v gospodinjstvih in za katere velja načelo razširjene odgovornosti proizvajalca. </w:t>
      </w:r>
      <w:r>
        <w:rPr>
          <w:rFonts w:ascii="Times New Roman" w:hAnsi="Times New Roman"/>
          <w:sz w:val="24"/>
        </w:rPr>
        <w:br/>
        <w:t xml:space="preserve">Začetek veljavnosti: besedilo začne veljati dan po objavi. Vendar pa predvideva postopno uporabo oznak za obveščanje, in sicer od 1. januarja 2022, glede na proizvode in izdelovanje teh oznak. </w:t>
      </w:r>
      <w:r>
        <w:rPr>
          <w:rFonts w:ascii="Times New Roman" w:hAnsi="Times New Roman"/>
          <w:sz w:val="24"/>
        </w:rPr>
        <w:br/>
        <w:t>Obvestilo: uredba določa pogoje za uporabo zakonov Okoljskega zakonika, v skladu s katerimi je treba vsak proizvod, ki se daje na trg za uporabo v gospodinjstvih in za katerega velja načelo razširjene odgovornosti proizvajalca, razen gospodinjskih steklenih embalaž za pijače, označiti z oznako, ki potrošnike obvešča, da se za zadevni proizvod uporablja pravilo ločevanja in obveščanja o podrobnih pravilih ločevanja ali odlaganja odpadka iz proizvoda. V okviru tega uredba natančno določa podrobna pravila za izvajanje člena L. 541-9-3 Okoljskega zakonika. Uredba določa tudi pogoje za izdelavo oznak za obveščanje potrošnikov, da se za proizvode uporablja sistem odlaganja na podlagi člena L. 541-10-11 tega zakonika.</w:t>
      </w:r>
      <w:r>
        <w:rPr>
          <w:rFonts w:ascii="Times New Roman" w:hAnsi="Times New Roman"/>
          <w:sz w:val="24"/>
        </w:rPr>
        <w:br/>
        <w:t xml:space="preserve">Referenčna besedila: </w:t>
      </w:r>
      <w:r>
        <w:rPr>
          <w:rFonts w:ascii="Times New Roman" w:hAnsi="Times New Roman"/>
          <w:sz w:val="24"/>
        </w:rPr>
        <w:br/>
        <w:t xml:space="preserve">Okoljski zakonik, ki ga spreminja ta uredba, je na voljo v ubeseditvi, ki izhaja iz te spremembe, na spletni strani Légifrance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 –</w:t>
      </w:r>
      <w:r>
        <w:rPr>
          <w:rFonts w:ascii="Times New Roman" w:hAnsi="Times New Roman"/>
          <w:sz w:val="24"/>
        </w:rPr>
        <w:br/>
        <w:t>na podlagi poročila ministra za ekološko in solidarnostno preoblikovanje;</w:t>
      </w:r>
      <w:r>
        <w:rPr>
          <w:rFonts w:ascii="Times New Roman" w:hAnsi="Times New Roman"/>
          <w:sz w:val="24"/>
        </w:rPr>
        <w:br/>
        <w:t>ob upoštevanju Pogodbe o delovanju Evropske unije;</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w:t>
      </w:r>
      <w:r>
        <w:rPr>
          <w:rFonts w:ascii="Times New Roman" w:hAnsi="Times New Roman"/>
          <w:sz w:val="24"/>
        </w:rPr>
        <w:br/>
        <w:t>ob upoštevanju Okoljskega zakonika, zlasti členov L. 541-9-3, L. 541-10-11, R. 541-12-17, R. 541-12-18 in R. 543-54-1;</w:t>
      </w:r>
      <w:r>
        <w:rPr>
          <w:rFonts w:ascii="Times New Roman" w:hAnsi="Times New Roman"/>
          <w:sz w:val="24"/>
        </w:rPr>
        <w:br/>
        <w:t>ob upoštevanju pripomb, podanih med javnim posvetovanjem, ki je potekalo od 29. junija do 20. julija 2020, na podlagi člena L. 123-19-1 Okoljskega zakonika;</w:t>
      </w:r>
      <w:r>
        <w:rPr>
          <w:rFonts w:ascii="Times New Roman" w:hAnsi="Times New Roman"/>
          <w:sz w:val="24"/>
        </w:rPr>
        <w:br/>
        <w:t>ob upoštevanju mnenja Nacionalnega sveta za ocenjevanje standardov (CNEN) z dne 23. julija 2020;</w:t>
      </w:r>
      <w:r>
        <w:rPr>
          <w:rFonts w:ascii="Times New Roman" w:hAnsi="Times New Roman"/>
          <w:sz w:val="24"/>
        </w:rPr>
        <w:br/>
        <w:t>ob upoštevanju uradnega obvestila št. 2020/410/F, poslanega Evropski komisiji dne 30. junija 2020, in odgovora Komisije z dne 1. oktobra 2020;</w:t>
      </w:r>
      <w:r>
        <w:rPr>
          <w:rFonts w:ascii="Times New Roman" w:hAnsi="Times New Roman"/>
          <w:sz w:val="24"/>
        </w:rPr>
        <w:br/>
        <w:t>ob upoštevanju mnenja Državnega sveta (oddelka za javna dela) –</w:t>
      </w:r>
      <w:r>
        <w:rPr>
          <w:rFonts w:ascii="Times New Roman" w:hAnsi="Times New Roman"/>
          <w:sz w:val="24"/>
        </w:rPr>
        <w:br/>
        <w:t>odreja:</w:t>
      </w:r>
    </w:p>
    <w:p w14:paraId="6133688D" w14:textId="77777777" w:rsidR="004C5D18" w:rsidRPr="004C5D18" w:rsidRDefault="004C5D18" w:rsidP="00506C0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Člen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Pododdelek 7 oddelka 1 poglavja I naslova IV knjige V regulativnega dela Okoljskega zakonika se spremeni: </w:t>
      </w:r>
      <w:r>
        <w:rPr>
          <w:rFonts w:ascii="Times New Roman" w:hAnsi="Times New Roman"/>
          <w:sz w:val="24"/>
        </w:rPr>
        <w:br/>
        <w:t xml:space="preserve">(1) naslov pododdelka se nadomesti z naslednjim naslovom: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Pododdelek 7</w:t>
      </w:r>
      <w:r>
        <w:rPr>
          <w:rFonts w:ascii="Times New Roman" w:hAnsi="Times New Roman"/>
          <w:sz w:val="24"/>
        </w:rPr>
        <w:br/>
        <w:t xml:space="preserve">„Obveščanje potrošnikov o pravilu ločevanja odpadkov iz proizvodov, za katere velja načelo razširjene odgovornosti proizvajalca“;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člena R. 541-12-17 in R. 541-12-18 se nadomestita s členi R. 541-12-17 do R. 541-12-23, in sicer: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541-12-17 – Oznaka, določena na podlagi člena L. 541-9-3, je opredeljena v prilogi k temu členu.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541-12-18. – Vsaka ekološka organizacija, vzpostavljena na podlagi člena L. 541-10, sestavi informacije z natančno navedbo podrobnih pravil ločevanja ali odlaganja odpadka iz proizvoda iz točke 2 člena L. 541-9-3 v roku treh mesecev od datuma prve odobritve. Svoj obrazloženi predlog po posvetovanju z odborom zainteresiranih strani posreduje ministrom, odgovornim za okolje in potrošnjo. Šteje se, da je bil predlog sprejet, ko so ga sprejeli ministri, oziroma, če mu noben od ministrov ne nasprotuje, po preteku dveh mesecev od poznejšega od obeh datumov prejema. Ekološka organizacija v nasprotnem primeru ali na obrazloženo zahtevo vsaj enega od ministrov in ob upoštevanju njihovih pripomb v roku enega meseca posreduje revidirani predlog. </w:t>
      </w:r>
      <w:r>
        <w:rPr>
          <w:rFonts w:ascii="Times New Roman" w:hAnsi="Times New Roman"/>
          <w:sz w:val="24"/>
        </w:rPr>
        <w:br/>
        <w:t xml:space="preserve">Če je za isto kategorijo proizvodov odobrenih več ekoloških organizacij, se uskladijo, da se oblikuje skupni predlog. </w:t>
      </w:r>
      <w:r>
        <w:rPr>
          <w:rFonts w:ascii="Times New Roman" w:hAnsi="Times New Roman"/>
          <w:sz w:val="24"/>
        </w:rPr>
        <w:br/>
        <w:t xml:space="preserve">Te informacije je mogoče po potrebi opredeliti s skupnim sklepom ministrov, pristojnih za okolje in varstvo potrošnikov, na podlagi mnenja medsektorskega odbora za razširjeno odgovornost proizvajalca. Kjer je primerno, nadomestijo informacije, ki jih je določila ekološka organizacija. </w:t>
      </w:r>
      <w:r>
        <w:rPr>
          <w:rFonts w:ascii="Times New Roman" w:hAnsi="Times New Roman"/>
          <w:sz w:val="24"/>
        </w:rPr>
        <w:br/>
        <w:t xml:space="preserve">Ekološka organizacija lahko pod pogoji iz prejšnje točke te informacije kadar koli znova preuči. </w:t>
      </w:r>
      <w:r>
        <w:rPr>
          <w:rFonts w:ascii="Times New Roman" w:hAnsi="Times New Roman"/>
          <w:sz w:val="24"/>
        </w:rPr>
        <w:br/>
        <w:t xml:space="preserve">Ekološka organizacija te informacije objavi na svoji spletni strani in po datumu sprejetja zgoraj navedene odločitve o tem obvesti svoje člane. Če se proizvajalci, ki so obveznost razširjene odgovornosti proizvajalca prenesli na ekološko organizacijo, odločijo, da jo bodo uporabili pred tem rokom, uporabijo oznake in te informacije najpozneje 12 mesecev po datumu, ko so bile pridobljene. Ta predlog lahko določa tudi, da so proizvodi, proizvedeni ali uvoženi pred iztekom tega roka, upravičeni do roka porabe zalog, ki od tega roka ne sme biti daljši od 6 mesecev.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541-12-19 – Proizvajalec, ki vzpostavi individualni sistem, v okviru svoje zahteve za odobritev predlaga informacije z natančno navedbo ločevanja ali odlaganja odpadka iz proizvoda, navedenega v točki 2 člena L. 541-9-3. </w:t>
      </w:r>
      <w:r>
        <w:rPr>
          <w:rFonts w:ascii="Times New Roman" w:hAnsi="Times New Roman"/>
          <w:sz w:val="24"/>
        </w:rPr>
        <w:br/>
        <w:t xml:space="preserve">Oznake in informacije uporabi najpozneje 12 mesecev od datuma izdaje odobritve. Te </w:t>
      </w:r>
      <w:r>
        <w:rPr>
          <w:rFonts w:ascii="Times New Roman" w:hAnsi="Times New Roman"/>
          <w:sz w:val="24"/>
        </w:rPr>
        <w:lastRenderedPageBreak/>
        <w:t>informacije lahko tudi določajo, da so proizvodi, ki jih proizvajalec proizvede ali uvozi pred tem rokom, upravičeni do obdobja odprodaje zalog, ki ni daljše od 6 mesecev od navedenega datuma.</w:t>
      </w:r>
      <w:r>
        <w:rPr>
          <w:rFonts w:ascii="Times New Roman" w:hAnsi="Times New Roman"/>
          <w:sz w:val="24"/>
        </w:rPr>
        <w:br/>
        <w:t xml:space="preserve">Na lastno pobudo ali na zahtevo ministra, pristojnega za okolje, ali ministra, pristojnega za potrošnjo, lahko te informacije spremeni pod pogoji, določenimi v odstavku 1 oddelka R. 541-12-18.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541-12-20 – Proizvajalci proizvodov, za katere v Franciji velja sistem razširjene odgovornosti, lahko oznake iz priloge k členu R. 541-12-17 nadomestijo z drugimi splošnimi oznakami, ki jih zakonsko ureja Evropska unija ali druga država članica Evropske unije, skladno z načelom vzajemnega priznavanja iz členov 34 in 36 Pogodbe o delovanju Evropske unije, kadar te druge oznake potrošnika obveščajo, da za te proizvode veljajo pravila ločevanja odpadkov in je njihova uporaba obvezna. Proizvajalci lahko informacije iz člena R. 541-12-18 nadomestijo tudi z drugimi splošnimi informacijami, ki jih zakonsko ureja druga država članica Evropske unije, kadar te informacije natančno določajo podrobna pravila ločevanja ali odlaganja odpadka iz proizvoda in so združljive z informacijami, ki jih določajo pogoji iz člena R. 541-12-18, njihova uporaba pa je obvezna.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541-12-21 – Oznake iz odstavka 1 člena L. 541-9-3 se dodajo informacijam iz odstavka 2 tega člena. </w:t>
      </w:r>
      <w:r>
        <w:rPr>
          <w:rFonts w:ascii="Times New Roman" w:hAnsi="Times New Roman"/>
          <w:sz w:val="24"/>
        </w:rPr>
        <w:br/>
        <w:t xml:space="preserve">V primeru embalaže iz odstavka 1 člena L. 541-10-1 in embalažo, ki je na voljo potrošnikom v okviru gostinskih dejavnosti iz odstavka 2 navedenega člena, se ta oznaka pritrdi na embalažo, razen steklene embalaže pijač. </w:t>
      </w:r>
      <w:r>
        <w:rPr>
          <w:rFonts w:ascii="Times New Roman" w:hAnsi="Times New Roman"/>
          <w:sz w:val="24"/>
        </w:rPr>
        <w:br/>
        <w:t xml:space="preserve">Ta oznaka in informacije se lahko pritrdijo v obliki nalepk. </w:t>
      </w:r>
      <w:r>
        <w:rPr>
          <w:rFonts w:ascii="Times New Roman" w:hAnsi="Times New Roman"/>
          <w:sz w:val="24"/>
        </w:rPr>
        <w:br/>
        <w:t>Če je površina največje stranice proizvoda ali njegove embalaže manjša od 10 cm</w:t>
      </w:r>
      <w:r>
        <w:rPr>
          <w:rFonts w:ascii="Times New Roman" w:hAnsi="Times New Roman"/>
          <w:sz w:val="24"/>
          <w:vertAlign w:val="superscript"/>
        </w:rPr>
        <w:t>2</w:t>
      </w:r>
      <w:r>
        <w:rPr>
          <w:rFonts w:ascii="Times New Roman" w:hAnsi="Times New Roman"/>
          <w:sz w:val="24"/>
        </w:rPr>
        <w:t xml:space="preserve"> in proizvodu ni priložen noben drug dokument, se lahko oznake in informacije prikažejo na nematerializiranem nosilcu. Če je površina med 10 cm</w:t>
      </w:r>
      <w:r>
        <w:rPr>
          <w:rFonts w:ascii="Times New Roman" w:hAnsi="Times New Roman"/>
          <w:sz w:val="24"/>
          <w:vertAlign w:val="superscript"/>
        </w:rPr>
        <w:t>2</w:t>
      </w:r>
      <w:r>
        <w:rPr>
          <w:rFonts w:ascii="Times New Roman" w:hAnsi="Times New Roman"/>
          <w:sz w:val="24"/>
        </w:rPr>
        <w:t xml:space="preserve"> in 20 cm</w:t>
      </w:r>
      <w:r>
        <w:rPr>
          <w:rFonts w:ascii="Times New Roman" w:hAnsi="Times New Roman"/>
          <w:sz w:val="24"/>
          <w:vertAlign w:val="superscript"/>
        </w:rPr>
        <w:t>2</w:t>
      </w:r>
      <w:r>
        <w:rPr>
          <w:rFonts w:ascii="Times New Roman" w:hAnsi="Times New Roman"/>
          <w:sz w:val="24"/>
        </w:rPr>
        <w:t xml:space="preserve">, se lahko na nematerializiranem nosilcu prikažejo le informacije.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Oznake za obveščanje potrošnikov o tem, da za proizvode velja sistem odlaganja na podlagi člena L. 541-10-11, določajo pogoji iz tega pododdelka.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Člen R. 541-12-22. – Ekološke organizacije in proizvajalci, ki vzpostavijo individualni sistem, te informacije dajejo na razpolago javnosti po elektronski poti, brezplačno, v odprtem formatu, z možnostjo enostavne ponovne uporabe in upravljanja v sistemu za avtomatsko obdelavo.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 Za izvajanje točke 3 člena L. 541-9-3 je predvideni usklajeni sistem, opredeljen v členu R. 543-54-1.“</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Vsaka ekološka organizacija, odobrena na datum objave te uredbe posreduje svoj predlog </w:t>
      </w:r>
      <w:r>
        <w:rPr>
          <w:rFonts w:ascii="Times New Roman" w:hAnsi="Times New Roman"/>
          <w:sz w:val="24"/>
        </w:rPr>
        <w:lastRenderedPageBreak/>
        <w:t>glede informacij v skladu z določbami iz odstavka 1 člena R. 541-12-18 Okoljskega zakonika v 3 mesecih po objavi te uredbe.</w:t>
      </w:r>
      <w:r>
        <w:rPr>
          <w:rFonts w:ascii="Times New Roman" w:hAnsi="Times New Roman"/>
          <w:sz w:val="24"/>
        </w:rPr>
        <w:br/>
        <w:t>Vsak proizvajalec, ki je vzpostavil individualni sistem, odobren na datum objave te uredbe, posreduje svoj predlog glede informacij ministroma za okolje in varstvo potrošnikov v 3 mesecih po objavi te uredbe.</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Proizvajalci, ne glede na to, ali so svojo obveznost razširjene odgovornosti prenesli na ekološko organizacijo ali vzpostavili individualni sistem, lahko po želji uporabijo določbe te uredbe pred 1. januarjem 2022. V nasprotnem primeru proizvode, za katere velja sistem razširjene odgovornosti, ki so dani na trg za uporabo v gospodinjstvih pred tem datumom, še naprej urejajo določbe iz členov R. 541-12-17 in R. 541-12-18 Okoljskega zakonika v različici, veljavni na datum objave te uredbe, do 31. decembra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 za ekološko in solidarnostno preoblikovanje ter minister za gospodarstvo in finance sta vsak v skladu s svojimi pristojnostmi odgovorna za izvajanje te uredbe, ki bo objavljena v Uradnem listu Francoske republike.</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PRILOGA</w:t>
      </w:r>
      <w:r>
        <w:rPr>
          <w:rFonts w:ascii="Times New Roman" w:hAnsi="Times New Roman"/>
          <w:sz w:val="24"/>
        </w:rPr>
        <w:br/>
        <w:t>Splošne oznake iz člena R. 541-12-17</w:t>
      </w:r>
    </w:p>
    <w:p w14:paraId="7BF9B475" w14:textId="0A0100E8"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Celotno besedilo s slikami iz izvlečka overjenega elektronskega Uradnega lista je na voljo na dnu strani.</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29. junija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Predsednik vlade</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za ekološki prehod</w:t>
      </w:r>
      <w:r>
        <w:rPr>
          <w:rFonts w:ascii="Times New Roman" w:hAnsi="Times New Roman"/>
          <w:sz w:val="24"/>
        </w:rPr>
        <w:br/>
        <w:t>Barbara Pompili</w:t>
      </w:r>
    </w:p>
    <w:p w14:paraId="0CC6AF5F" w14:textId="638C6E64" w:rsidR="00315F82" w:rsidRDefault="004C5D18" w:rsidP="00506C02">
      <w:pPr>
        <w:spacing w:before="100" w:beforeAutospacing="1" w:after="100" w:afterAutospacing="1" w:line="240" w:lineRule="auto"/>
      </w:pPr>
      <w:r>
        <w:rPr>
          <w:rFonts w:ascii="Times New Roman" w:hAnsi="Times New Roman"/>
          <w:sz w:val="24"/>
        </w:rPr>
        <w:br/>
        <w:t>Minister za gospodarstvo, finance in okrevanje</w:t>
      </w:r>
      <w:r>
        <w:rPr>
          <w:rFonts w:ascii="Times New Roman" w:hAnsi="Times New Roman"/>
          <w:sz w:val="24"/>
        </w:rPr>
        <w:br/>
        <w:t>Bruno Le Maire</w:t>
      </w:r>
    </w:p>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506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1384</Words>
  <Characters>7892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2021-08-30T09:21:00Z</dcterms:modified>
</cp:coreProperties>
</file>