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873667" w:rsidRPr="00404725" w14:paraId="0C3E33F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BB20" w14:textId="6C1331AA" w:rsidR="00873667" w:rsidRDefault="00873667">
            <w:pPr>
              <w:pStyle w:val="Textbody"/>
              <w:spacing w:after="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PŘEDBĚŽNÝ NÁVRH NAŘÍZENÍ, KTERÝM SE MĚNÍ NAŘÍZENÍ ZE DNE 1. BŘEZNA 2007 O OCHRANĚ ŽIVOTNÍHO PROSTŘEDÍ PŘED MOŽNÝMI ŠKODLIVÝMI VLIVY A OBTĚŽOVÁNÍM ZPŮSOBENÝMI NEIONIZUJÍCÍM ZÁŘENÍM, NAŘÍZENÍ ZE DNE 5. ČERVNA 1997 O ENVIRONMENTÁLNÍCH POVOLENÍCH A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NAŘÍZENÍ ZE DNE 2. KVĚTNA 2013 O BRUSELSKÉM ZÁKONÍKU O OVZDUŠÍ, KLIMATU A HOSPODAŘENÍ S ENERGIÍ</w:t>
            </w:r>
          </w:p>
          <w:p w14:paraId="38F78F38" w14:textId="77777777" w:rsidR="00873667" w:rsidRPr="00D6585D" w:rsidRDefault="00873667">
            <w:pPr>
              <w:pStyle w:val="Textbody"/>
              <w:spacing w:after="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73667" w14:paraId="34B1D417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04F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Vláda regionu Brusel-hlavní město,</w:t>
            </w:r>
          </w:p>
          <w:p w14:paraId="6A372BBA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195810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 ohledem na hodnotící zprávu, nazvanou „zkouška rovných příležitostí“, vyžadovanou podle čl. 2 § 1 nařízení ze dne 4. října 2018 o zavedení zkoušky rovných příležitostí do politických koncepcí regionu Brusel-hlavní město a podle článku 1 nařízení vlády regionu Brusel-hlavní město ze dne 22. listopadu 2018, kterým se toto nařízení provádí; </w:t>
            </w:r>
          </w:p>
          <w:p w14:paraId="3F837FB9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32C7AD0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směrnici Evropského parlamentu a Rady (EU) 2018/1972 ze dne 11. prosince 2018, kterou se stanoví evropský kodex pro elektronické komunikace, čl. 57 odst. 5;</w:t>
            </w:r>
          </w:p>
          <w:p w14:paraId="3146CB8D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03FBB56C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A6B918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nařízení ze dne 1. března 2007 o ochraně životního prostředí před možnými škodlivými účinky a obtěžováním způsobenými neionizujícím zářením, ve znění nařízení ze dne 3. dubna 2014, 8. května 2014 a 27. června 2016;</w:t>
            </w:r>
          </w:p>
          <w:p w14:paraId="3BB9CE37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228F15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 ohledem na stanovisko rady Brupartners vydané dne 18. listopadu 2021; </w:t>
            </w:r>
          </w:p>
          <w:p w14:paraId="57BF7CE2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6826C19E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31DEAA3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stanovisko Rady pro životní prostředí vydané dne 25. listopadu 2021;</w:t>
            </w:r>
          </w:p>
          <w:p w14:paraId="46357F7C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0D68A10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 ohledem na stanovisko Výboru odborníků pro neionizující záření vydané dne 4. února 2022; </w:t>
            </w:r>
          </w:p>
          <w:p w14:paraId="01F62904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5B903D04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doporučení poradního výboru pověřeného vydáváním doporučení ohledně zavádění sítí 5G v regionu Brusel-hlavní město s ohledem na životní prostředí, zdraví, hospodářství, zaměstnanost a technologické aspekty ze dne 5. června 2021;</w:t>
            </w:r>
          </w:p>
          <w:p w14:paraId="4781B5FF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562FC59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 ohledem na posouzení vlivů na životní prostředí provedené v souladu s ustanoveními nařízení ze dne 18. března 2004 o posuzování vlivů některých plánů a programů na životní prostředí; </w:t>
            </w:r>
          </w:p>
          <w:p w14:paraId="01BAFB8F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7D51530B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zákony o Státní radě, koordinované dne 12. ledna 1973, čl. 3 § 1 a 2;</w:t>
            </w:r>
          </w:p>
          <w:p w14:paraId="33EBD2BF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7900BC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 ohledem na stanovisko Státní rady č. [*] vydané dne [*];</w:t>
            </w:r>
          </w:p>
          <w:p w14:paraId="2C516520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49A1412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vzhledem k tomu, že stanovisko Výboru pro ochranu soukromí se nevyžaduje, neboť nařízení Evropského parlamentu a Rady (EU) 2016/679 ze dne 27. dubna 2016 o ochraně fyzických osob v souvislosti se zpracováním osobních údajů a o volném pohybu těchto údajů se vztahuje pouze na osobní údaje fyzických osob a nevztahuje se na údaje právnických osob; vzhledem k tomu, že se tento předpis týká pouze právnických osob (provozovatelů), aniž by to mělo dopad na osobní údaje fyzických osob; </w:t>
            </w:r>
          </w:p>
          <w:p w14:paraId="4A4E89A1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4202D25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na návrh předsedy vlády a ministra životního prostředí,</w:t>
            </w:r>
          </w:p>
          <w:p w14:paraId="014CEA58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7EC6DA0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po projednání,</w:t>
            </w:r>
          </w:p>
          <w:p w14:paraId="2DA82BB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nl-NL"/>
              </w:rPr>
            </w:pPr>
          </w:p>
          <w:p w14:paraId="27A3098B" w14:textId="77777777" w:rsidR="00873667" w:rsidRDefault="00873667">
            <w:pPr>
              <w:spacing w:after="0" w:line="240" w:lineRule="auto"/>
              <w:jc w:val="both"/>
              <w:rPr>
                <w:rFonts w:asciiTheme="minorHAnsi" w:eastAsiaTheme="minorHAnsi" w:hAnsiTheme="minorHAnsi" w:cs="TimesNewRoman"/>
                <w:kern w:val="0"/>
                <w:sz w:val="18"/>
                <w:szCs w:val="18"/>
                <w:lang w:val="nl-NL"/>
              </w:rPr>
            </w:pPr>
          </w:p>
        </w:tc>
      </w:tr>
      <w:tr w:rsidR="00873667" w14:paraId="1C5587B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51D8" w14:textId="77777777" w:rsidR="00873667" w:rsidRDefault="008736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tímto nařizuje</w:t>
            </w:r>
          </w:p>
          <w:p w14:paraId="30AA9CFE" w14:textId="77777777" w:rsidR="00873667" w:rsidRDefault="00873667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  <w:lang w:val="nl-NL"/>
              </w:rPr>
            </w:pPr>
          </w:p>
        </w:tc>
      </w:tr>
      <w:tr w:rsidR="00873667" w:rsidRPr="00404725" w14:paraId="5DCAAB3C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C10A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Ministr životního prostředí je odpovědný za předložení tohoto návrhu nařízení Parlamentu: </w:t>
            </w:r>
          </w:p>
          <w:p w14:paraId="20AE67A3" w14:textId="77777777" w:rsidR="00873667" w:rsidRPr="00D6585D" w:rsidRDefault="0087366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73667" w14:paraId="0AD90BD2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008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Kapitola 1. Úvodní ustanovení</w:t>
            </w:r>
          </w:p>
        </w:tc>
      </w:tr>
      <w:tr w:rsidR="00873667" w:rsidRPr="00404725" w14:paraId="4EDF49A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236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Článek 1.</w:t>
            </w:r>
          </w:p>
          <w:p w14:paraId="7E06BF8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Tímto nařízením se upravuje záležitost uvedená v článku 39 Ústavy. </w:t>
            </w:r>
          </w:p>
          <w:p w14:paraId="63EF4B7A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E2F7D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Tímto nařízením se částečně provádí</w:t>
            </w:r>
            <w:r>
              <w:t xml:space="preserve"> </w:t>
            </w:r>
            <w:r>
              <w:rPr>
                <w:rFonts w:asciiTheme="minorHAnsi" w:hAnsiTheme="minorHAnsi"/>
                <w:sz w:val="20"/>
              </w:rPr>
              <w:t>směrnice Evropského parlamentu a Rady (EU) 2018/1972 ze dne 11. prosince 2018, kterou se stanoví evropský kodex pro elektronické komunikace.</w:t>
            </w:r>
          </w:p>
          <w:p w14:paraId="2EF3826D" w14:textId="77777777" w:rsidR="00873667" w:rsidRPr="00D6585D" w:rsidRDefault="0087366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73667" w:rsidRPr="00404725" w14:paraId="6A06A42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F63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Kapitola 2. Změny nařízení ze dne 1. března 2007 o ochraně životního prostředí před možnými škodlivými účinky a obtěžováním způsobenými neionizujícím zářením</w:t>
            </w:r>
          </w:p>
        </w:tc>
      </w:tr>
      <w:tr w:rsidR="00873667" w:rsidRPr="00404725" w14:paraId="29C7DA7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4D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2.</w:t>
            </w:r>
          </w:p>
          <w:p w14:paraId="53C0BEA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Článek 2 nařízení ze dne 1. března 2007 o ochraně životního prostředí před možnými škodlivými účinky a obtěžováním způsobenými neionizujícím zářením, ve znění nařízení ze dne 3. dubna 2014 a které bylo částečně zrušeno rozhodnutím Ústavního soudu č. 12/2016, se mění takto:</w:t>
            </w:r>
          </w:p>
          <w:p w14:paraId="2460015D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2112B2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§ 1 se bod 2 nahrazuje tímto: </w:t>
            </w:r>
          </w:p>
          <w:p w14:paraId="19D6FC33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„2. „oblasti přístupné veřejnosti ve vnitřních prostorech“: prostory v budově, kde se lidé mohou nebo mají možnost pravidelně zdržovat, zejména obytné prostory, hotely, školy, zařízení denní péče, nemocnice, domovy pro seniory a budovy využívané k pravidelnému provozování sportu nebo her;</w:t>
            </w:r>
          </w:p>
          <w:p w14:paraId="6795F99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2a. „oblasti přístupné veřejnosti ve venkovních prostorech“: venkovní nebo související místa přístupná veřejnosti, zejména zahrady, vnitrobloky, parky, dětská hřiště a balkony, kryté a nekryté terasy budov, garážové prostory, přístřešky, zimní zahrady, skleníky a jiné podobné verandy;“;</w:t>
            </w:r>
          </w:p>
          <w:p w14:paraId="7F94A6C9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4CF6F2D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 1 bodě 4 písm. c) se interpunkční znaménko „.“ nahrazuje interpunkčním znaménkem „;“;</w:t>
            </w:r>
          </w:p>
          <w:p w14:paraId="24E8B218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E0504A9" w14:textId="62473454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ustanovení § 1 se doplňují nové body 5, 6, 7, 8, 9 a 10, které znějí: </w:t>
            </w:r>
          </w:p>
          <w:p w14:paraId="719074E0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„5. „anténa“: systém pro vysílání určený k přenosu radiotelekomunikačního signálu pomocí elektromagnetických vln;</w:t>
            </w:r>
          </w:p>
          <w:p w14:paraId="4DE09907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6. „provozovatel“: jakákoli právnická osoba, která má právo vysílat, jakož i společnosti ve spojení nebo přidružené společnosti ve smyslu zákoníku o společnostech a obecně jakákoli osoba provozující anténu, s výjimkou provozovatele vysílání;</w:t>
            </w:r>
          </w:p>
          <w:p w14:paraId="3C5B91DC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7. „provozovatel vysílání“: provozovatel sítě uvedený v čl. 1.3-1 bodě 33 dekretu Francouzského společenství ze dne 4. února 2021 o audiovizuálních mediálních službách a službách sdílení videa nebo čl. 2 bodu 22 vlámského dekretu ze dne 27. března 2009 o rozhlasovém a televizním vysílání;</w:t>
            </w:r>
          </w:p>
          <w:p w14:paraId="1FF7897A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8. „nouzová situace“: jakákoli jednorázová událost, která způsobuje nebo může způsobit škodlivé důsledky pro společenský život, jako je závažné narušení veřejné bezpečnosti, vážné ohrožení života nebo zdraví osob nebo významných hmotných zájmů, a která vyžaduje koordinaci příslušných subjektů, včetně donucovacích, s cílem odstranit hrozbu nebo omezit nepříznivé důsledky události;</w:t>
            </w:r>
          </w:p>
          <w:p w14:paraId="7661DE04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9. „ OMC (Operation and Maintenance Centre)“: základní technický prvek sítě vytvořený k zajištění její správy a zahrnující zejména zohlednění konfigurací používaných v rámci sítě, měřidel a statistik;</w:t>
            </w:r>
          </w:p>
          <w:p w14:paraId="238F3159" w14:textId="77777777" w:rsidR="00873667" w:rsidRPr="00D6585D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764DA67" w14:textId="768F3E3C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10. „databáze Urbis-Adm 3D“: databáze obsahující informace zvláštní a jedinečné hodnoty pro region Brusel-hlavní město a poskytující zvláštní záruky, pokud jde o přesnost, úplnost a dostupnost informací, jak je uvedeno v příloze dohody o spolupráci ze dne 18. dubna 2014</w:t>
            </w:r>
            <w:r>
              <w:t xml:space="preserve"> </w:t>
            </w:r>
            <w:r>
              <w:rPr>
                <w:rFonts w:asciiTheme="minorHAnsi" w:hAnsiTheme="minorHAnsi"/>
                <w:sz w:val="20"/>
              </w:rPr>
              <w:t>mezi federálním státem, vlámským regionem, valonským regionem a regionem Brusel-hlavní město, pokud jde o strukturu koordinace informací o dědictví.“;</w:t>
            </w:r>
          </w:p>
          <w:p w14:paraId="031B8EAB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33CE32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ustanovení § 2 se pododstavec 2 nahrazuje tímto: </w:t>
            </w:r>
          </w:p>
          <w:p w14:paraId="61E32F60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Ustanovení tohoto nařízení se nepoužijí v nouzových situacích.“.</w:t>
            </w:r>
          </w:p>
          <w:p w14:paraId="639D6F68" w14:textId="77777777" w:rsidR="00873667" w:rsidRPr="00D6585D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:rsidRPr="00404725" w14:paraId="72ECC1B7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364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3.</w:t>
            </w:r>
          </w:p>
          <w:p w14:paraId="697447F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Článek 3 tohoto nařízení se mění takto:</w:t>
            </w:r>
          </w:p>
          <w:p w14:paraId="2CF8E143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E692B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 1 se zrušují pododstavce 2 až 4;</w:t>
            </w:r>
          </w:p>
          <w:p w14:paraId="42976C58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6243B18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vkládá se nový § 1a, který zní:</w:t>
            </w:r>
          </w:p>
          <w:p w14:paraId="76FBDA5D" w14:textId="41EEB1F8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„§ 1a. Aniž jsou dotčeny § 1c a 4, nesmí hustota výkonu neionizujícího záření ve všech oblastech přístupných veřejnosti ve vnitřních i venkovních prostorách v žádném okamžiku překročit následující hodnoty, pro oblasti přístupné veřejnosti ve vnitřních prostorech (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int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000000"/>
                  <w:kern w:val="0"/>
                  <w:sz w:val="20"/>
                  <w:szCs w:val="20"/>
                </w:rPr>
                <m:t>)</m:t>
              </m:r>
            </m:oMath>
            <w:r>
              <w:rPr>
                <w:rFonts w:asciiTheme="minorHAnsi" w:hAnsiTheme="minorHAnsi"/>
                <w:sz w:val="20"/>
              </w:rPr>
              <w:t>a pro oblasti přístupné veřejnosti ve vnějších prostorech (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)</m:t>
              </m:r>
            </m:oMath>
            <w:r>
              <w:rPr>
                <w:rFonts w:asciiTheme="minorHAnsi" w:hAnsiTheme="minorHAnsi"/>
                <w:sz w:val="20"/>
              </w:rPr>
              <w:t xml:space="preserve">: </w:t>
            </w:r>
          </w:p>
          <w:p w14:paraId="7D2E4564" w14:textId="73290669" w:rsidR="00D6585D" w:rsidRDefault="00D6585D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07E7D85E" w14:textId="6464491D" w:rsidR="00D6585D" w:rsidRDefault="00D6585D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7655DBDC" w14:textId="77777777" w:rsidR="00D6585D" w:rsidRDefault="00D6585D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75ECE59E" w14:textId="1C31E546" w:rsidR="00C4092C" w:rsidRDefault="00C4092C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4135601B" w14:textId="77777777" w:rsidR="00C4092C" w:rsidRDefault="00C4092C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"/>
              <w:tblW w:w="4245" w:type="dxa"/>
              <w:tblInd w:w="342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23"/>
              <w:gridCol w:w="1469"/>
            </w:tblGrid>
            <w:tr w:rsidR="00873667" w14:paraId="5D540DF3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F5090A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 xml:space="preserve">Kmitočty 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6883CB" w14:textId="77777777" w:rsidR="00873667" w:rsidRDefault="00000000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b/>
                              <w:bCs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ext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19507AB" w14:textId="77777777" w:rsidR="00873667" w:rsidRDefault="00000000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b/>
                              <w:bCs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int</m:t>
                          </m:r>
                        </m:sub>
                      </m:sSub>
                    </m:oMath>
                  </m:oMathPara>
                </w:p>
              </w:tc>
            </w:tr>
            <w:tr w:rsidR="00873667" w:rsidRPr="00404725" w14:paraId="651329AF" w14:textId="77777777">
              <w:trPr>
                <w:trHeight w:val="324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A81384" w14:textId="77777777" w:rsidR="00873667" w:rsidRDefault="00873667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nl-NL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01B2E7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(W/m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  <w:vertAlign w:val="superscript"/>
                    </w:rPr>
                    <w:t>2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391CCF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(W/m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  <w:vertAlign w:val="superscript"/>
                    </w:rPr>
                    <w:t>2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)</w:t>
                  </w:r>
                </w:p>
              </w:tc>
            </w:tr>
            <w:tr w:rsidR="00873667" w:rsidRPr="00404725" w14:paraId="3B896DC8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32FB69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0,1 až 400 MHz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E3C701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0,2497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5665BB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0,0994</w:t>
                  </w:r>
                </w:p>
              </w:tc>
            </w:tr>
            <w:tr w:rsidR="00873667" w:rsidRPr="00404725" w14:paraId="093A4907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456A00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400 až 2000 MHz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003B65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eastAsia="Times New Roman" w:hAnsi="Cambria Math" w:cstheme="minorHAnsi"/>
                        <w:color w:val="000000"/>
                        <w:kern w:val="0"/>
                        <w:sz w:val="20"/>
                        <w:szCs w:val="20"/>
                        <w:lang w:val="nl-NL"/>
                      </w:rPr>
                      <m:t>f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kern w:val="0"/>
                        <w:sz w:val="20"/>
                        <w:szCs w:val="20"/>
                        <w:lang w:val="nl-NL"/>
                      </w:rPr>
                      <m:t xml:space="preserve"> </m:t>
                    </m:r>
                  </m:oMath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/1597,28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F370C7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f / 4012,19</w:t>
                  </w:r>
                </w:p>
              </w:tc>
            </w:tr>
            <w:tr w:rsidR="00873667" w:rsidRPr="00404725" w14:paraId="4F14AD5C" w14:textId="77777777">
              <w:trPr>
                <w:trHeight w:val="324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105701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2 až 300 GHz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E68373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1,2539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B4DB48F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0,4992</w:t>
                  </w:r>
                </w:p>
              </w:tc>
            </w:tr>
          </w:tbl>
          <w:p w14:paraId="674B9356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kde </w:t>
            </w:r>
            <m:oMath>
              <m:r>
                <w:rPr>
                  <w:rFonts w:ascii="Cambria Math" w:hAnsi="Cambria Math"/>
                  <w:sz w:val="20"/>
                  <w:szCs w:val="20"/>
                  <w:lang w:val="nl-NL"/>
                </w:rPr>
                <m:t>f</m:t>
              </m:r>
              <m:r>
                <w:rPr>
                  <w:rFonts w:ascii="Cambria Math" w:hAnsi="Cambria Math"/>
                  <w:sz w:val="20"/>
                  <w:szCs w:val="20"/>
                  <w:lang w:val="nl-NL"/>
                </w:rPr>
                <m:t xml:space="preserve"> </m:t>
              </m:r>
            </m:oMath>
            <w:r>
              <w:rPr>
                <w:rFonts w:asciiTheme="minorHAnsi" w:hAnsiTheme="minorHAnsi"/>
                <w:sz w:val="20"/>
              </w:rPr>
              <w:t>je kmitočet vyjádřený v MHz.</w:t>
            </w:r>
          </w:p>
          <w:p w14:paraId="2801D7D3" w14:textId="77777777" w:rsidR="00AC2FE0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Orientačně, při 900 MHz, norma </w:t>
            </w:r>
          </w:p>
          <w:p w14:paraId="5960402E" w14:textId="451DEC5F" w:rsidR="00873667" w:rsidRDefault="00000000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int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0,2243 W/m² odpovídá elektrickému poli,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int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9,19 V/m; zatímco norma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>= 0,5635 W/m² odpovídá elektrickému poli,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14,57 V/m.</w:t>
            </w:r>
          </w:p>
          <w:p w14:paraId="5C8AFACD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Odchylně od předchozího pododstavce se hustoty výkonu neionizujícího záření použitelné v oblastech přístupných veřejnosti ve venkovních prostorách použijí rovněž na oblasti přístupné veřejnosti ve vnitřních prostorech, pokud jsou v těchto oblastech otevřena okna nebo dveře, které se otevírají do venkovního prostředí.“;</w:t>
            </w:r>
          </w:p>
          <w:p w14:paraId="5AC47F5C" w14:textId="77777777" w:rsidR="00873667" w:rsidRPr="00D6585D" w:rsidRDefault="00873667">
            <w:pPr>
              <w:widowControl/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F56D40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vkládá se nový § 1b, který zní:</w:t>
            </w:r>
          </w:p>
          <w:p w14:paraId="0111B238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 1b. V případě kompozitních elektromagnetických polí platí pro elektromagnetická pole v oblastech přístupných veřejnosti ve vnitřních a venkovních prostorech tato omezení:</w:t>
            </w:r>
          </w:p>
          <w:p w14:paraId="1EEECA5D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 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iCs/>
                        <w:lang w:val="nl-NL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nl-NL"/>
                      </w:rPr>
                      <m:t>100 KHz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nl-NL"/>
                      </w:rPr>
                      <m:t>300 GHz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val="nl-N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nl-NL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lang w:val="nl-N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lang w:val="nl-N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 r i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/>
                    <w:sz w:val="20"/>
                    <w:szCs w:val="20"/>
                    <w:lang w:val="nl-NL"/>
                  </w:rPr>
                  <m:t>≤1</m:t>
                </m:r>
              </m:oMath>
            </m:oMathPara>
          </w:p>
          <w:p w14:paraId="49D61838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kdy:</w:t>
            </w:r>
          </w:p>
          <w:p w14:paraId="356BF7CB" w14:textId="77777777" w:rsidR="00873667" w:rsidRDefault="00000000" w:rsidP="002429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nl-NL"/>
                    </w:rPr>
                    <m:t>i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je hustota výkonu při kmitočtu i;</w:t>
            </w:r>
          </w:p>
          <w:p w14:paraId="0A0E0802" w14:textId="77777777" w:rsidR="00873667" w:rsidRDefault="00000000" w:rsidP="002429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ri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je mezní hodnota hustoty výkonu při kmitočtu i, jak je definována v tabulce uvedené v § 1a tohoto článku. </w:t>
            </w:r>
          </w:p>
          <w:p w14:paraId="5755DF5C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Hustota výkonu záření se počítá a/nebo měří v souladu s postupy stanovenými vládou, zejména na základě stanovisek a doporučení příslušných mezinárodních orgánů.“;</w:t>
            </w:r>
          </w:p>
          <w:p w14:paraId="1466B3D3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30D729B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5F26CB0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040879B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vkládá se nový § 1c, který zní: </w:t>
            </w:r>
          </w:p>
          <w:p w14:paraId="769F4642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 1c.  Antény generující neionizující záření v kmitočtovém rozsahu 20 GHz až 300 GHz jsou zakázány. Vláda je oprávněna povolit tyto antény v souladu s oprávněními vydanými jinými úrovněmi správy.</w:t>
            </w:r>
          </w:p>
          <w:p w14:paraId="5757430B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Na antény typu mikrovlnného spoje se zákaz uvedený v předchozím pododstavci nevztahuje.“;</w:t>
            </w:r>
          </w:p>
          <w:p w14:paraId="49B3DA95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3D55AF3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 2 pododstavci 1 se slovo „devět“ nahrazuje slovem „sedm až třináct“;</w:t>
            </w:r>
          </w:p>
          <w:p w14:paraId="7B0EE76D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5D147E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§ 2 pododstavci 3 se slova „hospodářské požadavky a požadavky veřejného zdraví“ nahrazují slovy „hospodářské požadavky, požadavky veřejného zdraví a požadavky na ochranu životního prostředí“; </w:t>
            </w:r>
          </w:p>
          <w:p w14:paraId="48C0DE02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A11D230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 2 pododstavci 3 se věta „Zpráva se zveřejňuje na internetových stránkách bruselského institutu pro systém environmentálního řízení do tří měsíců od jejího obdržení vládou.“ nahrazuje větou „Vláda každoročně předkládá zprávu Parlamentu a organizace Bruxelles Environnement ji zveřejňuje na svých internetových stránkách do tří měsíců od jejího přijetí vládou.“;</w:t>
            </w:r>
          </w:p>
          <w:p w14:paraId="08B93EA7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A53D85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 2 pododstavci 3 se zrušuje věta „První zpráva se předloží vládě nejpozději do 1. září 2014.“;</w:t>
            </w:r>
          </w:p>
          <w:p w14:paraId="6F3601A3" w14:textId="77777777" w:rsidR="00873667" w:rsidRDefault="00873667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05E9C0C1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 2 pododstavci 4 se slova „provozovatelé zařízení, která mohou vysílat nebo přenášet neionizující záření“ a „organizace Bruxelles Environnement“ nahrazují slovy „provozovatelé a provozovatelé vysílání“ a „organizace Bruxelles Environnement a Bruxelles Urbanisme et Patrimoine“;</w:t>
            </w:r>
          </w:p>
          <w:p w14:paraId="73946D5F" w14:textId="77777777" w:rsidR="00873667" w:rsidRDefault="00873667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2034DDBC" w14:textId="77777777" w:rsidR="00873667" w:rsidRDefault="00873667" w:rsidP="00C4092C">
            <w:pPr>
              <w:pStyle w:val="ListParagraph"/>
              <w:keepNext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§ 2 se doplňuje nový pododstavec, který zní:</w:t>
            </w:r>
          </w:p>
          <w:p w14:paraId="272B3177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Výbor zaujímá stanovisko ke všem návrhům změn tohoto nařízení a k přijetí nebo změně jeho prováděcích opatření. </w:t>
            </w:r>
          </w:p>
          <w:p w14:paraId="3F15769A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Výbor může spolupracovat s jakýmkoli vědeckým odborníkem nebo odbornou skupinou zřízenou na mezinárodní, federální, regionální nebo místní úrovni.“;</w:t>
            </w:r>
          </w:p>
          <w:p w14:paraId="3573B9A7" w14:textId="77777777" w:rsidR="00873667" w:rsidRPr="00D6585D" w:rsidRDefault="00873667">
            <w:pPr>
              <w:widowControl/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3A60EFD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vkládá se nový § 3, který zní: </w:t>
            </w:r>
          </w:p>
          <w:p w14:paraId="0499D927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 3. Vláda uzavře s provozovateli kodex chování, jehož cílem je zejména zajistit občanům co největší transparentnost, pokud jde o rozvoj mobilních telefonních sítí, zavést jeden nebo více pokynů pro provozovatele na technické úrovni, na úrovni životního prostředí a veřejného zdraví a/nebo stanovit cíle pro provozovatele týkající se nakládání s odpady souvisejícími s rozvojem mobilních telefonních sítí.</w:t>
            </w:r>
          </w:p>
          <w:p w14:paraId="1D2C6D7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Provozovatelé mohou společně uzavřít, změnit nebo obnovit dohodu o životním prostředí s regionem v souladu s ustanoveními nařízení ze dne 29. dubna 2004 o dohodách o životním prostředí.“;</w:t>
            </w:r>
          </w:p>
          <w:p w14:paraId="4C6FF580" w14:textId="77777777" w:rsidR="00873667" w:rsidRPr="00D6585D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E29FAB9" w14:textId="77777777" w:rsidR="00873667" w:rsidRDefault="00873667" w:rsidP="002429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vkládá se nový § 4, který zní:</w:t>
            </w:r>
          </w:p>
          <w:p w14:paraId="2B84997F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„§ 4. Pokud jsou překročeny normy uvedené v § 1a, použije se tento paragraf. </w:t>
            </w:r>
          </w:p>
          <w:p w14:paraId="19017495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Provozovatelé, jejichž antény přispívají k překročení norem uvedených v § 1a, omezí elektrické pole vyzařované jejich anténami tak, aby byly dodrženy normy uvedené v § 1a, případně po vzájemné konzultaci a konzultaci s provozovateli vysílání.</w:t>
            </w:r>
          </w:p>
          <w:p w14:paraId="67E22AA1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Provozovatelé vysílání, jejichž antény přispívají k překročení norem uvedených v §1a, poskytnou provozovatelům a organizaci Bruxelles Environnement veškeré technické informace týkající se neionizujícího záření z dotčených antén, pokud se liší od informací poskytnutých podle článku 4. </w:t>
            </w:r>
          </w:p>
          <w:p w14:paraId="6A8A4CA9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Vláda může stanovit podmínky této konzultace a způsob, který mají provozovatelé použít s cílem případně snížit jejich podíl na hustotě výkonu spojené s překročením norem uvedených v § 1a. Vláda stanoví podmínky v případě dohody mezi provozovateli a v případě, že dohoda neexistuje, povinnosti, které jim mohou být uloženy. </w:t>
            </w:r>
          </w:p>
          <w:p w14:paraId="56ABD7FE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Odchylně od § 1a, pokud povinnosti uložené provozovatelům podle předchozího pododstavce nebo jakákoli jiná opatření zavedená provozovateli nebo provozovateli vysílání neumožňují dostatečně snížit hustotu výkonu dotčených antén tak, aby bylo zajištěno dodržování norem uvedených v § 1a, jsou pouze provozovatelé zapojení do překročení povinni dodržovat, společně a s přihlédnutím k informacím poskytnutým podle pododstavce 3 a článku 4, 42,6 % a 17 % norem uvedených v § 1a v uvedeném pořadí v oblastech přístupných veřejnosti ve vnitřních prostorech a v oblastech přístupných veřejnosti ve venkovních prostorech. </w:t>
            </w:r>
          </w:p>
          <w:p w14:paraId="198A1AFF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Režim výjimek uvedený v předchozím pododstavci nesmí v oblastech přístupných veřejnosti ve vnitřních prostorách a v oblastech přístupných veřejnosti ve venkovních prostorech v žádném okamžiku vést k hodnotám hustoty výkonu neionizujícího záření vyšším, než jsou ty, které jsou uvedeny v doporučení Rady 1999/519/ES ze dne 12. července 1999 o omezení expozice osob elektromagnetickým polím (od 0 Hz do 300 GHz) a jeho budoucímu vývoji, a může se týkat pouze 0,0065 % povrchu půdy a obvodových plášťů budov v databázi Urbis-Adm 3D. Vláda je oprávněna stanovit nižší limity. Organizace Bruxelles Environnement vede seznam pro vládu a výbor, v němž jsou uvedeny případy žádosti podle pododstavce 5.“.</w:t>
            </w:r>
          </w:p>
          <w:p w14:paraId="623A5571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:rsidRPr="00404725" w14:paraId="7F775EB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785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Článek 4.</w:t>
            </w:r>
          </w:p>
          <w:p w14:paraId="7BA6CE1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1. V témže nařízení se za článek 3 vkládá nový nadpis, který zní: „ Obecná povinnost provozovatelů“.</w:t>
            </w:r>
          </w:p>
          <w:p w14:paraId="493E4D9C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634251F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811318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2. V témže nařízení se pod nadpis vložený § 1 vkládá nový článek 3a, který zní:</w:t>
            </w:r>
          </w:p>
          <w:p w14:paraId="77C64AD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Článek 3a. Aniž je dotčen článek 3, musí být každý provozovatel a provozovatel vysílání provozující anténu na území regionu Brusel-hlavní město kdykoli schopen doložit dodržování imisní normy uvedené v článku 3 a neprodleně přijmout veškerá nezbytná opatření, pokud se jakýmkoli způsobem dozví, že imisní norma uvedená v článku 3 není dodržena.“.</w:t>
            </w:r>
          </w:p>
          <w:p w14:paraId="0D332DF9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14:paraId="32D11D4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0B6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5.</w:t>
            </w:r>
          </w:p>
          <w:p w14:paraId="6213E50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1. Nadpis „Informační povinnosti provozovatelů“ mezi články 3a a 4 téhož nařízení se nahrazuje nadpisem „Informační povinnost provozovatelů a provozovatelů vysílání“.</w:t>
            </w:r>
          </w:p>
          <w:p w14:paraId="304708E1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02C5B7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2. Článek 4 téhož nařízení se nahrazuje tímto: </w:t>
            </w:r>
          </w:p>
          <w:p w14:paraId="30BD686D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Článek 4. § 1.  Provozovatelé a provozovatelé vysílání jsou povinni informovat o všech anténách, které vyzařují neionizující záření, jejichž seznam stanoví vláda, pokud jde o provozní vlastnosti této antény, organizace Bruxelles Environnement a, Bruxelles Urbanisme et Patrimoine a obec, na jejímž území se nacházejí. Mezi výše uvedené vlastnosti patří zejména přesné umístění a poloha instalace, vyzařovací diagram, typ antény, vysílací kmitočty, úhel sklonu antény, výška a rozměry antény a vyzářený výkon záření. Vláda může stanovit seznam těchto vlastností, rozlišit je podle adresátů nebo přidat další vlastnosti. Organizace Bruxelles Environnement a Bruxelles Urbanisme et </w:t>
            </w:r>
            <w:r>
              <w:rPr>
                <w:rFonts w:asciiTheme="minorHAnsi" w:hAnsiTheme="minorHAnsi"/>
                <w:sz w:val="20"/>
              </w:rPr>
              <w:lastRenderedPageBreak/>
              <w:t xml:space="preserve">Patrimoine a obce mohou stanovit povinnost používat pro zasílání uvedených informací formuláře. </w:t>
            </w:r>
          </w:p>
          <w:p w14:paraId="6D5BFE0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Pokud se anténa nachází méně než 200 metrů od hranice obce, vztahuje se tato povinnost i na příslušnou sousední obec. </w:t>
            </w:r>
          </w:p>
          <w:p w14:paraId="7D2D49FA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2. Provozovatelé a provozovatelé vysílání musí na první žádost předat organizaci Bruxelles Environnement veškeré požadované informace, včetně případného výpisu ze svých síťových konfiguračních databází z OMC (Operation and Maintenance Center). Tento výpis nebo jakékoli jiné informace se mohou týkat všech antén určených organizací Bruxelles Environnement a musí být poskytnuty elektronicky do 20 dnů od obdržení žádosti. Tyto informace musí obsahovat alespoň maximální výkon majáků na výstupu z technických prostor, počet nosných kmitočtů a elektrické náklony, pokud jsou tyto náklony nakonfigurovány vzdáleně z OMC (Operation and Maintenance Center). Organizace Bruxelles Environnement může specifikovat informace obsažené ve výpisu, který má být poskytnut, a jeho formát.</w:t>
            </w:r>
          </w:p>
          <w:p w14:paraId="4D7BEA5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3. Provozovatelé, jejichž seznam stanoví vláda, předávají každoročně organizaci Bruxelles Environnement zprávu o energetické účinnosti podle technologií a spotřebě energie antén a jejich sítí. Minimální obsah této zprávy stanoví vláda.“.</w:t>
            </w:r>
          </w:p>
          <w:p w14:paraId="25D9E2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73667" w:rsidRPr="00404725" w14:paraId="39830A3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51C2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Článek 6.</w:t>
            </w:r>
          </w:p>
          <w:p w14:paraId="3FB93EB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článku 5 tohoto nařízení se doplňuje nový pododstavec, který zní: </w:t>
            </w:r>
          </w:p>
          <w:p w14:paraId="40A7D802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Vláda může stanovit diferencované a specifické režimy pro určité typy antén podle jejich zvláštních vlastností.“. </w:t>
            </w:r>
          </w:p>
          <w:p w14:paraId="0216A34A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14:paraId="752366D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28D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7.</w:t>
            </w:r>
          </w:p>
          <w:p w14:paraId="59CA703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Článek 8 tohoto nařízení se mění takto:</w:t>
            </w:r>
          </w:p>
          <w:p w14:paraId="463F92C5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EE708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ustanovení § 1 se nahrazuje tímto: </w:t>
            </w:r>
          </w:p>
          <w:p w14:paraId="495FA02B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„§ 1. Vláda odpovídá za aktualizaci a zveřejnění rejstříku antén, jejichž seznam stanoví vláda. Tento rejstřík obsahuje technické údaje každé antény, zejména přesné umístění antény, její typ, rozměry, orientaci, vysílací výkon a další technické údaje pro stanovení hustoty výkonu ve oblastech přístupných veřejnosti. Vláda může specifikovat technické údaje a doplnit další vlastnosti. </w:t>
            </w:r>
          </w:p>
          <w:p w14:paraId="74906324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Tento rejstřík vysílačů se zveřejní na internetových stránkách organizace Bruxelles Environnement, aby každý občan mohl kdykoli podat stížnost u organizace Bruxelles Environnement v souvislosti s dodržováním imisní normy uvedené v článku 3 a/nebo dodržováním provozních podmínek dotčených antén. Aniž jsou dotčeny použitelné sankce a jiná opatření stanovená v tomto nařízení, pokud se organizace Bruxelles Environnement domnívá, že tato stížnost je opodstatněná, přijme opatření k zajištění souladu s ustanoveními tohoto nařízení.“;</w:t>
            </w:r>
          </w:p>
          <w:p w14:paraId="62384DE4" w14:textId="77777777" w:rsidR="00873667" w:rsidRPr="00D6585D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51120B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odstavci 2 se pododstavec 1 nahrazuje tímto: </w:t>
            </w:r>
          </w:p>
          <w:p w14:paraId="1D219E4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 2. Vláda zřídí rejstřík střech budov užívaných orgány veřejné moci, na kterých by mohly být umístěny antény. Tento rejstřík je pravidelně aktualizován.“.</w:t>
            </w:r>
          </w:p>
          <w:p w14:paraId="2DC18BF8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73667" w:rsidRPr="00404725" w14:paraId="3C371DE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ECF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8.</w:t>
            </w:r>
          </w:p>
          <w:p w14:paraId="588CB09A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1. V témže nařízení se za článek 8 vkládá nový nadpis, který zní: „ Obecná povinnost provozovatelů“.</w:t>
            </w:r>
          </w:p>
          <w:p w14:paraId="020B4B57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655FE8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2. V témže nařízení se pod nadpis vložený § 1 vkládá nový článek 8a, který zní:</w:t>
            </w:r>
          </w:p>
          <w:p w14:paraId="2C135F09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Článek 8a. Provozovatelé, jejichž seznam stanoví vláda, jsou povinni zavést a podporovat informační kampaně s cílem zvýšit povědomí o předcházení vzniku odpadů vyplývajících z jejich činnosti, zejména s ohledem na technologický vývoj a obnovu připojených zařízení. </w:t>
            </w:r>
          </w:p>
          <w:p w14:paraId="7E31B7B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Tyto informační kampaně informují veřejnost zejména o používání zařízení způsobem šetrným k životnímu prostředí, prospěchu z opětovného použití a přípravy k opětovnému použití připojených zařízení a v konečném důsledku o systémech sběru a nakládání s odpady. </w:t>
            </w:r>
          </w:p>
          <w:p w14:paraId="54630306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Vláda může stanovit obsah, četnost a podmínky informačních kampaní, které mají být provedeny, jakož i jejich cílové skupiny podle požadovaných cílů.“;</w:t>
            </w:r>
          </w:p>
          <w:p w14:paraId="7577DD4F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27221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3. V témže nařízení se pod nadpis vložený § 1 vkládá článek 8b, který zní: </w:t>
            </w:r>
          </w:p>
          <w:p w14:paraId="3F80CFC4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Článek 8b. Provozovatelé, jejichž seznam stanoví vláda, jsou povinni sestavovat statistiky o zařízeních, která uvádějí na trh a která jsou sbírána jako odpad nebo jsou předmětem opětovného použití, ve smyslu ustanovení nařízení ze dne 14. června 2012 o odpadech.“; </w:t>
            </w:r>
          </w:p>
          <w:p w14:paraId="4BAF6779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3215B8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4. V témže nařízení se pod nadpisem vloženým § 1 vkládá nový článek 8c, který zní: </w:t>
            </w:r>
          </w:p>
          <w:p w14:paraId="51C2452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Článek 8c. Nejpozději do 1. dubna každého roku předloží provozovatelé organizaci Bruxelles Environnement výroční zprávu za předchozí rok (období od 1. ledna do 31. prosince), v níž podrobně uvedou zejména provedené činnosti, </w:t>
            </w:r>
            <w:r>
              <w:rPr>
                <w:rFonts w:asciiTheme="minorHAnsi" w:hAnsiTheme="minorHAnsi"/>
                <w:sz w:val="20"/>
              </w:rPr>
              <w:lastRenderedPageBreak/>
              <w:t>částkách a vynaložené částky a zjištěné dopady v souvislosti s opatřeními provedenými podle článku 8a, jakož i zprávu o statistických údajích uvedených v článku 8b.</w:t>
            </w:r>
          </w:p>
          <w:p w14:paraId="24E4D373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Vláda může upřesnit obsah výroční zprávy uvedené v předchozím pododstavci a stanovit další informace, které mají být součástí této zprávy.“. </w:t>
            </w:r>
          </w:p>
          <w:p w14:paraId="79909F2B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471265F9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BBF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Článek 9.</w:t>
            </w:r>
          </w:p>
          <w:p w14:paraId="17721AD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 1. Nadpis „Delikty a trestní sankce“ mezi články 8 a 9 téhož nařízení se nahrazuje nadpisem „Delikty“. </w:t>
            </w:r>
          </w:p>
          <w:p w14:paraId="0F7DA792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92353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2. Článek 9 téhož nařízení se nahrazuje tímto: </w:t>
            </w:r>
          </w:p>
          <w:p w14:paraId="1E11AE58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Sankcí stanovenou v čl. 31 § 1 zákoníku ze dne 25. března 1999 o vyšetřování, prevenci, odhalování a trestání deliktů v oblasti životního prostředí a odpovědnosti za životní prostředí, se trestá každá osoba, která:</w:t>
            </w:r>
          </w:p>
          <w:p w14:paraId="275A347F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nedodržuje normy uvedené v článku 3 nebo jeho prováděcích opatřeních;</w:t>
            </w:r>
          </w:p>
          <w:p w14:paraId="4A9CAD66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neplní informační povinnosti uvedené v článku 4 nebo jeho prováděcích opatřeních;</w:t>
            </w:r>
          </w:p>
          <w:p w14:paraId="77B503E8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nedodržuje provozní normy uvedené v článku 5 nebo jeho prováděcích opatřeních;</w:t>
            </w:r>
          </w:p>
          <w:p w14:paraId="7663E406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neplní povinnosti týkající se komunikace a podávání zpráv uvedené v článcích 8a, 8b a 8c nebo jejich prováděcích opatřeních; </w:t>
            </w:r>
          </w:p>
          <w:p w14:paraId="712FA70C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nesplňuje obecné normy nebo podmínky uvedené v článku 7 nebo jeho prováděcích opatřeních.“.</w:t>
            </w:r>
          </w:p>
          <w:p w14:paraId="4C2874B7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2D02939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E4F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3. Změna nařízení ze dne 5. června 1997 o environmentálních povoleních</w:t>
            </w:r>
          </w:p>
        </w:tc>
      </w:tr>
      <w:tr w:rsidR="00873667" w:rsidRPr="00404725" w14:paraId="26B5069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337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10.</w:t>
            </w:r>
          </w:p>
          <w:p w14:paraId="31F34E3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čl. 100 § 1 nařízení ze dne 5. června 1997 o environmentálních povoleních se doplňuje nový pododstavec, který zní: </w:t>
            </w:r>
          </w:p>
          <w:p w14:paraId="5E0D7258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 Odchylně od pododstavce 1 se za prohlášení třídy III nebo IC neplatí žádný poplatek za podání.“.</w:t>
            </w:r>
          </w:p>
          <w:p w14:paraId="44E8814B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42769B24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C1B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4. Změna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nařízení ze dne 2. května 2013 o bruselském zákoníku o ovzduší, klimatu a hospodaření s energií</w:t>
            </w:r>
          </w:p>
        </w:tc>
      </w:tr>
      <w:tr w:rsidR="00873667" w:rsidRPr="00404725" w14:paraId="7CDD59C4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21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Článek 11. </w:t>
            </w:r>
          </w:p>
          <w:p w14:paraId="0B343AC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1. V knize 2 hlavě 5 nařízení ze dne 2. května 2013 o bruselském zákoníku o ovzduší, klimatu a hospodaření s energií se vkládá kapitola 3 s názvem „Kapitola 3. - Udržitelný a odpovědný digitální plán“.</w:t>
            </w:r>
          </w:p>
          <w:p w14:paraId="6DC0A343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244248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2. V kapitole 3 vložené § 1 se vkládá nový článek 2.5.8, který zní: </w:t>
            </w:r>
          </w:p>
          <w:p w14:paraId="5B3AD53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Článek 2.5.8. Provozovatelé a provozovatelé vysílání uvedení v nařízení ze dne 1. března 2007 o ochraně životního prostředí před možnými škodlivými účinky a obtěžováním způsobenými neionizujícím zářením, jejichž seznam stanoví vláda, jsou povinni zavést do data stanoveného vládou a nejpozději do 2 let od nabytí účinnosti tohoto článku „udržitelný a odpovědný digitální plán“ s cílem snížit spotřebu energie a emise skleníkových plynů při jejich činnosti, zejména zvyšováním povědomí o zvýšení spotřeby mobilních dat. Plán je pětiletý a obnovuje se na další pětiletá období. Plán před jeho realizací schvaluje organizace Bruxelles Environnement. </w:t>
            </w:r>
          </w:p>
          <w:p w14:paraId="7B128E52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Způsoby vypracování a provádění plánu stanoví vláda. Zejména stanoví minimální obsah plánu a podmínky jeho přijetí, změnu a obnovení, jakož i kvantifikované cíle, které má plán sledovat. Vláda může rovněž rozšířit povinnost provádět „udržitelný a odpovědný digitální plán“ na další právnické osoby. </w:t>
            </w:r>
          </w:p>
          <w:p w14:paraId="11EADCD9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272A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3. V článku 2.6.6 téhož nařízení se doplňuje nové písmeno f), které zní:</w:t>
            </w:r>
          </w:p>
          <w:p w14:paraId="4B9471C4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„f) provozovatelé, provozovatelé vysílání a právnické osoby, na které se vztahuje povinnost uložená článkem 2.5.8 nebo podle tohoto článku.“.</w:t>
            </w:r>
          </w:p>
          <w:p w14:paraId="18DD4CF0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1FB6048C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B8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5. Pozměňující a přechodná ustanovení a nabytí účinnosti</w:t>
            </w:r>
          </w:p>
        </w:tc>
      </w:tr>
      <w:tr w:rsidR="00873667" w:rsidRPr="00404725" w14:paraId="75774D9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8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12.</w:t>
            </w:r>
          </w:p>
          <w:p w14:paraId="3B26567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Článek 10 nařízení ze dne 1. března 2007 o ochraně životního prostředí před škodlivými účinky a obtěžováním způsobenými neionizujícím zářením se zrušuje. </w:t>
            </w:r>
          </w:p>
          <w:p w14:paraId="48D02DBB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1453FE5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F1A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Článek 13.</w:t>
            </w:r>
          </w:p>
          <w:p w14:paraId="0F8B4BF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Do 30 dnů od nabytí účinnosti tohoto nařízení oznámí organizace Bruxelles Environnement provozovatelům, jejichž environmentální povolení přispívají k jakémukoli překročení norem uvedených v ustanovení čl. 3 § 1a nařízení ze dne 1. března 2007 o ochraně životního prostředí před škodlivými účinky a obtěžováním způsobenými neionizujícím zářením, jak je vloženo tímto nařízením, jejich povinnost předložit do dvou měsíců žádost o environmentální povolení, aby splnili povinnosti stanovené nařízením ze dne 1. března 2007 o ochraně životního prostředí před možnými škodlivými účinky a obtěžováním způsobenými neionizujícím zářením, ve znění tohoto nařízení. </w:t>
            </w:r>
          </w:p>
          <w:p w14:paraId="6DED1FE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Provozovatelé dotčených antén mohou pokračovat v jejich provozu bez ohledu na normy uvedené v ustanovení čl. 3 </w:t>
            </w:r>
            <w:r>
              <w:rPr>
                <w:rFonts w:asciiTheme="minorHAnsi" w:hAnsiTheme="minorHAnsi"/>
                <w:sz w:val="20"/>
              </w:rPr>
              <w:lastRenderedPageBreak/>
              <w:t xml:space="preserve">§ 1a nařízení ze dne 1. března 2007 o ochraně životního prostředí před škodlivými účinky a obtěžováním způsobenými neionizujícím zářením, jak je vloženo tímto nařízením, až do oznámení rozhodnutí o žádosti o environmentální povolení. </w:t>
            </w:r>
          </w:p>
          <w:p w14:paraId="3CEE12CC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6715F84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2E7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 xml:space="preserve">Článek 14. </w:t>
            </w:r>
          </w:p>
          <w:p w14:paraId="4670636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Toto nařízení nabývá účinnosti prvním dnem měsíce následujícího po uplynutí desetidenní lhůty počínající dnem po jeho vyhlášení v belgickém úředním věstníku Moniteur belge, s výjimkou čl. 5 § 2 (pouze pokud jde o čl. 4 § 3, budoucího znění nařízení ze dne 1. března 2007 o ochraně životního prostředí před škodlivými účinky a obtěžováním způsobenými neionizujícím zářením), článků 8 a 11, jejichž datum nabytí účinnosti stanoví vláda. </w:t>
            </w:r>
          </w:p>
          <w:p w14:paraId="60A2F821" w14:textId="77777777" w:rsidR="00873667" w:rsidRPr="00D6585D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55A3904" w14:textId="414A1C9B" w:rsidR="00873667" w:rsidRPr="00D6585D" w:rsidRDefault="00873667" w:rsidP="00873667"/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1"/>
        <w:gridCol w:w="4961"/>
      </w:tblGrid>
      <w:tr w:rsidR="00873667" w:rsidRPr="00746272" w14:paraId="3DDA5F8F" w14:textId="77777777" w:rsidTr="00242999">
        <w:trPr>
          <w:gridAfter w:val="1"/>
          <w:wAfter w:w="4961" w:type="dxa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8754" w14:textId="77777777" w:rsidR="00873667" w:rsidRPr="00746272" w:rsidRDefault="00873667" w:rsidP="0024299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Bruselu,</w:t>
            </w:r>
          </w:p>
        </w:tc>
      </w:tr>
      <w:tr w:rsidR="00873667" w:rsidRPr="00404725" w14:paraId="334B20E3" w14:textId="77777777" w:rsidTr="00242999">
        <w:trPr>
          <w:gridAfter w:val="1"/>
          <w:wAfter w:w="4961" w:type="dxa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B3B5" w14:textId="77777777" w:rsidR="00873667" w:rsidRPr="00873667" w:rsidRDefault="00873667" w:rsidP="0024299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Za vládu regionu Brusel-hlavní město,</w:t>
            </w:r>
          </w:p>
        </w:tc>
      </w:tr>
      <w:tr w:rsidR="00873667" w:rsidRPr="00404725" w14:paraId="55B38421" w14:textId="77777777" w:rsidTr="00242999"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BFBC" w14:textId="77777777" w:rsidR="00873667" w:rsidRPr="00D6585D" w:rsidRDefault="00873667" w:rsidP="008736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116099" w14:textId="77777777" w:rsidR="00873667" w:rsidRPr="00D6585D" w:rsidRDefault="00873667" w:rsidP="00242999">
            <w:pPr>
              <w:suppressAutoHyphens w:val="0"/>
              <w:autoSpaceDE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TimesNewRoman"/>
                <w:kern w:val="0"/>
                <w:sz w:val="20"/>
                <w:szCs w:val="20"/>
              </w:rPr>
            </w:pPr>
          </w:p>
        </w:tc>
      </w:tr>
    </w:tbl>
    <w:p w14:paraId="62E0C8D1" w14:textId="77777777" w:rsidR="00873667" w:rsidRPr="00D6585D" w:rsidRDefault="00873667" w:rsidP="008736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84EA2B" w14:textId="77777777" w:rsidR="00873667" w:rsidRPr="00D6585D" w:rsidRDefault="00873667" w:rsidP="008736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18513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R. VERVOORT</w:t>
      </w:r>
    </w:p>
    <w:p w14:paraId="4D31CE76" w14:textId="3E9F61CF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Předseda vlády regionu Brusel-hlavní město.</w:t>
      </w:r>
    </w:p>
    <w:p w14:paraId="0ACA50B3" w14:textId="77777777" w:rsidR="00873667" w:rsidRPr="00D6585D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E868F9D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E. VAN DEN BRANDT</w:t>
      </w:r>
    </w:p>
    <w:p w14:paraId="0FD79330" w14:textId="037809FC" w:rsid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Ministryně pro mobilitu, veřejné práce a bezpečnost silničního provozu.</w:t>
      </w:r>
    </w:p>
    <w:p w14:paraId="2F23BC79" w14:textId="77777777" w:rsidR="00873667" w:rsidRPr="00D6585D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C36561A" w14:textId="77777777" w:rsidR="00873667" w:rsidRPr="00404725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A. MARON</w:t>
      </w:r>
    </w:p>
    <w:p w14:paraId="67F20717" w14:textId="3CC9598F" w:rsidR="00873667" w:rsidRPr="00AD5588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Ministr pro transformaci hospodářství spjatou s klimatem, životní prostředí, energetiku a participativní demokracii.</w:t>
      </w:r>
    </w:p>
    <w:p w14:paraId="4B06F6AA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S. GATZ</w:t>
      </w:r>
    </w:p>
    <w:p w14:paraId="215BED01" w14:textId="5190AA1C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Ministr</w:t>
      </w:r>
      <w:r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>
        <w:rPr>
          <w:rFonts w:asciiTheme="minorHAnsi" w:hAnsiTheme="minorHAnsi"/>
          <w:sz w:val="20"/>
        </w:rPr>
        <w:t>pro finance, rozpočet, veřejnou službu, podporu mnohojazyčnosti a pověst Bruselu.</w:t>
      </w:r>
    </w:p>
    <w:p w14:paraId="5E9FF636" w14:textId="77777777" w:rsidR="00873667" w:rsidRPr="00D6585D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9B54DF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B. CERLFAYT</w:t>
      </w:r>
    </w:p>
    <w:p w14:paraId="5443ECE7" w14:textId="4C81C041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Ministr pro zaměstnanost a odbornou přípravu, digitální transformaci, místní orgány a dobré životní podmínky zvířat.</w:t>
      </w:r>
    </w:p>
    <w:p w14:paraId="76D391AC" w14:textId="77777777" w:rsidR="00873667" w:rsidRPr="00D6585D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D887231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N. BEN HAMOU</w:t>
      </w:r>
    </w:p>
    <w:p w14:paraId="66917B4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Státní tajemnice pro bydlení a rovné příležitosti.</w:t>
      </w:r>
    </w:p>
    <w:p w14:paraId="6FA2FE24" w14:textId="77777777" w:rsidR="00873667" w:rsidRPr="00D6585D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AFC9699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B. TRACHTE</w:t>
      </w:r>
    </w:p>
    <w:p w14:paraId="272A5E99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Státní tajemnice pro hospodářskou transformaci a vědecký výzkum.</w:t>
      </w:r>
    </w:p>
    <w:p w14:paraId="42F74CF6" w14:textId="77777777" w:rsidR="00873667" w:rsidRPr="00D6585D" w:rsidRDefault="00873667" w:rsidP="0087366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B3C3B2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P. SMET</w:t>
      </w:r>
    </w:p>
    <w:p w14:paraId="2267296E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>Státní tajemník pro územní plánování a kulturní dědictví, evropské a mezinárodní vztahy, zahraniční obchod a boj proti požárům a naléhavou zdravotní pomoc.</w:t>
      </w:r>
    </w:p>
    <w:p w14:paraId="53382B18" w14:textId="28B96DA2" w:rsidR="00873667" w:rsidRPr="00D6585D" w:rsidRDefault="00873667" w:rsidP="00873667"/>
    <w:sectPr w:rsidR="00873667" w:rsidRPr="00D6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9A7"/>
    <w:multiLevelType w:val="hybridMultilevel"/>
    <w:tmpl w:val="7E88C574"/>
    <w:lvl w:ilvl="0" w:tplc="3982BAE0">
      <w:numFmt w:val="bullet"/>
      <w:lvlText w:val="-"/>
      <w:lvlJc w:val="left"/>
      <w:pPr>
        <w:ind w:left="712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358434A5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C517B"/>
    <w:multiLevelType w:val="hybridMultilevel"/>
    <w:tmpl w:val="C5BE886A"/>
    <w:lvl w:ilvl="0" w:tplc="BB6A7E18">
      <w:start w:val="1"/>
      <w:numFmt w:val="decimal"/>
      <w:lvlText w:val="%1."/>
      <w:lvlJc w:val="left"/>
      <w:pPr>
        <w:ind w:left="560" w:hanging="360"/>
      </w:pPr>
    </w:lvl>
    <w:lvl w:ilvl="1" w:tplc="080C0019">
      <w:start w:val="1"/>
      <w:numFmt w:val="lowerLetter"/>
      <w:lvlText w:val="%2."/>
      <w:lvlJc w:val="left"/>
      <w:pPr>
        <w:ind w:left="1280" w:hanging="360"/>
      </w:pPr>
    </w:lvl>
    <w:lvl w:ilvl="2" w:tplc="080C001B">
      <w:start w:val="1"/>
      <w:numFmt w:val="lowerRoman"/>
      <w:lvlText w:val="%3."/>
      <w:lvlJc w:val="right"/>
      <w:pPr>
        <w:ind w:left="2000" w:hanging="180"/>
      </w:pPr>
    </w:lvl>
    <w:lvl w:ilvl="3" w:tplc="080C000F">
      <w:start w:val="1"/>
      <w:numFmt w:val="decimal"/>
      <w:lvlText w:val="%4."/>
      <w:lvlJc w:val="left"/>
      <w:pPr>
        <w:ind w:left="2720" w:hanging="360"/>
      </w:pPr>
    </w:lvl>
    <w:lvl w:ilvl="4" w:tplc="080C0019">
      <w:start w:val="1"/>
      <w:numFmt w:val="lowerLetter"/>
      <w:lvlText w:val="%5."/>
      <w:lvlJc w:val="left"/>
      <w:pPr>
        <w:ind w:left="3440" w:hanging="360"/>
      </w:pPr>
    </w:lvl>
    <w:lvl w:ilvl="5" w:tplc="080C001B">
      <w:start w:val="1"/>
      <w:numFmt w:val="lowerRoman"/>
      <w:lvlText w:val="%6."/>
      <w:lvlJc w:val="right"/>
      <w:pPr>
        <w:ind w:left="4160" w:hanging="180"/>
      </w:pPr>
    </w:lvl>
    <w:lvl w:ilvl="6" w:tplc="080C000F">
      <w:start w:val="1"/>
      <w:numFmt w:val="decimal"/>
      <w:lvlText w:val="%7."/>
      <w:lvlJc w:val="left"/>
      <w:pPr>
        <w:ind w:left="4880" w:hanging="360"/>
      </w:pPr>
    </w:lvl>
    <w:lvl w:ilvl="7" w:tplc="080C0019">
      <w:start w:val="1"/>
      <w:numFmt w:val="lowerLetter"/>
      <w:lvlText w:val="%8."/>
      <w:lvlJc w:val="left"/>
      <w:pPr>
        <w:ind w:left="5600" w:hanging="360"/>
      </w:pPr>
    </w:lvl>
    <w:lvl w:ilvl="8" w:tplc="080C001B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4DB14E4F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B2EF4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63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034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330790">
    <w:abstractNumId w:val="0"/>
  </w:num>
  <w:num w:numId="4" w16cid:durableId="166369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91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7"/>
    <w:rsid w:val="003D1F7F"/>
    <w:rsid w:val="00404725"/>
    <w:rsid w:val="00457E53"/>
    <w:rsid w:val="00873667"/>
    <w:rsid w:val="00AC2FE0"/>
    <w:rsid w:val="00C4092C"/>
    <w:rsid w:val="00D6585D"/>
    <w:rsid w:val="00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94F7"/>
  <w15:chartTrackingRefBased/>
  <w15:docId w15:val="{36913070-18DD-44A6-BEE9-0B7FBDBF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67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73667"/>
    <w:rPr>
      <w:rFonts w:ascii="Calibri" w:eastAsia="SimSun" w:hAnsi="Calibri" w:cs="Calibri"/>
      <w:kern w:val="3"/>
    </w:rPr>
  </w:style>
  <w:style w:type="paragraph" w:styleId="ListParagraph">
    <w:name w:val="List Paragraph"/>
    <w:basedOn w:val="Normal"/>
    <w:link w:val="ListParagraphChar"/>
    <w:uiPriority w:val="34"/>
    <w:qFormat/>
    <w:rsid w:val="00873667"/>
    <w:pPr>
      <w:ind w:left="720"/>
      <w:contextualSpacing/>
    </w:pPr>
  </w:style>
  <w:style w:type="paragraph" w:customStyle="1" w:styleId="Textbody">
    <w:name w:val="Text body"/>
    <w:basedOn w:val="Normal"/>
    <w:rsid w:val="00873667"/>
    <w:pPr>
      <w:widowControl/>
      <w:spacing w:after="120" w:line="200" w:lineRule="exact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8736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667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Naim</dc:creator>
  <cp:keywords/>
  <dc:description/>
  <cp:lastModifiedBy>Dimitris Dimitriadis</cp:lastModifiedBy>
  <cp:revision>6</cp:revision>
  <dcterms:created xsi:type="dcterms:W3CDTF">2022-10-04T13:25:00Z</dcterms:created>
  <dcterms:modified xsi:type="dcterms:W3CDTF">2022-10-19T14:27:00Z</dcterms:modified>
</cp:coreProperties>
</file>