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RO-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Decret guvernamental</w:t>
      </w:r>
    </w:p>
    <w:p w:rsidR="008968F7" w:rsidRPr="007E23E2" w:rsidRDefault="008968F7" w:rsidP="008968F7">
      <w:pPr>
        <w:pStyle w:val="LLSaadoksenNimi"/>
      </w:pPr>
      <w:r>
        <w:t>de modificare a Decretului privind utilizarea vehiculelor pe drumurile publice</w:t>
      </w:r>
    </w:p>
    <w:p w:rsidR="008A0B0A" w:rsidRPr="007E23E2" w:rsidRDefault="008968F7" w:rsidP="008968F7">
      <w:pPr>
        <w:pStyle w:val="LLJohtolauseKappaleet"/>
      </w:pPr>
      <w:r>
        <w:t>Prezenta decizie guvernamentală</w:t>
      </w:r>
    </w:p>
    <w:p w:rsidR="008A0B0A" w:rsidRPr="007E23E2" w:rsidRDefault="008A0B0A" w:rsidP="008968F7">
      <w:pPr>
        <w:pStyle w:val="LLJohtolauseKappaleet"/>
      </w:pPr>
      <w:r>
        <w:rPr>
          <w:i/>
        </w:rPr>
        <w:t>abrogă</w:t>
      </w:r>
      <w:r>
        <w:t xml:space="preserve"> articolul 21, alineatul (2) din Decretul privind utilizarea vehiculelor pe drumurile publice (1257/1992), astfel cum a fost adoptat în Decretul 47/2017</w:t>
      </w:r>
    </w:p>
    <w:p w:rsidR="008A0B0A" w:rsidRPr="007E23E2" w:rsidRDefault="008A0B0A" w:rsidP="008968F7">
      <w:pPr>
        <w:pStyle w:val="LLJohtolauseKappaleet"/>
      </w:pPr>
      <w:r>
        <w:rPr>
          <w:i/>
        </w:rPr>
        <w:t>modifică</w:t>
      </w:r>
      <w:r>
        <w:t xml:space="preserve"> articolele 2, 13, 17, 19 a, 19 b, 20, 23, 23 a, 24, 26, 27, 32, 33, 36, 45, 51 b și 52 din decret,</w:t>
      </w:r>
    </w:p>
    <w:p w:rsidR="008A0B0A" w:rsidRPr="007E23E2" w:rsidRDefault="008A0B0A" w:rsidP="008968F7">
      <w:pPr>
        <w:pStyle w:val="LLJohtolauseKappaleet"/>
      </w:pPr>
      <w:r>
        <w:t>astfel cum figurează articolul 2 în Decretele 407/2013 și 570/2017, articolul 13 în Decretul 1243/2002, articolul 17 parțial în Decretele 303/1996, 1227/2011 și 407/2013, articolele 19 a, 27, 32 și 52 în Decretul 407/2013, articolul 19 b în Decretul 1243/2002, articolul 20 în Decretele 407/2013 și 123/2007, articolul 23 în Decretul 47/2017, articolul 23 a în Decretul 1062/2013, articolul 24 în Decretele 407/2013, 240/2017 și 206/2018, articolul 26 în Decretul 1227/2011, articolul 33 în Decretul 487/2009, articolul 36 parțial în Decretul 531/1993, articolul 45 în Decretul 1612/2015 și articolul 51 b în Decretul 570/2017.</w:t>
      </w:r>
    </w:p>
    <w:p w:rsidR="008A0B0A" w:rsidRPr="007E23E2" w:rsidRDefault="008A0B0A" w:rsidP="008968F7">
      <w:pPr>
        <w:pStyle w:val="LLJohtolauseKappaleet"/>
      </w:pPr>
      <w:r>
        <w:rPr>
          <w:i/>
        </w:rPr>
        <w:t>înlocuiește</w:t>
      </w:r>
      <w:r>
        <w:t xml:space="preserve"> articolul 22, abrogat prin Decretul 670/1997, cu un nou articol 22 și </w:t>
      </w:r>
      <w:r>
        <w:rPr>
          <w:i/>
        </w:rPr>
        <w:t>adaugă</w:t>
      </w:r>
      <w:r>
        <w:t xml:space="preserve"> un nou alineat (2) la articolul 32 a, astfel cum figurează în Decretul 407/2013, precum și un nou articol 32 b la decret, după cum urmează:</w:t>
      </w:r>
    </w:p>
    <w:p w:rsidR="0077609A" w:rsidRPr="007E23E2" w:rsidRDefault="0077609A" w:rsidP="00C245D5">
      <w:pPr>
        <w:pStyle w:val="LLNormaali"/>
        <w:keepNext/>
      </w:pPr>
    </w:p>
    <w:p w:rsidR="008968F7" w:rsidRPr="007E23E2" w:rsidRDefault="008A0B0A" w:rsidP="00C245D5">
      <w:pPr>
        <w:pStyle w:val="LLPykala"/>
        <w:keepNext/>
      </w:pPr>
      <w:r>
        <w:t>Articolul 2</w:t>
      </w:r>
    </w:p>
    <w:p w:rsidR="008A0B0A" w:rsidRPr="007E23E2" w:rsidRDefault="008A0B0A" w:rsidP="00C245D5">
      <w:pPr>
        <w:pStyle w:val="LLPykalanOtsikko"/>
        <w:keepNext/>
      </w:pPr>
      <w:r>
        <w:t>Definiții</w:t>
      </w:r>
    </w:p>
    <w:p w:rsidR="008A0B0A" w:rsidRPr="007E23E2" w:rsidRDefault="008A0B0A" w:rsidP="008968F7">
      <w:pPr>
        <w:pStyle w:val="LLKappalejako"/>
      </w:pPr>
      <w:r>
        <w:t>Dispozițiile Legii privind vehiculele și regulamentele adoptate în conformitate cu aceasta se aplică definiției vehiculelor, a categoriilor de vehicule și a maselor vehiculelor. În plus, definiția dimensiunilor și greutăților vehiculelor este reglementată de Regulamentul (UE) nr. 1230/2012 al Comisiei de punere în aplicare a Regulamentului (CE) nr. 661/2009 al Parlamentului European și al Consiliului privind cerințele de omologare de tip pentru masele și dimensiunile autovehiculelor și ale remorcilor acestora și de modificare a Directivei 2007/46/CE a Parlamentului European și al Consiliului.</w:t>
      </w:r>
    </w:p>
    <w:p w:rsidR="008968F7" w:rsidRPr="007E23E2" w:rsidRDefault="008A0B0A" w:rsidP="00CA20FF">
      <w:pPr>
        <w:pStyle w:val="LLMomentinJohdantoKappale"/>
      </w:pPr>
      <w:r>
        <w:t>În sensul prezentului decret:</w:t>
      </w:r>
    </w:p>
    <w:p w:rsidR="008A0B0A" w:rsidRPr="007E23E2" w:rsidRDefault="001B17ED" w:rsidP="008968F7">
      <w:pPr>
        <w:pStyle w:val="LLMomentinAlakohta"/>
      </w:pPr>
      <w:r>
        <w:t xml:space="preserve">(1) </w:t>
      </w:r>
      <w:r>
        <w:rPr>
          <w:i/>
        </w:rPr>
        <w:t>masă cuplată</w:t>
      </w:r>
      <w:r>
        <w:t xml:space="preserve"> înseamnă masa reală permisă a vehiculului tractat în timp ce este cuplat, excluzând masa cuplajului roții a cincea sau cuplajul barei de tracțiune a vehiculului tractor al unei semiremorci, al unei remorci destinate transportului de vehicule sau al unei remorci cu axă centrală;</w:t>
      </w:r>
    </w:p>
    <w:p w:rsidR="008A0B0A" w:rsidRPr="007E23E2" w:rsidRDefault="00A66541" w:rsidP="008968F7">
      <w:pPr>
        <w:pStyle w:val="LLMomentinAlakohta"/>
      </w:pPr>
      <w:r>
        <w:t>(</w:t>
      </w:r>
      <w:r w:rsidR="001B17ED">
        <w:t xml:space="preserve">2) </w:t>
      </w:r>
      <w:r w:rsidR="001B17ED">
        <w:rPr>
          <w:i/>
        </w:rPr>
        <w:t>încărcătură indivizibilă</w:t>
      </w:r>
      <w:r w:rsidR="001B17ED">
        <w:t xml:space="preserve"> înseamnă o încărcătură care, în scopul transportului rutier, nu poate fi împărțită în două sau mai multe încărcături fără cheltuieli disproporționate sau fără riscuri de daune și care, din cauza masei sau a dimensiunilor sale, nu poate fi transportată de un vehicul sau de un ansamblu de vehicule fără a depăși limitele generale permise pentru mase sau dimensiuni pentru transportul rutier; încărcătura indivizibilă înseamnă, de asemenea, un container conceput pentru transportul maritim în scop de export sau de import, gol sau încărcat la locul de plecare și cu o înălțime de peste 2,80 metri sau cu o lungime de peste 12,30 metri; în cazul în care transportul containerului menționat aici necesită depășirea înălțimii de 4,40 metri sau, respectiv, depășirea lungimii de 23,00 de metri sau limita generală permisă pentru masă pentru transportul rutier într-un vehicul articulat, containerul este considerat un element </w:t>
      </w:r>
      <w:r w:rsidR="001B17ED">
        <w:lastRenderedPageBreak/>
        <w:t>indivizibil numai atunci când este ambalajul unui articol indivizibil sau atunci când containerul este transportat gol;</w:t>
      </w:r>
    </w:p>
    <w:p w:rsidR="008A0B0A" w:rsidRPr="007E23E2" w:rsidRDefault="001B17ED" w:rsidP="008968F7">
      <w:pPr>
        <w:pStyle w:val="LLMomentinAlakohta"/>
      </w:pPr>
      <w:r>
        <w:t xml:space="preserve">(3) </w:t>
      </w:r>
      <w:r>
        <w:rPr>
          <w:i/>
        </w:rPr>
        <w:t>minister</w:t>
      </w:r>
      <w:r>
        <w:t xml:space="preserve"> înseamnă Ministerul Transporturilor și Comunicațiilor;</w:t>
      </w:r>
    </w:p>
    <w:p w:rsidR="008A0B0A" w:rsidRPr="007E23E2" w:rsidRDefault="001B17ED" w:rsidP="008968F7">
      <w:pPr>
        <w:pStyle w:val="LLMomentinAlakohta"/>
      </w:pPr>
      <w:r>
        <w:t xml:space="preserve">(4) </w:t>
      </w:r>
      <w:r>
        <w:rPr>
          <w:i/>
        </w:rPr>
        <w:t>echipamente de lucru</w:t>
      </w:r>
      <w:r>
        <w:t xml:space="preserve"> înseamnă o mașină manevrabilă și care poate fi cuplată la un vehicul, care nu are deloc contact cu solul pe durata transportului rutier și care nu se poate roti în jurul axei sale verticale în raport cu vehiculul pe durata transportului rutier;</w:t>
      </w:r>
    </w:p>
    <w:p w:rsidR="008A0B0A" w:rsidRPr="007E23E2" w:rsidRDefault="001B17ED" w:rsidP="008968F7">
      <w:pPr>
        <w:pStyle w:val="LLMomentinAlakohta"/>
      </w:pPr>
      <w:r>
        <w:t xml:space="preserve">(5) </w:t>
      </w:r>
      <w:r>
        <w:rPr>
          <w:i/>
        </w:rPr>
        <w:t xml:space="preserve">Directiva privind dimensiunea și greutatea </w:t>
      </w:r>
      <w:r>
        <w:t>înseamnă Directiva 96/53/CE a Consiliului de stabilire, pentru anumite vehicule rutiere care circulă în interiorul Comunității, a dimensiunilor maxime autorizate în traficul național și internațional și a greutății maxime autorizate în traficul internațional, astfel cum a fost modificată ultima dată prin Directiva (UE) 2015/719 a Parlamentului European și a Consiliului;</w:t>
      </w:r>
    </w:p>
    <w:p w:rsidR="008A0B0A" w:rsidRPr="007E23E2" w:rsidRDefault="001B17ED" w:rsidP="008968F7">
      <w:pPr>
        <w:pStyle w:val="LLMomentinAlakohta"/>
      </w:pPr>
      <w:r>
        <w:t xml:space="preserve">(6) </w:t>
      </w:r>
      <w:r>
        <w:rPr>
          <w:i/>
        </w:rPr>
        <w:t>combustibili alternativi</w:t>
      </w:r>
      <w:r>
        <w:t xml:space="preserve"> înseamnă combustibilii alternativi definiți la articolul 2 din Directiva privind dimensiunea și greutatea;</w:t>
      </w:r>
    </w:p>
    <w:p w:rsidR="008A0B0A" w:rsidRPr="007E23E2" w:rsidRDefault="001B17ED" w:rsidP="008968F7">
      <w:pPr>
        <w:pStyle w:val="LLMomentinAlakohta"/>
      </w:pPr>
      <w:r>
        <w:t xml:space="preserve">(7) </w:t>
      </w:r>
      <w:r>
        <w:rPr>
          <w:i/>
        </w:rPr>
        <w:t>axa de direcție</w:t>
      </w:r>
      <w:r>
        <w:t xml:space="preserve"> înseamnă axa ale cărei roți pot fi rotite direct sau indirect în raport cu axa longitudinală a vehiculului pentru a determina direcția de mișcare a vehiculului;</w:t>
      </w:r>
    </w:p>
    <w:p w:rsidR="008A0B0A" w:rsidRPr="007E23E2" w:rsidRDefault="00A66541" w:rsidP="008968F7">
      <w:pPr>
        <w:pStyle w:val="LLMomentinAlakohta"/>
      </w:pPr>
      <w:r>
        <w:t>(</w:t>
      </w:r>
      <w:bookmarkStart w:id="0" w:name="_GoBack"/>
      <w:bookmarkEnd w:id="0"/>
      <w:r w:rsidR="001B17ED">
        <w:t xml:space="preserve">8) </w:t>
      </w:r>
      <w:r w:rsidR="001B17ED">
        <w:rPr>
          <w:i/>
        </w:rPr>
        <w:t>punte directoare</w:t>
      </w:r>
      <w:r w:rsidR="001B17ED">
        <w:t xml:space="preserve"> înseamnă axa al cărei unghi de direcție a roților se modifică numai ca urmare a interacțiunii forțelor dintre roți și suprafața rutieră; cu toate acestea, o axă al cărei unghi de direcție se modifică ușor ca urmare a elasticității cuplajului axei nu este considerată o punte directoare.</w:t>
      </w:r>
    </w:p>
    <w:p w:rsidR="00CA20FF" w:rsidRPr="007E23E2" w:rsidRDefault="00CA20FF" w:rsidP="008968F7">
      <w:pPr>
        <w:pStyle w:val="LLMomentinAlakohta"/>
      </w:pPr>
    </w:p>
    <w:p w:rsidR="008A0B0A" w:rsidRPr="007E23E2" w:rsidRDefault="008A0B0A" w:rsidP="00C245D5">
      <w:pPr>
        <w:pStyle w:val="LLPykala"/>
        <w:keepNext/>
      </w:pPr>
      <w:r>
        <w:t>Articolul 13</w:t>
      </w:r>
    </w:p>
    <w:p w:rsidR="008A0B0A" w:rsidRPr="007E23E2" w:rsidRDefault="008A0B0A" w:rsidP="00C245D5">
      <w:pPr>
        <w:pStyle w:val="LLPykalanOtsikko"/>
        <w:keepNext/>
      </w:pPr>
      <w:r>
        <w:t>Punte directoare</w:t>
      </w:r>
    </w:p>
    <w:p w:rsidR="008A0B0A" w:rsidRPr="007E23E2" w:rsidRDefault="008A0B0A" w:rsidP="00CA20FF">
      <w:pPr>
        <w:pStyle w:val="LLKappalejako"/>
      </w:pPr>
      <w:r>
        <w:t>Dacă un vehicul sau o remorcă, pentru care nu au fost furnizate sau specificate cerințe tehnice pentru un dispozitiv de comandă, are o punte directoare echipată cu un dispozitiv care este acționat de pe scaunul conducătorului auto sau un dispozitiv automat care blochează direcția în mod direct, axa trebuie să fie menținută blocată atunci când se conduce la o viteză care depășește 40 km/h.</w:t>
      </w:r>
    </w:p>
    <w:p w:rsidR="008A0B0A" w:rsidRPr="007E23E2" w:rsidRDefault="008A0B0A" w:rsidP="00CA20FF">
      <w:pPr>
        <w:pStyle w:val="LLKappalejako"/>
      </w:pPr>
      <w:r>
        <w:t>În cazul în care toate axele unui vehicul sunt axe de direcție, poziția de deplasare a vehiculului este paralelă cu drumul în trafic normal.</w:t>
      </w:r>
    </w:p>
    <w:p w:rsidR="008A0B0A" w:rsidRPr="007E23E2" w:rsidRDefault="008A0B0A" w:rsidP="008A0B0A">
      <w:pPr>
        <w:pStyle w:val="LLNormaali"/>
      </w:pPr>
    </w:p>
    <w:p w:rsidR="008A0B0A" w:rsidRPr="007E23E2" w:rsidRDefault="008A0B0A" w:rsidP="00C245D5">
      <w:pPr>
        <w:pStyle w:val="LLPykala"/>
        <w:keepNext/>
      </w:pPr>
      <w:r>
        <w:t>Articolul 17</w:t>
      </w:r>
    </w:p>
    <w:p w:rsidR="008A0B0A" w:rsidRPr="007E23E2" w:rsidRDefault="008A0B0A" w:rsidP="00C245D5">
      <w:pPr>
        <w:pStyle w:val="LLPykalanOtsikko"/>
        <w:keepNext/>
      </w:pPr>
      <w:r>
        <w:t>Utilizarea dispozitivelor antiderapante pe anvelopele unui vehicul și vehiculele tractate cuplate la acesta</w:t>
      </w:r>
    </w:p>
    <w:p w:rsidR="008A0B0A" w:rsidRPr="007E23E2" w:rsidRDefault="008A0B0A" w:rsidP="00CA20FF">
      <w:pPr>
        <w:pStyle w:val="LLKappalejako"/>
      </w:pPr>
      <w:r>
        <w:t>Anvelopele unui vehicul și ale vehiculului tractat cuplat la acesta pot fi echipate cu crampoane, lanțuri de zăpadă sau alte dispozitive antiderapante echivalente, care nu deteriorează în mod semnificativ suprafața drumului. Anvelopele cu crampoane pot fi utilizate între 1 noiembrie și 31 martie sau până în prima zi de luni care urmează după lunea Paștelui, oricare dintre acestea este mai târziu. În afara acestei perioade, anvelopele cu crampoane pot fi utilizate pentru vehiculele de urgență, vehiculele de teren și remorcile utilizate de forțele de apărare, vehiculele și remorcile de întreținere a drumurilor și vehiculele de transport. Anvelopele cu crampoane pot fi utilizate în afara perioadei menționate anterior și pe durata transferurilor temporare legate de comerț, reparații și de inspecția tehnică a vehiculelor sau a vehiculelor tractate și pentru toate vehiculele și vehiculele tractate în cazul în care condițiile meteorologice sau de trafic impun acest lucru.</w:t>
      </w:r>
    </w:p>
    <w:p w:rsidR="008A0B0A" w:rsidRPr="007E23E2" w:rsidRDefault="008A0B0A" w:rsidP="00CA20FF">
      <w:pPr>
        <w:pStyle w:val="LLKappalejako"/>
      </w:pPr>
      <w:r>
        <w:t>În cazul unei remorci cu o masă totală mai mare de 0,75 tone dar mai mică de 3,5 tone (categoria O</w:t>
      </w:r>
      <w:r>
        <w:rPr>
          <w:vertAlign w:val="subscript"/>
        </w:rPr>
        <w:t>2</w:t>
      </w:r>
      <w:r>
        <w:t>), se utilizează anvelope cu crampoane, dacă vehiculul tractator este echipat cu anvelope cu crampoane.</w:t>
      </w:r>
    </w:p>
    <w:p w:rsidR="008A0B0A" w:rsidRPr="007E23E2" w:rsidRDefault="008A0B0A" w:rsidP="00CA20FF">
      <w:pPr>
        <w:pStyle w:val="LLKappalejako"/>
      </w:pPr>
      <w:r>
        <w:lastRenderedPageBreak/>
        <w:t>Atunci când anvelopele cu crampoane sunt utilizate pe autovehicule pentru pasageri, vehicule comerciale ușoare (categoriile M</w:t>
      </w:r>
      <w:r>
        <w:rPr>
          <w:vertAlign w:val="subscript"/>
        </w:rPr>
        <w:t>1</w:t>
      </w:r>
      <w:r>
        <w:t xml:space="preserve"> și N</w:t>
      </w:r>
      <w:r>
        <w:rPr>
          <w:vertAlign w:val="subscript"/>
        </w:rPr>
        <w:t>1</w:t>
      </w:r>
      <w:r>
        <w:t>) sau pe o remorcă cu o masă totală care nu depășește 3,5 tone (categoriile O</w:t>
      </w:r>
      <w:r>
        <w:rPr>
          <w:vertAlign w:val="subscript"/>
        </w:rPr>
        <w:t>1</w:t>
      </w:r>
      <w:r>
        <w:t xml:space="preserve"> și O</w:t>
      </w:r>
      <w:r>
        <w:rPr>
          <w:vertAlign w:val="subscript"/>
        </w:rPr>
        <w:t>2</w:t>
      </w:r>
      <w:r>
        <w:t xml:space="preserve">), acestea trebuie să fie montate pe fiecare roată, cu excepția ambelor roți ale roților </w:t>
      </w:r>
      <w:proofErr w:type="spellStart"/>
      <w:r>
        <w:t>jumelate</w:t>
      </w:r>
      <w:proofErr w:type="spellEnd"/>
      <w:r>
        <w:t>. Numărul de crampoane pentru diferite tipuri de anvelope montate pe un vehicul poate varia cu maximum 25 % față de numărul de crampoane ale anvelopei cu cele mai multe crampoane.</w:t>
      </w:r>
    </w:p>
    <w:p w:rsidR="008A0B0A" w:rsidRPr="007E23E2" w:rsidRDefault="008A0B0A" w:rsidP="00CA20FF">
      <w:pPr>
        <w:pStyle w:val="LLKappalejako"/>
      </w:pPr>
      <w:r>
        <w:t>Atunci când trebuie utilizată în mod temporar o anvelopă de rezervă pentru un vehicul sau un vehicul tractat cuplat la acesta ca urmare a unei defecțiuni a unei anvelope, dispozițiile prezentei secțiuni nu se aplică în cazul respectivei anvelope. În acest caz, vehiculul trebuie să fie condus cu atenție sporită.</w:t>
      </w:r>
    </w:p>
    <w:p w:rsidR="008A0B0A" w:rsidRPr="007E23E2" w:rsidRDefault="008A0B0A" w:rsidP="00CA20FF">
      <w:pPr>
        <w:pStyle w:val="LLKappalejako"/>
      </w:pPr>
      <w:r>
        <w:t>În cazul unei anvelope cu crampoane uzate a unui vehicul pentru pasageri sau a unui camion ușor, crampoanele nu trebuie să depășească 2,0 mm. Crampoanele unei anvelope uzate a unui camion nu trebuie să depășească 2,5 mm.</w:t>
      </w:r>
    </w:p>
    <w:p w:rsidR="009F1C22" w:rsidRPr="007E23E2" w:rsidRDefault="008A0B0A" w:rsidP="00CA20FF">
      <w:pPr>
        <w:pStyle w:val="LLKappalejako"/>
      </w:pPr>
      <w:r>
        <w:t>Agenția Finlandeză pentru Siguranța Transporturilor poate acorda derogări pentru un singur vehicul de la dispozițiile alineatului (1) privind perioada permisă de utilizare a anvelopelor cu crampoane.</w:t>
      </w:r>
    </w:p>
    <w:p w:rsidR="008A0B0A" w:rsidRPr="007E23E2" w:rsidRDefault="008A0B0A" w:rsidP="00CA20FF">
      <w:pPr>
        <w:pStyle w:val="LLKappalejako"/>
      </w:pPr>
      <w:r>
        <w:t>Dacă masa totală pe axa motoare sau axele motoare este mai mică de 18 % din masa brută a ansamblului în cazul unui ansamblu de vehicule cu o masă care depășește 44 de tone sau o lungime care depășește 18,75 metri, vehiculul tractor trebuie, în timpul perioadei menționate la articolul 16 alineatul (2), să fie echipat cu un dispozitiv care poate îmbunătăți tracțiunea la pornire a vehiculului pe suprafețe rutiere alunecoase. O structură care afectează funcționarea diferențialului în cazul unei singure axe motoare nu este considerată ca fiind un astfel de dispozitiv.</w:t>
      </w:r>
    </w:p>
    <w:p w:rsidR="008A0B0A" w:rsidRPr="007E23E2" w:rsidRDefault="008A0B0A" w:rsidP="00CA20FF">
      <w:pPr>
        <w:pStyle w:val="LLKappalejako"/>
      </w:pPr>
      <w:r>
        <w:t>Dacă masa totală pe axa motoare a unui ansamblu de vehicule a cărui lungime depășește 28 metri este mai mică de 25 % din masa ansamblului de vehicule, pe parcursul perioadei menționate la articolul 16 alineatul (2) și în scopul îmbunătățirii capacității de pornire a unui ansamblu de vehicule pe o suprafață rutieră alunecoasă, vehiculul tractor trebuie echipat cu un dispozitiv distribuitor de nisip sau lanțuri de zăpadă automate pentru a îmbunătăți capacitatea de tractare a cel puțin unei axe motoare sau a axei utilizate ca axă motoare la viteză redusă.</w:t>
      </w:r>
    </w:p>
    <w:p w:rsidR="00486E06" w:rsidRPr="007E23E2" w:rsidRDefault="00486E06" w:rsidP="00486E06">
      <w:pPr>
        <w:pStyle w:val="LLNormaali"/>
      </w:pPr>
    </w:p>
    <w:p w:rsidR="008A0B0A" w:rsidRPr="007E23E2" w:rsidRDefault="008A0B0A" w:rsidP="00C245D5">
      <w:pPr>
        <w:pStyle w:val="LLPykala"/>
        <w:keepNext/>
      </w:pPr>
      <w:r>
        <w:t>Articolul 19 a</w:t>
      </w:r>
    </w:p>
    <w:p w:rsidR="008A0B0A" w:rsidRPr="007E23E2" w:rsidRDefault="008A0B0A" w:rsidP="00C245D5">
      <w:pPr>
        <w:pStyle w:val="LLPykalanOtsikko"/>
        <w:keepNext/>
      </w:pPr>
      <w:r>
        <w:t>Masele maxime pe axe sau boghiuri ale unui vehicul sau ansamblu de vehicule</w:t>
      </w:r>
    </w:p>
    <w:p w:rsidR="008A0B0A" w:rsidRPr="007E23E2" w:rsidRDefault="008A0B0A" w:rsidP="00CA20FF">
      <w:pPr>
        <w:pStyle w:val="LLKappalejako"/>
      </w:pPr>
      <w:r>
        <w:t>Atunci când un vehicul sau un ansamblu de vehicule este condus pe drumul public, masa pe axă sau boghiu sau masa totală a vehiculului nu poate depăși valoarea introdusă în registrul vehiculelor. Masa totală a ansamblului de vehicule nu poate depăși suma masei vehiculului tractor și a vehiculului tractat introdusă în registru sau masa totală admisă pentru ansamblu, dacă aceasta este mai mică decât suma menționată mai sus.</w:t>
      </w:r>
    </w:p>
    <w:p w:rsidR="008A0B0A" w:rsidRPr="007E23E2" w:rsidRDefault="008A0B0A" w:rsidP="00CA20FF">
      <w:pPr>
        <w:pStyle w:val="LLKappalejako"/>
      </w:pPr>
      <w:r>
        <w:t>În timpul deplasării pe o suprafață rutieră alunecoasă, masa pe axa sau boghiul unui vehicul atunci când utilizează un elevator de axe sau o funcție de micșorare a greutății axei poate depăși temporar masa maximă a axei sau boghiului admisă pe drumul public, dacă este necesar în vederea obținerii unei aderențe suficiente pentru tracțiune și nu deteriorează drumul public.</w:t>
      </w:r>
    </w:p>
    <w:p w:rsidR="008A0B0A" w:rsidRPr="007E23E2" w:rsidRDefault="008A0B0A" w:rsidP="00CA20FF">
      <w:pPr>
        <w:pStyle w:val="LLKappalejako"/>
      </w:pPr>
      <w:r>
        <w:t>Masa pe axa și boghiul unui vehicul atunci când utilizează un elevator de axe sau o funcție de micșorare a greutății axei poate depăși temporar masa maximă admisă pe drumul public, dacă este necesar în vederea obținerii unei manevrabilități suficiente. Viteza nu trebuie să depășească 30 km/h. Masa pe axă nu trebuie să depășească 12 tone. Nu este obligatoriu ca ansamblul să îndeplinească cerința privind stabilitatea prevăzută la articolul 32 b pe durata execuției unui elevator de axe la o viteză mai mică de 30 kilometri pe oră.</w:t>
      </w:r>
    </w:p>
    <w:p w:rsidR="00486E06" w:rsidRPr="007E23E2" w:rsidRDefault="00486E06" w:rsidP="00486E06">
      <w:pPr>
        <w:pStyle w:val="LLNormaali"/>
      </w:pPr>
    </w:p>
    <w:p w:rsidR="008A0B0A" w:rsidRPr="007E23E2" w:rsidRDefault="008A0B0A" w:rsidP="00C245D5">
      <w:pPr>
        <w:pStyle w:val="LLPykala"/>
        <w:keepNext/>
      </w:pPr>
      <w:r>
        <w:lastRenderedPageBreak/>
        <w:t>Articolul 19 b</w:t>
      </w:r>
    </w:p>
    <w:p w:rsidR="008A0B0A" w:rsidRPr="007E23E2" w:rsidRDefault="008A0B0A" w:rsidP="00C245D5">
      <w:pPr>
        <w:pStyle w:val="LLPykalanOtsikko"/>
        <w:keepNext/>
      </w:pPr>
      <w:r>
        <w:t>Utilizarea în Finlanda a unui vehicul înmatriculat sau pus în circulație într-un stat SEE</w:t>
      </w:r>
    </w:p>
    <w:p w:rsidR="008A0B0A" w:rsidRPr="007E23E2" w:rsidRDefault="008A0B0A" w:rsidP="00CA20FF">
      <w:pPr>
        <w:pStyle w:val="LLKappalejako"/>
      </w:pPr>
      <w:r>
        <w:t>Atunci când un vehicul înmatriculat sau pus în circulație într-un stat membru al Spațiului Economic European, denumit în continuare „stat SEE”, este utilizat în Finlanda, se aplică dispozițiile prezentului capitol.</w:t>
      </w:r>
    </w:p>
    <w:p w:rsidR="008A0B0A" w:rsidRPr="007E23E2" w:rsidRDefault="008A0B0A" w:rsidP="00CA20FF">
      <w:pPr>
        <w:pStyle w:val="LLMomentinJohdantoKappale"/>
      </w:pPr>
      <w:r>
        <w:t>Dacă masele generale autorizate ale unui vehicul pus în circulație în 1993 sau ulterior depășesc valorile maxime prevăzute în Directiva privind dimensiunea și greutatea:</w:t>
      </w:r>
    </w:p>
    <w:p w:rsidR="008A0B0A" w:rsidRPr="007E23E2" w:rsidRDefault="009F1C22" w:rsidP="00486E06">
      <w:pPr>
        <w:pStyle w:val="LLMomentinAlakohta"/>
      </w:pPr>
      <w:r>
        <w:t>(1) cel puțin o axă a unui boghiu cu trei sau mai multe axe este o axă de direcție; în locul unei axe de direcție, poate fi utilizată o punte directoare care este blocată într-o poziție care corespunde direcției de condus cu o viteză de minimum 30 kilometri pe oră;</w:t>
      </w:r>
    </w:p>
    <w:p w:rsidR="008A0B0A" w:rsidRPr="007E23E2" w:rsidRDefault="009F1C22" w:rsidP="00486E06">
      <w:pPr>
        <w:pStyle w:val="LLMomentinAlakohta"/>
      </w:pPr>
      <w:r>
        <w:t>(2) în cazul unui vehicul tractat, cel puțin una dintre axele boghiului trebuie să fie o punte directoare sau o axă de direcție, dacă distanța dintre axele extreme ale boghiului depășește 2,4 metri în cazul unui boghiu cu două axe sau 2,8 metri în cazul unui boghiu cu trei sau mai multe axe;</w:t>
      </w:r>
    </w:p>
    <w:p w:rsidR="008A0B0A" w:rsidRPr="007E23E2" w:rsidRDefault="009F1C22" w:rsidP="00486E06">
      <w:pPr>
        <w:pStyle w:val="LLMomentinAlakohta"/>
      </w:pPr>
      <w:r>
        <w:t>(3) în cazul unei remorci cu mai multe axe, cea mai din spate axă a unui boghiu cu două axe poate fi numai o punte directoare, dacă s-a demonstrat că vehiculul îndeplinește cerințele tehnice menționate în Regulamentul CEE-ONU nr. 79;</w:t>
      </w:r>
    </w:p>
    <w:p w:rsidR="008A0B0A" w:rsidRPr="007E23E2" w:rsidRDefault="009F1C22" w:rsidP="00486E06">
      <w:pPr>
        <w:pStyle w:val="LLMomentinAlakohta"/>
      </w:pPr>
      <w:r>
        <w:t>(4) o semiremorcă cu boghiu cuplată cu ajutorul unui dispozitiv de tractare de tip „</w:t>
      </w:r>
      <w:proofErr w:type="spellStart"/>
      <w:r>
        <w:t>dolly</w:t>
      </w:r>
      <w:proofErr w:type="spellEnd"/>
      <w:r>
        <w:t xml:space="preserve">” trebuie să aibă cel puțin două punți </w:t>
      </w:r>
      <w:proofErr w:type="spellStart"/>
      <w:r>
        <w:t>nedirectoare</w:t>
      </w:r>
      <w:proofErr w:type="spellEnd"/>
      <w:r>
        <w:t>.</w:t>
      </w:r>
    </w:p>
    <w:p w:rsidR="008A0B0A" w:rsidRPr="007E23E2" w:rsidRDefault="008A0B0A" w:rsidP="00486E06">
      <w:pPr>
        <w:pStyle w:val="LLMomentinAlakohta"/>
      </w:pPr>
      <w:r>
        <w:t xml:space="preserve">Suma masei pe punțile </w:t>
      </w:r>
      <w:proofErr w:type="spellStart"/>
      <w:r>
        <w:t>nedirectoare</w:t>
      </w:r>
      <w:proofErr w:type="spellEnd"/>
      <w:r>
        <w:t xml:space="preserve"> ale unui boghiu cu trei sau mai multe axe în cazul vehiculului menționat la alineatul (2) de mai sus trebuie să fie de cel puțin 1,6 ori masa în comparație cu masa pe punțile directoare. Această cerință nu se aplică vehiculelor în cazul cărora s-a demonstrat că respectă cerințele tehnice menționate în Regulamentul CEE-ONU nr. 79.</w:t>
      </w:r>
    </w:p>
    <w:p w:rsidR="008A0B0A" w:rsidRDefault="008A0B0A" w:rsidP="00486E06">
      <w:pPr>
        <w:pStyle w:val="LLMomentinAlakohta"/>
      </w:pPr>
      <w:r>
        <w:t>Dispozițiile prevăzute la alineatele (2) și (3) de mai sus nu se aplică unui vehicul cu o viteză maximă autorizată care nu depășește 40 km/h.</w:t>
      </w:r>
    </w:p>
    <w:p w:rsidR="00C245D5" w:rsidRPr="007E23E2" w:rsidRDefault="00C245D5" w:rsidP="00486E06">
      <w:pPr>
        <w:pStyle w:val="LLMomentinAlakohta"/>
      </w:pPr>
    </w:p>
    <w:p w:rsidR="008A0B0A" w:rsidRPr="007E23E2" w:rsidRDefault="008A0B0A" w:rsidP="00C245D5">
      <w:pPr>
        <w:pStyle w:val="LLPykala"/>
        <w:keepNext/>
      </w:pPr>
      <w:r>
        <w:t>Articolul 20</w:t>
      </w:r>
    </w:p>
    <w:p w:rsidR="008A0B0A" w:rsidRPr="007E23E2" w:rsidRDefault="008A0B0A" w:rsidP="00C245D5">
      <w:pPr>
        <w:pStyle w:val="LLPykalanOtsikko"/>
        <w:keepNext/>
      </w:pPr>
      <w:r>
        <w:t>Mase pe axe și boghiuri</w:t>
      </w:r>
    </w:p>
    <w:p w:rsidR="008A0B0A" w:rsidRPr="007E23E2" w:rsidRDefault="008A0B0A" w:rsidP="00C245D5">
      <w:pPr>
        <w:pStyle w:val="LLMomentinJohdantoKappale"/>
        <w:keepNext/>
      </w:pPr>
      <w:r>
        <w:t>Atunci când un autovehicul sau o remorcă este condus(ă) pe drumul public, masa axei sale nu trebuie să depășească următoarele valori:</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 xml:space="preserve">(1) axă </w:t>
            </w:r>
            <w:proofErr w:type="spellStart"/>
            <w:r>
              <w:rPr>
                <w:sz w:val="20"/>
              </w:rPr>
              <w:t>nemotoare</w:t>
            </w:r>
            <w:proofErr w:type="spellEnd"/>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axă motoare</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Atunci când un autovehicul este condus pe drum public, masa boghiului său nu trebuie să depășească următoarele valori:</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(1) boghiu cu două axe atunci când distanța dintre axe este mai mică de 1,0 metru</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(2) boghiu cu două axe atunci când distanța dintre axe este nu mai mică de 1,0 metru, dar este mai mică de 1,3 metri</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(3) boghiu cu două axe atunci când distanța dintre axe este nu mai mică de 1,3 metri, dar este mai mică de 1,8 metri</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 xml:space="preserve">(4) boghiu cu două axe atunci când distanța dintre axe nu este mai mică de 1,3 metri, dar este mai mică de 1,8 metri și fiecare axă motoare este echipată cu roți </w:t>
            </w:r>
            <w:proofErr w:type="spellStart"/>
            <w:r>
              <w:rPr>
                <w:sz w:val="20"/>
              </w:rPr>
              <w:t>jumelate</w:t>
            </w:r>
            <w:proofErr w:type="spellEnd"/>
            <w:r>
              <w:rPr>
                <w:sz w:val="20"/>
              </w:rPr>
              <w:t xml:space="preserve"> și masa pe fiecare axă nu depășește 9,5 tone</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lastRenderedPageBreak/>
              <w:t xml:space="preserve">(5) boghiu cu două axe atunci când distanța dintre axe nu este mai mică de 1,3 metri, dar este mai mică de 1,8 metri și axa motoare este echipată cu roți </w:t>
            </w:r>
            <w:proofErr w:type="spellStart"/>
            <w:r>
              <w:rPr>
                <w:sz w:val="20"/>
              </w:rPr>
              <w:t>jumelate</w:t>
            </w:r>
            <w:proofErr w:type="spellEnd"/>
            <w:r>
              <w:rPr>
                <w:sz w:val="20"/>
              </w:rPr>
              <w:t xml:space="preserve"> și suspensie pneumatică sau o suspensie recunoscută ca echivalentă cu suspensia pneumatică</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(6) boghiu cu două axe atunci când distanța dintre axe nu este mai mică de 1,3 metri, dar este mai mică de 1,8 metri și axa motoare este echipată cu roți </w:t>
            </w:r>
            <w:proofErr w:type="spellStart"/>
            <w:r>
              <w:rPr>
                <w:sz w:val="20"/>
              </w:rPr>
              <w:t>jumelate</w:t>
            </w:r>
            <w:proofErr w:type="spellEnd"/>
            <w:r>
              <w:rPr>
                <w:sz w:val="20"/>
              </w:rPr>
              <w:t xml:space="preserve"> și suspensie pneumatică sau o suspensie recunoscută ca echivalentă cu suspensia pneumatică sau când ambele axe ale boghiului sunt echipate cu roți </w:t>
            </w:r>
            <w:proofErr w:type="spellStart"/>
            <w:r>
              <w:rPr>
                <w:sz w:val="20"/>
              </w:rPr>
              <w:t>jumelate</w:t>
            </w:r>
            <w:proofErr w:type="spellEnd"/>
            <w:r>
              <w:rPr>
                <w:sz w:val="20"/>
              </w:rPr>
              <w:t xml:space="preserve"> și masa pe o singură axă nu depășește 10,5 tone</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boghiu cu trei axe atunci când distanța dintre axe este mai mică de 1,3 metri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(8) boghiu cu trei axe atunci când distanța dintre axe nu este mai mică de 1,3 metri</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 xml:space="preserve">(9) boghiu cu trei axe atunci când distanța dintre axe nu este mai mică de 1,3 metri și cel puțin două dintre axele boghiului sunt echipate cu roți </w:t>
            </w:r>
            <w:proofErr w:type="spellStart"/>
            <w:r>
              <w:rPr>
                <w:sz w:val="20"/>
              </w:rPr>
              <w:t>jumelate</w:t>
            </w:r>
            <w:proofErr w:type="spellEnd"/>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t>Atunci când o remorcă este condusă pe un drum public, masa boghiului nu trebuie să depășească următoarele valori:</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(1) boghiu cu două axe atunci când distanța dintre axe este mai mică de 1,0 metru</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(2) boghiu cu două axe atunci când distanța dintre axe este nu mai mică de 1,0 metru, dar este mai mică de 1,3 metri</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(3) boghiu cu două axe atunci când distanța dintre axe este nu mai mică de 1,3 metri, dar este mai mică de 1,8 metri</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(4) boghiu cu două axe atunci când distanța dintre axe nu este mai mică de 1,8 metri</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(5) boghiu cu trei axe atunci când distanța dintre axele succesive este mai mică de 1,3 metri</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(6) boghiu cu trei axe atunci când distanța dintre axele succesive nu este mai mică de 1,3 metri</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(7) boghiu cu cel puțin patru axe atunci când distanța dintre axele extreme nu este mai mică de 2,6 metri</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(8) boghiu cu cel puțin patru axe atunci când distanța dintre axele succesive nu este mai mică de 1,3 metri</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(9) boghiu cu cel puțin patru axe atunci când distanța dintre axele succesive nu este mai mică de 1,3 metri și distanța dintre axele extreme nu este mai mică de 4,7 metri</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(10) boghiu cu cel puțin cinci axe atunci când distanța dintre axele succesive nu este mai mică de 1,3 metri și distanța dintre axele extreme nu este mai mică de 6,7 metri</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Masa pe axele succesive ale unui boghiu cu trei sau mai multe axe nu poate depăși masa maximă autorizată pentru numărul corespunzător de axe specificat la alineatul (2) sau (3). Masa pe axele unui boghiu nu poate depăși masa maximă autorizată specificată la alineatul (1).</w:t>
      </w:r>
    </w:p>
    <w:p w:rsidR="008A0B0A" w:rsidRPr="007E23E2" w:rsidRDefault="008A0B0A" w:rsidP="00C245D5">
      <w:pPr>
        <w:pStyle w:val="LLPykala"/>
        <w:keepNext/>
      </w:pPr>
      <w:r>
        <w:lastRenderedPageBreak/>
        <w:t>Articolul 22</w:t>
      </w:r>
    </w:p>
    <w:p w:rsidR="008A0B0A" w:rsidRPr="007E23E2" w:rsidRDefault="008A0B0A" w:rsidP="00C245D5">
      <w:pPr>
        <w:pStyle w:val="LLPykalanOtsikko"/>
        <w:keepNext/>
      </w:pPr>
      <w:r>
        <w:t>Masa unei remorci</w:t>
      </w:r>
    </w:p>
    <w:p w:rsidR="008A0B0A" w:rsidRPr="007E23E2" w:rsidRDefault="008A0B0A" w:rsidP="00FD11EE">
      <w:pPr>
        <w:pStyle w:val="LLKappalejako"/>
      </w:pPr>
      <w:r>
        <w:t>Masa unei remorci cu mai multe axe nu poate depăși valoarea obținută adunând 350 kg la 20 tone pentru fiecare 0,10 metri cu care distanța dintre axele extreme ale remorcii depășește 1,80 metri.</w:t>
      </w:r>
    </w:p>
    <w:p w:rsidR="00FD11EE" w:rsidRPr="007E23E2" w:rsidRDefault="00FD11EE" w:rsidP="00FD11EE">
      <w:pPr>
        <w:pStyle w:val="LLNormaali"/>
      </w:pPr>
    </w:p>
    <w:p w:rsidR="008A0B0A" w:rsidRPr="007E23E2" w:rsidRDefault="008A0B0A" w:rsidP="00C245D5">
      <w:pPr>
        <w:pStyle w:val="LLPykala"/>
        <w:keepNext/>
      </w:pPr>
      <w:r>
        <w:t>Articolul 23</w:t>
      </w:r>
    </w:p>
    <w:p w:rsidR="008A0B0A" w:rsidRPr="007E23E2" w:rsidRDefault="008A0B0A" w:rsidP="00C245D5">
      <w:pPr>
        <w:pStyle w:val="LLPykalanOtsikko"/>
        <w:keepNext/>
      </w:pPr>
      <w:r>
        <w:t>Masa unui vehicul și a unui ansamblu cu remorcă</w:t>
      </w:r>
    </w:p>
    <w:p w:rsidR="008A0B0A" w:rsidRPr="007E23E2" w:rsidRDefault="008A0B0A" w:rsidP="00C245D5">
      <w:pPr>
        <w:pStyle w:val="LLMomentinJohdantoKappale"/>
        <w:keepNext/>
      </w:pPr>
      <w:r>
        <w:t>Masa unui ansamblu de vehicule condus pe un drum public nu poate depăși următoarele valori:</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ansamblu alcătuit dintr-un autovehicul și o remorcă cu axă centrală</w:t>
      </w:r>
      <w:r>
        <w:tab/>
        <w:t>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w:t>
      </w:r>
      <w:r>
        <w:tab/>
        <w:t>ansamblu alcătuit dintr-un autovehicul și o semiremorcă, ansamblu alcătuit dintr-un autovehicul și o remorcă cu mai multe axe sau ansamblu alcătuit dintr-un vehicul sau un autovehicul și mai multe remorci:</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cu patru axe</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cu cinci axe</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cu șase axe</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cu șapte axe</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cu opt axe</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cu opt axe, dacă cel puțin 65 % din masa remorcii sau masa totală a remorcilor este suportată de axe echipate cu roți </w:t>
      </w:r>
      <w:proofErr w:type="spellStart"/>
      <w:r>
        <w:t>jumelate</w:t>
      </w:r>
      <w:proofErr w:type="spellEnd"/>
      <w:r>
        <w:t xml:space="preserve"> </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cu nouă axe </w:t>
      </w:r>
      <w:r>
        <w:tab/>
        <w:t>69 t</w:t>
      </w:r>
    </w:p>
    <w:p w:rsidR="00427716" w:rsidRPr="007E23E2" w:rsidRDefault="00427716" w:rsidP="00FD11EE">
      <w:pPr>
        <w:pStyle w:val="LLMomentinJohdantoKappale"/>
      </w:pPr>
    </w:p>
    <w:p w:rsidR="00427716" w:rsidRPr="007E23E2" w:rsidRDefault="00427716" w:rsidP="00BB0BC6">
      <w:pPr>
        <w:pStyle w:val="LLMomentinAlakohta"/>
        <w:tabs>
          <w:tab w:val="left" w:pos="6480"/>
        </w:tabs>
        <w:ind w:left="170" w:firstLine="0"/>
      </w:pPr>
      <w:r>
        <w:t>cu cel puțin nouă axe, dacă cel puțin 65 % din masa remorcii sau masa totală a remorcilor este suportată d</w:t>
      </w:r>
      <w:r w:rsidR="00BB0BC6">
        <w:t xml:space="preserve">e axe echipate cu roți </w:t>
      </w:r>
      <w:proofErr w:type="spellStart"/>
      <w:r w:rsidR="00BB0BC6">
        <w:t>jumelate</w:t>
      </w:r>
      <w:proofErr w:type="spellEnd"/>
      <w:r w:rsidR="00BB0BC6">
        <w:tab/>
      </w:r>
      <w:r>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cu 10 axe 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cu cel puțin 11 axe</w:t>
      </w:r>
      <w:r>
        <w:tab/>
        <w:t>76 t</w:t>
      </w:r>
    </w:p>
    <w:p w:rsidR="00582328" w:rsidRPr="007E23E2" w:rsidRDefault="00582328" w:rsidP="00FD11EE">
      <w:pPr>
        <w:pStyle w:val="LLMomentinJohdantoKappale"/>
      </w:pPr>
    </w:p>
    <w:p w:rsidR="008A0B0A" w:rsidRPr="007E23E2" w:rsidRDefault="008A0B0A" w:rsidP="00FC06EC">
      <w:pPr>
        <w:pStyle w:val="LLKappalejako"/>
      </w:pPr>
      <w:r>
        <w:t>Atunci când se calculează numărul de axe specificat la alineatul (1), axa cu masa impusă de mai puțin de cinci tone nu este luată în considerare în ansamblurile cu șase axe sau cu mai multe axe.</w:t>
      </w:r>
    </w:p>
    <w:p w:rsidR="008A0B0A" w:rsidRPr="007E23E2" w:rsidRDefault="008A0B0A" w:rsidP="00FC06EC">
      <w:pPr>
        <w:pStyle w:val="LLKappalejako"/>
      </w:pPr>
      <w:r>
        <w:t>Suma maselor pe boghiul cel mai din spate al unui vehicul tractor și boghiul din față al unei remorci nu poate depăși valoarea obținută adunând 350 kg la 20 de tone pentru fiecare 0,10 metri cu care distanța dintre axele extreme ale remorcii depășește 1,80 metri.</w:t>
      </w:r>
    </w:p>
    <w:p w:rsidR="008A0B0A" w:rsidRPr="007E23E2" w:rsidRDefault="008A0B0A" w:rsidP="00FC06EC">
      <w:pPr>
        <w:pStyle w:val="LLKappalejako"/>
      </w:pPr>
      <w:r>
        <w:t xml:space="preserve">Masa unui ansamblu de vehicule cu o masă care depășește 44 de tone nu poate depăși valoarea obținută adunând 320 kg la 20 tone pentru fiecare 0,10 metri cu care distanța dintre axele extreme ale remorcii sau ansamblul depășește 1,80 metri. Cele enunțate în fraza anterioară se </w:t>
      </w:r>
      <w:r>
        <w:lastRenderedPageBreak/>
        <w:t>aplică, de asemenea, ansamblului de vehicule alcătuit dintr-un vehicul și o semiremorcă ce face parte din ansamblul menționat la alineatul (1) litera (b), dacă masa acestuia depășește 44 de tone.</w:t>
      </w:r>
    </w:p>
    <w:p w:rsidR="008A0B0A" w:rsidRPr="007E23E2" w:rsidRDefault="008A0B0A" w:rsidP="00FC06EC">
      <w:pPr>
        <w:pStyle w:val="LLKappalejako"/>
      </w:pPr>
      <w:r>
        <w:t>Într-un ansamblu de vehicule cu o masă care depășește 40 de tone, distanța dintre axa cea mai din spate a vehiculului și axa din față a unei remorci cu o masă care depășește 10 tone trebuie să fie de cel puțin 3,00 metri.</w:t>
      </w:r>
    </w:p>
    <w:p w:rsidR="008A0B0A" w:rsidRPr="007E23E2" w:rsidRDefault="008A0B0A" w:rsidP="00FC06EC">
      <w:pPr>
        <w:pStyle w:val="LLKappalejako"/>
      </w:pPr>
      <w:r>
        <w:t>Cel puțin 15 % din masa unui ansamblu de vehicule trebuie să fie pe axele motoare ale unui ansamblu alcătuit dintr-un vehicul și una sau mai multe remorci și cel puțin 9 % din masa ansamblului de vehicule trebuie să fie pe axa de direcție a unui vehicul tractor. Dacă masa unui ansamblu de vehicule depășește 68 tone, cel puțin 20 % din masa ansamblului de vehicule trebuie să fie pe axele de direcție.</w:t>
      </w:r>
    </w:p>
    <w:p w:rsidR="008A0B0A" w:rsidRPr="007E23E2" w:rsidRDefault="008A0B0A" w:rsidP="00FC06EC">
      <w:pPr>
        <w:pStyle w:val="LLKappalejako"/>
      </w:pPr>
      <w:r>
        <w:t>Puterea motorului pentru un ansamblu de vehicule cu o masă care depășește 44 de tone trebuie să fie de cel puțin 5 kilowați pe tonă din masa ansamblului.</w:t>
      </w:r>
    </w:p>
    <w:p w:rsidR="008A0B0A" w:rsidRPr="007E23E2" w:rsidRDefault="008A0B0A" w:rsidP="00FC06EC">
      <w:pPr>
        <w:pStyle w:val="LLKappalejako"/>
      </w:pPr>
      <w:r>
        <w:t>Masa ansamblului poate depăși valoarea maximă autorizată menționată la alineatul (1), dacă sunt îndeplinite condițiile prevăzute la articolul 21 alineatul (6) de mai sus, cu condiția ca un autovehicul care utilizează combustibili alternativi indicați la alineatul menționat să facă parte din ansamblu.</w:t>
      </w:r>
    </w:p>
    <w:p w:rsidR="00FD11EE" w:rsidRPr="007E23E2" w:rsidRDefault="00FD11EE" w:rsidP="00F8307A">
      <w:pPr>
        <w:pStyle w:val="LLNormaali"/>
      </w:pPr>
    </w:p>
    <w:p w:rsidR="008A0B0A" w:rsidRPr="007E23E2" w:rsidRDefault="008A0B0A" w:rsidP="00C245D5">
      <w:pPr>
        <w:pStyle w:val="LLPykala"/>
        <w:keepNext/>
      </w:pPr>
      <w:r>
        <w:t>Articolul 23 a</w:t>
      </w:r>
    </w:p>
    <w:p w:rsidR="008A0B0A" w:rsidRPr="007E23E2" w:rsidRDefault="008A0B0A" w:rsidP="00C245D5">
      <w:pPr>
        <w:pStyle w:val="LLPykalanOtsikko"/>
        <w:keepNext/>
      </w:pPr>
      <w:r>
        <w:t>Derogări pentru masa unui ansamblu de vehicule implicat în transportul bunurilor periculoase</w:t>
      </w:r>
    </w:p>
    <w:p w:rsidR="008A0B0A" w:rsidRPr="007E23E2" w:rsidRDefault="008A0B0A" w:rsidP="00FD11EE">
      <w:pPr>
        <w:pStyle w:val="LLMomentinJohdantoKappale"/>
      </w:pPr>
      <w:r>
        <w:t>Prin derogare de la articolul 23 alineatul (1) litera (b), dacă transportul face obiectul Legii privind transportul bunurilor periculoase (719/1994), greutatea maximă autorizată a ansamblului de vehicule este de:</w:t>
      </w:r>
    </w:p>
    <w:p w:rsidR="008A0B0A" w:rsidRPr="007E23E2" w:rsidRDefault="008A0B0A" w:rsidP="00FD11EE">
      <w:pPr>
        <w:pStyle w:val="LLMomentinKohta"/>
      </w:pPr>
      <w:r>
        <w:t>(1) 60 de tone, cu cel puțin șapte axe;</w:t>
      </w:r>
    </w:p>
    <w:p w:rsidR="008A0B0A" w:rsidRPr="007E23E2" w:rsidRDefault="008A0B0A" w:rsidP="00FD11EE">
      <w:pPr>
        <w:pStyle w:val="LLMomentinKohta"/>
      </w:pPr>
      <w:r>
        <w:t>(2) 64 de tone în cazul unui ansamblu alcătuit dintr-un vehicul tractor cu cel puțin trei axe și o semiremorcă cu cel puțin cinci axe;</w:t>
      </w:r>
    </w:p>
    <w:p w:rsidR="008A0B0A" w:rsidRPr="007E23E2" w:rsidRDefault="008A0B0A" w:rsidP="00FD11EE">
      <w:pPr>
        <w:pStyle w:val="LLMomentinKohta"/>
      </w:pPr>
      <w:r>
        <w:t>(3) 68 de tone;</w:t>
      </w:r>
    </w:p>
    <w:p w:rsidR="008A0B0A" w:rsidRPr="007E23E2" w:rsidRDefault="008A0B0A" w:rsidP="00582328">
      <w:pPr>
        <w:pStyle w:val="LLMomentinAlakohta"/>
      </w:pPr>
      <w:r>
        <w:t>(a) dacă un ansamblu de vehicule are cel puțin opt axe și vehiculul tractor al ansamblului are cel puțin patru axe; sau</w:t>
      </w:r>
    </w:p>
    <w:p w:rsidR="008A0B0A" w:rsidRPr="007E23E2" w:rsidRDefault="008A0B0A" w:rsidP="00FD11EE">
      <w:pPr>
        <w:pStyle w:val="LLMomentinAlakohta"/>
      </w:pPr>
      <w:r>
        <w:t>(b) dacă vehiculul tractor al unui ansamblu de vehicule are cel puțin trei axe și ansamblul vizat cuprinde un autovehicul cu cel puțin opt axe și două semiremorci.</w:t>
      </w:r>
    </w:p>
    <w:p w:rsidR="008A0B0A" w:rsidRPr="007E23E2" w:rsidRDefault="008A0B0A" w:rsidP="00FD11EE">
      <w:pPr>
        <w:pStyle w:val="LLMomentinAlakohta"/>
      </w:pPr>
      <w:r>
        <w:t xml:space="preserve">În cazul ansamblurilor de vehicule cu maximum opt axe cu o masă de maximum 64 de tone, cel puțin 65 % din masa remorcii sau masa totală a remorcilor este suportată de axele cu roți </w:t>
      </w:r>
      <w:proofErr w:type="spellStart"/>
      <w:r>
        <w:t>jumelate</w:t>
      </w:r>
      <w:proofErr w:type="spellEnd"/>
      <w:r>
        <w:t>. Cu toate acestea, cerința nu se aplică transportului de substanțe periculoase în cisterne în cazul în care cantitatea de substanțe periculoase transportate depășește 5 tone.</w:t>
      </w:r>
    </w:p>
    <w:p w:rsidR="008A0B0A" w:rsidRPr="007E23E2" w:rsidRDefault="008A0B0A" w:rsidP="00FD11EE">
      <w:pPr>
        <w:pStyle w:val="LLMomentinAlakohta"/>
      </w:pPr>
      <w:r>
        <w:t>Dispozițiile de la alineatele (1) și (2) nu se aplică transportului de bunuri ambalate, în cazul în care cantitatea substanțelor periculoase care sunt transportate nu depășesc limitele prevăzute sau stipulate în conformitate cu legea menționată la alineatul (1) și care se referă la scutirile legate de cantitatea transportată într-o unitate de transport.</w:t>
      </w:r>
    </w:p>
    <w:p w:rsidR="00FD11EE" w:rsidRPr="007E23E2" w:rsidRDefault="00FD11EE" w:rsidP="00FD11EE">
      <w:pPr>
        <w:pStyle w:val="LLNormaali"/>
      </w:pPr>
    </w:p>
    <w:p w:rsidR="008A0B0A" w:rsidRPr="007E23E2" w:rsidRDefault="008A0B0A" w:rsidP="00C245D5">
      <w:pPr>
        <w:pStyle w:val="LLPykala"/>
        <w:keepNext/>
      </w:pPr>
      <w:r>
        <w:t>Articolul 24</w:t>
      </w:r>
    </w:p>
    <w:p w:rsidR="008A0B0A" w:rsidRPr="007E23E2" w:rsidRDefault="008A0B0A" w:rsidP="00C245D5">
      <w:pPr>
        <w:pStyle w:val="LLPykalanOtsikko"/>
        <w:keepNext/>
      </w:pPr>
      <w:r>
        <w:t>Lungimea vehiculului, remorcii sau ansamblului alcătuit din acestea</w:t>
      </w:r>
    </w:p>
    <w:p w:rsidR="008A0B0A" w:rsidRPr="007E23E2" w:rsidRDefault="008A0B0A" w:rsidP="00C245D5">
      <w:pPr>
        <w:pStyle w:val="LLMomentinJohdantoKappale"/>
        <w:keepNext/>
      </w:pPr>
      <w:r>
        <w:t>Lungimea vehiculului nu poate depăși următoarele valori:</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103"/>
        <w:gridCol w:w="1243"/>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autobuz sau autocar (categoriile M</w:t>
            </w:r>
            <w:r>
              <w:rPr>
                <w:vertAlign w:val="subscript"/>
              </w:rPr>
              <w:t>2</w:t>
            </w:r>
            <w:r>
              <w:t xml:space="preserve"> și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lastRenderedPageBreak/>
              <w:t>totuși, cu cel puțin trei axe</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totuși, dacă este articulat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totuși, dacă vehiculul articulat are mai mult de o secțiune articulată</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alt autovehicul</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Lungimea remorcii nu poate depăși următoarele valori:</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distanța dintre axa verticală a arborelui vertical și punctul cel mai din spate al remorcii</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 xml:space="preserve">(2) în cazul unei remorci cu mai multe osii din cadrul unui ansamblu de vehicule </w:t>
            </w:r>
            <w:r w:rsidR="007F14F3">
              <w:t>cu o lungime mai mare de 22,00 </w:t>
            </w:r>
            <w:r>
              <w:t>metri, distanța dintre punctul de întoarcere al axelor frontale și punctul cel mai din spate al remorcii</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de la axa verticală a arborelui vertical sau punctul de întoarcere al axelor frontale menționate la alineatele (1) și (2) față de orice punct din fața punctului vizat, excluzând bara de tracțiune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orice remorcă, alta decât cele menționate la alineatul (1) sau (2), excluzând bara de tracțiune</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Lungimea ansamblului de vehicule nu poate depăși următoarele valori:</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ansamblul alcătuit dintr-un vehicul de pasageri sau un autobuz (categoria M) și o semiremorcă, precum și ansamblul alcătuit dintr-o camionetă (categoria N</w:t>
            </w:r>
            <w:r>
              <w:rPr>
                <w:vertAlign w:val="subscript"/>
              </w:rPr>
              <w:t>1</w:t>
            </w:r>
            <w:r>
              <w:t xml:space="preserve">) și o remorcă, alta decât o semiremorcă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(2) ansamblul alcătuit dintr-un vehicul de pasageri (categoria M</w:t>
            </w:r>
            <w:r>
              <w:rPr>
                <w:vertAlign w:val="subscript"/>
              </w:rPr>
              <w:t>1</w:t>
            </w:r>
            <w:r>
              <w:t>) sau o camionetă (categoria N</w:t>
            </w:r>
            <w:r>
              <w:rPr>
                <w:vertAlign w:val="subscript"/>
              </w:rPr>
              <w:t>1</w:t>
            </w:r>
            <w:r>
              <w:t>) sau un camion din categoria N</w:t>
            </w:r>
            <w:r>
              <w:rPr>
                <w:vertAlign w:val="subscript"/>
              </w:rPr>
              <w:t>2</w:t>
            </w:r>
            <w:r>
              <w:t xml:space="preserve"> și o semiremorcă, precum și orice alt ansamblu de vehicule decât cele menționate la alineatele (1), (3), (4) sau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ansamblul alcătuit dintr-un camion din categoria N</w:t>
            </w:r>
            <w:r>
              <w:rPr>
                <w:vertAlign w:val="subscript"/>
              </w:rPr>
              <w:t>3</w:t>
            </w:r>
            <w:r>
              <w:t xml:space="preserve"> și o semiremorcă</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ansamblul alcătuit dintr-un autovehicul, altul decât cele menționate la litera (a) și o remorcă cu axă centrală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ansamblul alcătuit dintr-un camion (categoriile N</w:t>
            </w:r>
            <w:r>
              <w:rPr>
                <w:vertAlign w:val="subscript"/>
              </w:rPr>
              <w:t>2</w:t>
            </w:r>
            <w:r>
              <w:t xml:space="preserve"> și N</w:t>
            </w:r>
            <w:r>
              <w:rPr>
                <w:vertAlign w:val="subscript"/>
              </w:rPr>
              <w:t>3</w:t>
            </w:r>
            <w:r>
              <w:t xml:space="preserve">), altul decât cel prevăzut la alineatele (2), (3) sau (4) și una sau mai multe remorci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din care suma lungimilor interioare a zonei de încărcare din spatele cabinei din vehiculul tractor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În cazul în care un autobuz sau un autocar este echipat cu echipamente detașabile, precum o cutie de schi, lungimea autobuzului sau a autocarului și a echipamentului atașat nu pot să depășească dimensiunile prevăzute la acest punct.</w:t>
      </w:r>
    </w:p>
    <w:p w:rsidR="008A0B0A" w:rsidRPr="007E23E2" w:rsidRDefault="008A0B0A" w:rsidP="00EB55F3">
      <w:pPr>
        <w:pStyle w:val="LLKappalejako"/>
      </w:pPr>
      <w:r>
        <w:t xml:space="preserve">Vehiculele sau ansamblurile de vehicule echipate cu echipamentele aerodinamice menționate la articolul 8 litera (b) din Directiva privind dimensiunea și greutatea pot depăși dimensiunile menționate la acest punct, cu excepția lungimilor interne ale zonei de încărcare, cu condiția ca cerințele prevăzute în directivă să fie îndeplinite. Depășirea dimensiunilor este permisă numai dacă acest lucru este necesar pentru cuplarea de astfel de echipamente în spatele unui vehicul </w:t>
      </w:r>
      <w:r>
        <w:lastRenderedPageBreak/>
        <w:t>sau al unui ansamblu de vehicule și acest lucru nu poate avea ca rezultat o creștere a dimensiunii zonei de încărcare.</w:t>
      </w:r>
    </w:p>
    <w:p w:rsidR="008A0B0A" w:rsidRPr="007E23E2" w:rsidRDefault="008A0B0A" w:rsidP="00EB55F3">
      <w:pPr>
        <w:pStyle w:val="LLKappalejako"/>
      </w:pPr>
      <w:r>
        <w:t>Vehiculele sau ansamblurile de vehicule echipate cu cabine, menționate la articolul 9 a din Directiva privind dimensiunea și greutatea, pot depăși dimensiunile menționate la acest punct, cu excepția lungimilor interne ale zonei de încărcare, cu condiția ca cerințele prevăzute în directivă să fie îndeplinite. Depășirea dimensiunilor nu poate avea ca rezultat o creștere a dimensiunii zonei de încărcare.</w:t>
      </w:r>
    </w:p>
    <w:p w:rsidR="008A0B0A" w:rsidRPr="007E23E2" w:rsidRDefault="008A0B0A" w:rsidP="00EB55F3">
      <w:pPr>
        <w:pStyle w:val="LLKappalejako"/>
      </w:pPr>
      <w:r>
        <w:t xml:space="preserve">Dimensiunile prevăzute la acest punct pot fi depășite cu 15 cm de o remorcă sau de un ansamblu de vehicule care este utilizat(ă) pentru a transporta un container cu o lungime de 45 de picioare sau o cutie mobilă cu o lungime de 45 de picioare ca parte dintr-un transport </w:t>
      </w:r>
      <w:proofErr w:type="spellStart"/>
      <w:r>
        <w:t>intermodal</w:t>
      </w:r>
      <w:proofErr w:type="spellEnd"/>
      <w:r>
        <w:t>, astfel cum se menționează la articolul 2 din Directiva privind dimensiunea și greutatea.</w:t>
      </w:r>
    </w:p>
    <w:p w:rsidR="008A0B0A" w:rsidRPr="007E23E2" w:rsidRDefault="008A0B0A" w:rsidP="00EB55F3">
      <w:pPr>
        <w:pStyle w:val="LLMomentinJohdantoKappale"/>
      </w:pPr>
      <w:r>
        <w:t>Vehiculele sau anexele utilizate pentru încărcare pot fi atașate în spatele zonei de încărcare a vehiculelor utilizate pentru transportul de bunuri chiar dacă vehiculul sau ansamblul de vehicule vizat depășește lungimea maximă autorizată în cazul în care:</w:t>
      </w:r>
    </w:p>
    <w:p w:rsidR="008A0B0A" w:rsidRPr="007E23E2" w:rsidRDefault="008A0B0A" w:rsidP="00921B70">
      <w:pPr>
        <w:pStyle w:val="LLMomentinKohta"/>
      </w:pPr>
      <w:r>
        <w:t>(1) zona utilizată pentru transportul bunurilor nu va fi mărită;</w:t>
      </w:r>
    </w:p>
    <w:p w:rsidR="008A0B0A" w:rsidRPr="007E23E2" w:rsidRDefault="008A0B0A" w:rsidP="00921B70">
      <w:pPr>
        <w:pStyle w:val="LLMomentinKohta"/>
      </w:pPr>
      <w:r>
        <w:t>(2) orice altă dimensiune generală autorizată cu excepția lungimii nu este depășită;</w:t>
      </w:r>
    </w:p>
    <w:p w:rsidR="008A0B0A" w:rsidRPr="007E23E2" w:rsidRDefault="008A0B0A" w:rsidP="00921B70">
      <w:pPr>
        <w:pStyle w:val="LLMomentinKohta"/>
      </w:pPr>
      <w:r>
        <w:t>(3) lățimea vehiculului utilizat pentru transportul bunurilor nu este depășită;</w:t>
      </w:r>
    </w:p>
    <w:p w:rsidR="008A0B0A" w:rsidRPr="007E23E2" w:rsidRDefault="008A0B0A" w:rsidP="00921B70">
      <w:pPr>
        <w:pStyle w:val="LLMomentinKohta"/>
      </w:pPr>
      <w:r>
        <w:t xml:space="preserve">(4) vehiculul la care este atașat un vehicul sau o anexă conform prezentului document îndeplinește cerințele prevăzute sau stipulate pentru acesta din punctul de vedere al protecției </w:t>
      </w:r>
      <w:proofErr w:type="spellStart"/>
      <w:r>
        <w:t>antiîncastrare</w:t>
      </w:r>
      <w:proofErr w:type="spellEnd"/>
      <w:r>
        <w:t xml:space="preserve"> frontală;</w:t>
      </w:r>
    </w:p>
    <w:p w:rsidR="008A0B0A" w:rsidRPr="007E23E2" w:rsidRDefault="008A0B0A" w:rsidP="00921B70">
      <w:pPr>
        <w:pStyle w:val="LLMomentinKohta"/>
      </w:pPr>
      <w:r>
        <w:t>(5) cerințele privind vizibilitatea și unghiurile de vizibilitate ale luminilor și numărul de înmatriculare din spate sunt îndeplinite fie de propriile lumini ale vehiculului și de numărul de înmatriculare al acestuia sau de lumini suplimentare și de numărul de înmatriculare prevăzut în acest scop; și</w:t>
      </w:r>
    </w:p>
    <w:p w:rsidR="008A0B0A" w:rsidRPr="007E23E2" w:rsidRDefault="008A0B0A" w:rsidP="00921B70">
      <w:pPr>
        <w:pStyle w:val="LLMomentinKohta"/>
      </w:pPr>
      <w:r>
        <w:t>(6) un vehicul sau o anexă atașată în spatele vehiculului nu prezintă niciun pericol.</w:t>
      </w:r>
    </w:p>
    <w:p w:rsidR="000E10A2" w:rsidRPr="007E23E2" w:rsidRDefault="000E10A2" w:rsidP="00EB55F3">
      <w:pPr>
        <w:pStyle w:val="LLNormaali"/>
      </w:pPr>
    </w:p>
    <w:p w:rsidR="008A0B0A" w:rsidRPr="007E23E2" w:rsidRDefault="008A0B0A" w:rsidP="00C245D5">
      <w:pPr>
        <w:pStyle w:val="LLPykala"/>
        <w:keepNext/>
      </w:pPr>
      <w:r>
        <w:t>Articolul 26</w:t>
      </w:r>
    </w:p>
    <w:p w:rsidR="008A0B0A" w:rsidRPr="007E23E2" w:rsidRDefault="008A0B0A" w:rsidP="00C245D5">
      <w:pPr>
        <w:pStyle w:val="LLPykalanOtsikko"/>
        <w:keepNext/>
      </w:pPr>
      <w:r>
        <w:t>Manevrabilitatea ansamblurilor de vehicule</w:t>
      </w:r>
    </w:p>
    <w:p w:rsidR="00343150" w:rsidRPr="007E23E2" w:rsidRDefault="008A0B0A" w:rsidP="00D85F19">
      <w:pPr>
        <w:pStyle w:val="LLKappalejako"/>
      </w:pPr>
      <w:r>
        <w:t xml:space="preserve">Un ansamblu alcătuit dintr-un vehicul și o semiremorcă care nu depășește 16,50 metri lungime, un ansamblu alcătuit dintr-o remorcă cu mai multe axe sau o remorcă cu axă centrală care nu depășește 18,75 metri lungime și un vehicul sau un ansamblu menționat la articolul 24 alineatele (5)-(7) trebuie să aibă capacitatea de a efectua manevre pe orice parte pe o traiectorie circulară completă de 360° în interiorul unei zone definite de două cercuri concentrice; cercul exterior trebuie să aibă o rază de 12,50 metri, iar cercul interior o rază de 5,30 metri. Se consideră că un ansamblu cu semiremorcă îndeplinește această cerință dacă distanța de la arborele vertical al celei de a cincea roți până la linia centrală a punților </w:t>
      </w:r>
      <w:proofErr w:type="spellStart"/>
      <w:r>
        <w:t>nedirectoare</w:t>
      </w:r>
      <w:proofErr w:type="spellEnd"/>
      <w:r>
        <w:t xml:space="preserve"> ale boghiului nu este mai mare de</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eastAsia="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unde L este lățimea remorcii.</w:t>
      </w:r>
    </w:p>
    <w:p w:rsidR="008A0B0A" w:rsidRPr="007E23E2" w:rsidRDefault="008A0B0A" w:rsidP="00D85F19">
      <w:pPr>
        <w:pStyle w:val="LLKappalejako"/>
      </w:pPr>
      <w:r>
        <w:t xml:space="preserve">Un ansamblu alcătuit dintr-un vehicul și una sau mai multe remorci cu o lungime mai mare de 18,75 metri trebuie să poată fi întors într-un cerc cu o rază exterioară de 12,50 metri și o rază exterioară de 2,00 metri. În cazul semiremorcii sau al remorcii cu mai multe axe utilizate într-un astfel de ansamblu, distanța de la arborele vertical al celei de a cincea roți sau punctul pivotului grupului frontal de axe până la axa din spate a unei remorci cu o singură axă sau până la linia centrală a grupului din spate de axe </w:t>
      </w:r>
      <w:proofErr w:type="spellStart"/>
      <w:r>
        <w:t>nedirectoare</w:t>
      </w:r>
      <w:proofErr w:type="spellEnd"/>
      <w:r>
        <w:t xml:space="preserve"> ale unei remorci cu mai multe axe nu trebuie să depășească 8,15 metri. Dacă toate axele din spate ale unei remorci sunt axe de direcție sau dacă unele dintre axe sunt punți directoare sau dacă axele din spate cu cea de a cincea roată </w:t>
      </w:r>
      <w:r>
        <w:lastRenderedPageBreak/>
        <w:t>echipată deasupra pot fi mutate în spate în scopul cuplării celei de a doua semiremorci, dimensiunile menționate anterior pot depăși dimensiunile care se încadrează în domeniul de aplicare a dispoziției privind manevrabilitatea specificate la acest alineat.</w:t>
      </w:r>
    </w:p>
    <w:p w:rsidR="008A0B0A" w:rsidRPr="007E23E2" w:rsidRDefault="008A0B0A" w:rsidP="00D85F19">
      <w:pPr>
        <w:pStyle w:val="LLKappalejako"/>
      </w:pPr>
      <w:r>
        <w:t>În locul dispoziției de la punctul 2 de mai sus, un ansamblu alcătuit dintr-un autovehicul și una sau două remorci cu o lungime mai mare de 18,75 metri sau un ansamblu alcătuit dintr-un autovehicul și o semiremorcă cu o lungime mai mare de 16,50 metri se poate întoarce astfel încât atunci când muchia sa exterioară face o întoarcere de 120° într-un cerc cu o rază exterioară de 12,50 metri, muchia interioară a ansamblului face o întoarcere într-un cerc cu o rază de cel puțin 4,00 metri. Orice colț din spatele remorcii nu se poate deplasa cu mai mult de 0,80 metri către cercul exterior atunci când începe întoarcerea. În cazul în care deplasarea laterală a remorcii menționate mai sus este mai mică de 0,85 metri, muchia interioară a ansamblului se poate roti pe un cerc cu raza mai mică de 4,00 metri cu diferența prin care deplasarea laterală a colțului din spate este mai mică de 0,80 metri. Cu toate acestea, muchia interioară a ansamblului trebuie să se poată întoarce pe o rază de cerc de cel puțin 3,7 metri. Informațiile tehnice ale vehiculului și ale ansamblului necesare pentru demonstrarea conformității cu cerințele de manevrabilitate trebuie să se afle la bord pe durata transporturilor.</w:t>
      </w:r>
    </w:p>
    <w:p w:rsidR="008A0B0A" w:rsidRPr="007E23E2" w:rsidRDefault="008A0B0A" w:rsidP="00D85F19">
      <w:pPr>
        <w:pStyle w:val="LLKappalejako"/>
      </w:pPr>
      <w:r>
        <w:t>Dimensiunile de 16,50 metri și 18,75 metri ale ansamblului menționat la punctele 1-3 de mai sus nu țin seama de depășirea dimensiunilor menționate la articolul 24 alineatele (5) și (6).</w:t>
      </w:r>
    </w:p>
    <w:p w:rsidR="00591DDD" w:rsidRPr="007E23E2" w:rsidRDefault="008A0B0A" w:rsidP="00D85F19">
      <w:pPr>
        <w:pStyle w:val="LLKappalejako"/>
      </w:pPr>
      <w:r>
        <w:t xml:space="preserve">Dacă una sau mai multe axe directoare sau </w:t>
      </w:r>
      <w:proofErr w:type="spellStart"/>
      <w:r>
        <w:t>nedirectoare</w:t>
      </w:r>
      <w:proofErr w:type="spellEnd"/>
      <w:r>
        <w:t xml:space="preserve"> ale boghiului sunt echipate cu un elevator de axe, pozițiile elevatoarelor de axe care îmbunătățesc raza de întoarcere la o viteză redusă trebuie să fie luate în considerare atunci când se aplică cerințele specificate la alineatele (1)-(3).</w:t>
      </w:r>
    </w:p>
    <w:p w:rsidR="00591DDD" w:rsidRPr="007E23E2" w:rsidRDefault="00591DDD" w:rsidP="00D85F19">
      <w:pPr>
        <w:pStyle w:val="LLKappalejako"/>
      </w:pPr>
    </w:p>
    <w:p w:rsidR="00591DDD" w:rsidRPr="007E23E2" w:rsidRDefault="00591DDD" w:rsidP="00C245D5">
      <w:pPr>
        <w:pStyle w:val="LLPykala"/>
        <w:keepNext/>
      </w:pPr>
      <w:r>
        <w:t>Articolul 27</w:t>
      </w:r>
    </w:p>
    <w:p w:rsidR="00591DDD" w:rsidRPr="007E23E2" w:rsidRDefault="00591DDD" w:rsidP="00C245D5">
      <w:pPr>
        <w:pStyle w:val="LLPykalanOtsikko"/>
        <w:keepNext/>
      </w:pPr>
      <w:r>
        <w:t>Aplicabilitatea dispozițiilor privind masele și dimensiunile în cazul altor vehicule</w:t>
      </w:r>
    </w:p>
    <w:p w:rsidR="00591DDD" w:rsidRPr="007E23E2" w:rsidRDefault="00591DDD" w:rsidP="00E53F36">
      <w:pPr>
        <w:pStyle w:val="LLKappalejako"/>
      </w:pPr>
      <w:r>
        <w:t xml:space="preserve">Masele și principalele dimensiuni ale vehiculelor și ale ansamblurilor de vehicule, altele decât cele menționate la articolele 20-23, 23 a, 24 și 25, cu excepția derogărilor prevăzute la articolele 27 a și 28-30, fac obiectul dispozițiilor de la articolele 19 a, 20-23, 23 a, 24, 25 și 27 a privind vehiculele cu o structură de deviere minimă. Totuși, articolul 27 a prevede principalele dimensiuni ale motocicletelor, </w:t>
      </w:r>
      <w:proofErr w:type="spellStart"/>
      <w:r>
        <w:t>mopedurilor</w:t>
      </w:r>
      <w:proofErr w:type="spellEnd"/>
      <w:r>
        <w:t xml:space="preserve">, triciclurilor, </w:t>
      </w:r>
      <w:proofErr w:type="spellStart"/>
      <w:r>
        <w:t>cvadriciclurilor</w:t>
      </w:r>
      <w:proofErr w:type="spellEnd"/>
      <w:r>
        <w:t xml:space="preserve"> și </w:t>
      </w:r>
      <w:proofErr w:type="spellStart"/>
      <w:r>
        <w:t>cvadriciclurilor</w:t>
      </w:r>
      <w:proofErr w:type="spellEnd"/>
      <w:r>
        <w:t xml:space="preserve"> ușoare. Cu toate acestea, articolul 24 alineatul (3) punctul 1 și punctele 3-5 nu se aplică ansamblurilor alcătuite dintr-un tractor și o remorcă.</w:t>
      </w:r>
    </w:p>
    <w:p w:rsidR="00591DDD" w:rsidRPr="007E23E2" w:rsidRDefault="00591DDD" w:rsidP="00E53F36">
      <w:pPr>
        <w:pStyle w:val="LLKappalejako"/>
      </w:pPr>
      <w:r>
        <w:t>Masa maximă autorizată a unui vehicul echipat cu șine metalice este de 20 de tone.</w:t>
      </w:r>
    </w:p>
    <w:p w:rsidR="00D85F19" w:rsidRPr="007E23E2" w:rsidRDefault="00D85F19" w:rsidP="00D85F19">
      <w:pPr>
        <w:pStyle w:val="LLNormaali"/>
      </w:pPr>
    </w:p>
    <w:p w:rsidR="008A0B0A" w:rsidRPr="007E23E2" w:rsidRDefault="008A0B0A" w:rsidP="00C245D5">
      <w:pPr>
        <w:pStyle w:val="LLPykala"/>
        <w:keepNext/>
      </w:pPr>
      <w:r>
        <w:t>Articolul 32</w:t>
      </w:r>
    </w:p>
    <w:p w:rsidR="008A0B0A" w:rsidRPr="007E23E2" w:rsidRDefault="008A0B0A" w:rsidP="00C245D5">
      <w:pPr>
        <w:pStyle w:val="LLPykalanOtsikko"/>
        <w:keepNext/>
      </w:pPr>
      <w:r>
        <w:t>Vehicul tractat care urmează să fie cuplat la un vehicul</w:t>
      </w:r>
    </w:p>
    <w:p w:rsidR="008A0B0A" w:rsidRPr="007E23E2" w:rsidRDefault="008A0B0A" w:rsidP="00D85F19">
      <w:pPr>
        <w:pStyle w:val="LLKappalejako"/>
      </w:pPr>
      <w:r>
        <w:t>O remorcă cu axă centrală din categoria O</w:t>
      </w:r>
      <w:r>
        <w:rPr>
          <w:vertAlign w:val="subscript"/>
        </w:rPr>
        <w:t>1</w:t>
      </w:r>
      <w:r>
        <w:t xml:space="preserve"> sau O</w:t>
      </w:r>
      <w:r>
        <w:rPr>
          <w:vertAlign w:val="subscript"/>
        </w:rPr>
        <w:t>2</w:t>
      </w:r>
      <w:r>
        <w:t>, o semiremorcă din categoria O</w:t>
      </w:r>
      <w:r>
        <w:rPr>
          <w:vertAlign w:val="subscript"/>
        </w:rPr>
        <w:t>2</w:t>
      </w:r>
      <w:r>
        <w:t xml:space="preserve"> sau o remorcă cu mai multe osii din categoria O</w:t>
      </w:r>
      <w:r>
        <w:rPr>
          <w:vertAlign w:val="subscript"/>
        </w:rPr>
        <w:t>2</w:t>
      </w:r>
      <w:r>
        <w:t xml:space="preserve"> poate fi cuplată la un vehicul pentru pasageri și la o camionetă (categoriile M</w:t>
      </w:r>
      <w:r>
        <w:rPr>
          <w:vertAlign w:val="subscript"/>
        </w:rPr>
        <w:t>1</w:t>
      </w:r>
      <w:r>
        <w:t xml:space="preserve"> și N</w:t>
      </w:r>
      <w:r>
        <w:rPr>
          <w:vertAlign w:val="subscript"/>
        </w:rPr>
        <w:t>1</w:t>
      </w:r>
      <w:r>
        <w:t>), precum și la un vehicul cu destinație specială. Sistemul de frânare al unei semiremorci sau al unei remorci cu mai multe osii cuplate la un vehicul pentru pasageri sau la o camionetă trebuie să fie compatibil cu o astfel de cuplare și să îndeplinească cerințele tehnice în vigoare în momentul în care remorca a fost pusă în funcțiune pentru prima dată sau la o dată ulterioară. O semiremorcă sau o remorcă cu mai multe osii cuplată la un vehicul pentru pasageri sau la o camionetă și pusă în funcțiune înainte de 1 ianuarie 2011 trebuie să îndeplinească cerințele tehnice pentru sistemele de frânare în vigoare la 1 ianuarie 2011 sau la o dată ulterioară.</w:t>
      </w:r>
    </w:p>
    <w:p w:rsidR="008A0B0A" w:rsidRPr="007E23E2" w:rsidRDefault="008A0B0A" w:rsidP="00D85F19">
      <w:pPr>
        <w:pStyle w:val="LLKappalejako"/>
      </w:pPr>
      <w:r>
        <w:t>O remorcă cu axă centrală sau o remorcă cu mai multe osii cu două axe poate fi cuplată la un autobuz sau autocar (categoriile M2 și M3).</w:t>
      </w:r>
    </w:p>
    <w:p w:rsidR="008A0B0A" w:rsidRPr="007E23E2" w:rsidRDefault="008A0B0A" w:rsidP="00D85F19">
      <w:pPr>
        <w:pStyle w:val="LLMomentinJohdantoKappale"/>
      </w:pPr>
      <w:r>
        <w:lastRenderedPageBreak/>
        <w:t>Următoarele pot fi cuplate la un camion (categoriile N2 și N3):</w:t>
      </w:r>
    </w:p>
    <w:p w:rsidR="008A0B0A" w:rsidRPr="007E23E2" w:rsidRDefault="00591DDD" w:rsidP="00D85F19">
      <w:pPr>
        <w:pStyle w:val="LLMomentinAlakohta"/>
      </w:pPr>
      <w:r>
        <w:t>(1) o semiremorcă;</w:t>
      </w:r>
    </w:p>
    <w:p w:rsidR="008A0B0A" w:rsidRPr="007E23E2" w:rsidRDefault="00591DDD" w:rsidP="00D85F19">
      <w:pPr>
        <w:pStyle w:val="LLMomentinAlakohta"/>
      </w:pPr>
      <w:r>
        <w:t>(2) o remorcă cu axă centrală;</w:t>
      </w:r>
    </w:p>
    <w:p w:rsidR="008A0B0A" w:rsidRPr="007E23E2" w:rsidRDefault="00591DDD" w:rsidP="00D85F19">
      <w:pPr>
        <w:pStyle w:val="LLMomentinAlakohta"/>
      </w:pPr>
      <w:r>
        <w:t>(3) o remorcă cu mai mult osii;</w:t>
      </w:r>
    </w:p>
    <w:p w:rsidR="008A0B0A" w:rsidRPr="007E23E2" w:rsidRDefault="00591DDD" w:rsidP="00D85F19">
      <w:pPr>
        <w:pStyle w:val="LLMomentinAlakohta"/>
      </w:pPr>
      <w:r>
        <w:t>(4) un dispozitiv de tractare de tip „</w:t>
      </w:r>
      <w:proofErr w:type="spellStart"/>
      <w:r>
        <w:t>dolly</w:t>
      </w:r>
      <w:proofErr w:type="spellEnd"/>
      <w:r>
        <w:t>” cu o semiremorcă cuplată la acesta;</w:t>
      </w:r>
    </w:p>
    <w:p w:rsidR="008A0B0A" w:rsidRPr="007E23E2" w:rsidRDefault="00591DDD" w:rsidP="00D85F19">
      <w:pPr>
        <w:pStyle w:val="LLMomentinAlakohta"/>
      </w:pPr>
      <w:r>
        <w:t>(5) o semiremorcă cu o semiremorcă cuplată la aceasta;</w:t>
      </w:r>
    </w:p>
    <w:p w:rsidR="008A0B0A" w:rsidRPr="007E23E2" w:rsidRDefault="00591DDD" w:rsidP="00D85F19">
      <w:pPr>
        <w:pStyle w:val="LLMomentinAlakohta"/>
      </w:pPr>
      <w:r>
        <w:t>(6) o semiremorcă cu o remorcă cu axă centrală cuplată la aceasta;</w:t>
      </w:r>
    </w:p>
    <w:p w:rsidR="008A0B0A" w:rsidRPr="007E23E2" w:rsidRDefault="00591DDD" w:rsidP="00D85F19">
      <w:pPr>
        <w:pStyle w:val="LLMomentinAlakohta"/>
      </w:pPr>
      <w:r>
        <w:t>(7) o semiremorcă cu o remorcă cu mai multe osii cuplată la aceasta;</w:t>
      </w:r>
    </w:p>
    <w:p w:rsidR="008A0B0A" w:rsidRPr="007E23E2" w:rsidRDefault="00591DDD" w:rsidP="00D85F19">
      <w:pPr>
        <w:pStyle w:val="LLMomentinAlakohta"/>
      </w:pPr>
      <w:r>
        <w:t>(8) o semiremorcă cu un dispozitiv de tractare de tip „</w:t>
      </w:r>
      <w:proofErr w:type="spellStart"/>
      <w:r>
        <w:t>dolly</w:t>
      </w:r>
      <w:proofErr w:type="spellEnd"/>
      <w:r>
        <w:t>” cuplată la acesta, care este cuplată la o semiremorcă;</w:t>
      </w:r>
    </w:p>
    <w:p w:rsidR="008A0B0A" w:rsidRPr="007E23E2" w:rsidRDefault="00591DDD" w:rsidP="00D85F19">
      <w:pPr>
        <w:pStyle w:val="LLMomentinAlakohta"/>
      </w:pPr>
      <w:r>
        <w:t>(9) un dispozitiv de tractare de tip „</w:t>
      </w:r>
      <w:proofErr w:type="spellStart"/>
      <w:r>
        <w:t>dolly</w:t>
      </w:r>
      <w:proofErr w:type="spellEnd"/>
      <w:r>
        <w:t>” cu o semiremorcă cuplată la acesta, care are o semiremorcă cuplată la acesta;</w:t>
      </w:r>
    </w:p>
    <w:p w:rsidR="008A0B0A" w:rsidRPr="007E23E2" w:rsidRDefault="00591DDD" w:rsidP="00D85F19">
      <w:pPr>
        <w:pStyle w:val="LLMomentinAlakohta"/>
      </w:pPr>
      <w:r>
        <w:t>(10) o semiremorcă cu o semiremorcă cuplată la aceasta, care are o semiremorcă cuplată la aceasta;</w:t>
      </w:r>
    </w:p>
    <w:p w:rsidR="008A0B0A" w:rsidRPr="007E23E2" w:rsidRDefault="00591DDD" w:rsidP="00D85F19">
      <w:pPr>
        <w:pStyle w:val="LLMomentinAlakohta"/>
      </w:pPr>
      <w:r>
        <w:t>(11) o semiremorcă cu o semiremorcă cuplată la aceasta, care are o remorcă cu axă centrală cuplată la aceasta.</w:t>
      </w:r>
    </w:p>
    <w:p w:rsidR="008A0B0A" w:rsidRPr="007E23E2" w:rsidRDefault="008A0B0A" w:rsidP="00D85F19">
      <w:pPr>
        <w:pStyle w:val="LLMomentinKohta"/>
      </w:pPr>
      <w:r>
        <w:t xml:space="preserve">Dacă lungimea ansamblului de vehicule neîncărcate menționat la alineatul (3) de mai sus depășește 22,00 metri, toate vehiculele din cadrul ansamblului trebuie să aibă un sistem de frânare </w:t>
      </w:r>
      <w:proofErr w:type="spellStart"/>
      <w:r>
        <w:t>antiblocare</w:t>
      </w:r>
      <w:proofErr w:type="spellEnd"/>
      <w:r>
        <w:t>.</w:t>
      </w:r>
    </w:p>
    <w:p w:rsidR="00D85F19" w:rsidRPr="007E23E2" w:rsidRDefault="00D85F19" w:rsidP="00D85F19">
      <w:pPr>
        <w:pStyle w:val="LLNormaali"/>
      </w:pPr>
    </w:p>
    <w:p w:rsidR="008A0B0A" w:rsidRPr="007E23E2" w:rsidRDefault="008A0B0A" w:rsidP="00C245D5">
      <w:pPr>
        <w:pStyle w:val="LLPykala"/>
        <w:keepNext/>
      </w:pPr>
      <w:r>
        <w:t>Articolul 32 a</w:t>
      </w:r>
    </w:p>
    <w:p w:rsidR="008A0B0A" w:rsidRPr="007E23E2" w:rsidRDefault="008A0B0A" w:rsidP="00C245D5">
      <w:pPr>
        <w:pStyle w:val="LLPykalanOtsikko"/>
        <w:keepNext/>
      </w:pPr>
      <w:r>
        <w:t>Masa cuplajului vehiculelor tractate</w:t>
      </w:r>
    </w:p>
    <w:p w:rsidR="00D85F19" w:rsidRPr="007E23E2" w:rsidRDefault="00D85F19" w:rsidP="00D85F19">
      <w:pPr>
        <w:pStyle w:val="LLNormaali"/>
      </w:pPr>
      <w:r>
        <w:t>— — — — — — — — — — — — — — — —</w:t>
      </w:r>
      <w:r w:rsidR="00BB0BC6">
        <w:t xml:space="preserve"> — — — — — — — — — — — — — —</w:t>
      </w:r>
    </w:p>
    <w:p w:rsidR="008A0B0A" w:rsidRPr="007E23E2" w:rsidRDefault="008A0B0A" w:rsidP="00D85F19">
      <w:pPr>
        <w:pStyle w:val="LLKappalejako"/>
      </w:pPr>
      <w:r>
        <w:t>Masa pe boghiu al unei semiremorci nu poate fi mai mare de 1,7 ori masa generală autorizată a unui vehicul tractor.</w:t>
      </w:r>
    </w:p>
    <w:p w:rsidR="008A0B0A" w:rsidRPr="007E23E2" w:rsidRDefault="008A0B0A" w:rsidP="008A0B0A">
      <w:pPr>
        <w:pStyle w:val="LLNormaali"/>
      </w:pPr>
    </w:p>
    <w:p w:rsidR="008A0B0A" w:rsidRPr="007E23E2" w:rsidRDefault="008A0B0A" w:rsidP="00C245D5">
      <w:pPr>
        <w:pStyle w:val="LLPykala"/>
        <w:keepNext/>
      </w:pPr>
      <w:r>
        <w:t>Articolul 32 b</w:t>
      </w:r>
    </w:p>
    <w:p w:rsidR="008A0B0A" w:rsidRPr="007E23E2" w:rsidRDefault="008A0B0A" w:rsidP="00C245D5">
      <w:pPr>
        <w:pStyle w:val="LLPykalanOtsikko"/>
        <w:keepNext/>
      </w:pPr>
      <w:r>
        <w:t>Cerință de stabilitate pentru ansamblurile de vehicule</w:t>
      </w:r>
    </w:p>
    <w:p w:rsidR="008A0B0A" w:rsidRPr="007E23E2" w:rsidRDefault="00D45A9B" w:rsidP="00D85F19">
      <w:pPr>
        <w:pStyle w:val="LLKappalejako"/>
      </w:pPr>
      <w:r>
        <w:t>Un ansamblu de vehicule încărcat la masa generală maximă autorizată menționată la articolul 32 alineatul (3) punctele 7-11 de mai sus trebuie, din punctul de vedere al dimensiunilor, să fie echivalent cu un ansamblu care are o valoare maximă de augmentare de 1,9 pentru viteza verticală de deplasare unghiulară și o valoare maximă de augmentare de 3,95 pentru accelerația laterală măsurată la centrul de masă al sarcinii situate la 1,5 metri deasupra podelei zonei de încărcare și la o viteză de deplasare de 80 kilometri pe oră la teste de condus în conformitate cu standardul ISO 14791 sau în simulări echivalente.</w:t>
      </w:r>
    </w:p>
    <w:p w:rsidR="008A0B0A" w:rsidRPr="007E23E2" w:rsidRDefault="008A0B0A" w:rsidP="00D85F19">
      <w:pPr>
        <w:pStyle w:val="LLKappalejako"/>
      </w:pPr>
      <w:r>
        <w:t>Specificațiile tehnice necesare ale vehiculului trebuie să fie efectuate în timpul transportului pentru a demonstra conformitatea cu cerința de stabilitate specificată la alineatul (1).</w:t>
      </w:r>
    </w:p>
    <w:p w:rsidR="008A0B0A" w:rsidRPr="007E23E2" w:rsidRDefault="008A0B0A" w:rsidP="00D85F19">
      <w:pPr>
        <w:pStyle w:val="LLNormaali"/>
      </w:pPr>
    </w:p>
    <w:p w:rsidR="008A0B0A" w:rsidRPr="007E23E2" w:rsidRDefault="008A0B0A" w:rsidP="00C245D5">
      <w:pPr>
        <w:pStyle w:val="LLPykala"/>
        <w:keepNext/>
      </w:pPr>
      <w:r>
        <w:t>Articolul 33</w:t>
      </w:r>
    </w:p>
    <w:p w:rsidR="008A0B0A" w:rsidRPr="007E23E2" w:rsidRDefault="008A0B0A" w:rsidP="00C245D5">
      <w:pPr>
        <w:pStyle w:val="LLPykalanOtsikko"/>
        <w:keepNext/>
      </w:pPr>
      <w:r>
        <w:t>Cuplarea vehiculelor și remorcilor</w:t>
      </w:r>
    </w:p>
    <w:p w:rsidR="008A0B0A" w:rsidRPr="007E23E2" w:rsidRDefault="008A0B0A" w:rsidP="00D85F19">
      <w:pPr>
        <w:pStyle w:val="LLMomentinJohdantoKappale"/>
      </w:pPr>
      <w:r>
        <w:t>Atunci când o remorcă este cuplată la un vehicul tractor, trebuie să se asigure următoarele:</w:t>
      </w:r>
    </w:p>
    <w:p w:rsidR="008A0B0A" w:rsidRPr="007E23E2" w:rsidRDefault="00357D0C" w:rsidP="00D85F19">
      <w:pPr>
        <w:pStyle w:val="LLMomentinAlakohta"/>
      </w:pPr>
      <w:r>
        <w:t>(1) structurile vehiculului tractor și ale vehiculului tractat nu se află în contact unele cu altele pe durata operațiunilor normale de conducere;</w:t>
      </w:r>
    </w:p>
    <w:p w:rsidR="008A0B0A" w:rsidRPr="007E23E2" w:rsidRDefault="00357D0C" w:rsidP="00D85F19">
      <w:pPr>
        <w:pStyle w:val="LLMomentinAlakohta"/>
      </w:pPr>
      <w:r>
        <w:t>(2) conducătorul auto are un câmp clar de vizibilitate în părțile laterale ale vehiculului și remorcii (remorcilor) și poate observa traficul din spatele acestuia (acestora);</w:t>
      </w:r>
    </w:p>
    <w:p w:rsidR="008A0B0A" w:rsidRPr="007E23E2" w:rsidRDefault="00357D0C" w:rsidP="00D85F19">
      <w:pPr>
        <w:pStyle w:val="LLMomentinAlakohta"/>
      </w:pPr>
      <w:r>
        <w:t>(3) frânele și luminile remorcii (remorcilor) funcționează conform regulamentelor;</w:t>
      </w:r>
    </w:p>
    <w:p w:rsidR="008A0B0A" w:rsidRPr="007E23E2" w:rsidRDefault="00357D0C" w:rsidP="00D85F19">
      <w:pPr>
        <w:pStyle w:val="LLMomentinAlakohta"/>
      </w:pPr>
      <w:r>
        <w:lastRenderedPageBreak/>
        <w:t>(4) frânele pneumatice ale autovehiculului și ale remorcii (remorcilor) au fost ajustate pentru a fi compatibile între ele conform regulamentelor.</w:t>
      </w:r>
    </w:p>
    <w:p w:rsidR="008A0B0A" w:rsidRPr="007E23E2" w:rsidRDefault="008A0B0A" w:rsidP="00D85F19">
      <w:pPr>
        <w:pStyle w:val="LLMomentinAlakohta"/>
      </w:pPr>
      <w:r>
        <w:t>Pe lângă dispozițiile prevăzute la alineatul (1) de mai sus, ansamblul alcătuit dintr-un vehicul și o semiremorcă cu o lungime mai mare de 20,00 de metri și alte ansambluri de vehicule cu o lungime mai mare de 28,00 de metri trebuie să aibă:</w:t>
      </w:r>
    </w:p>
    <w:p w:rsidR="008A0B0A" w:rsidRPr="007E23E2" w:rsidRDefault="00357D0C" w:rsidP="00D85F19">
      <w:pPr>
        <w:pStyle w:val="LLMomentinAlakohta"/>
      </w:pPr>
      <w:r>
        <w:t>(1) dispozitivele pentru vizibilitatea indirectă care permit conducătorului auto să vadă întreaga partea curbei interioare a ansamblului și zona adiacentă în cursul unei întoarceri conform articolului 26 alineatul (2) sau (3) în cazul unei întoarceri în orice parte;</w:t>
      </w:r>
    </w:p>
    <w:p w:rsidR="008A0B0A" w:rsidRPr="007E23E2" w:rsidRDefault="00357D0C" w:rsidP="00D85F19">
      <w:pPr>
        <w:pStyle w:val="LLMomentinAlakohta"/>
      </w:pPr>
      <w:r>
        <w:t>(2) un sistem de frânare de urgență sofisticat și un sistem de avertizare la trecerea involuntară peste liniile de separare a benzilor de circulație în vehiculul tractor;</w:t>
      </w:r>
    </w:p>
    <w:p w:rsidR="008A0B0A" w:rsidRPr="007E23E2" w:rsidRDefault="00357D0C" w:rsidP="00D85F19">
      <w:pPr>
        <w:pStyle w:val="LLMomentinAlakohta"/>
      </w:pPr>
      <w:r>
        <w:t>(3) un sistem electronic de control al stabilității și frâne acționate electric în toate vehiculele din ansamblu;</w:t>
      </w:r>
    </w:p>
    <w:p w:rsidR="008A0B0A" w:rsidRPr="007E23E2" w:rsidRDefault="00357D0C" w:rsidP="00D85F19">
      <w:pPr>
        <w:pStyle w:val="LLMomentinAlakohta"/>
      </w:pPr>
      <w:r>
        <w:t>(4) informațiile privind masa pe fiecare axă și pe fiecare boghiu cu roată motrice; informațiile sunt necesare doar pentru axa frontală a vehiculului tractor, dacă axa este echipată cu suspensie pneumatică.</w:t>
      </w:r>
    </w:p>
    <w:p w:rsidR="008A0B0A" w:rsidRPr="007E23E2" w:rsidRDefault="00357D0C" w:rsidP="00D85F19">
      <w:pPr>
        <w:pStyle w:val="LLMomentinAlakohta"/>
      </w:pPr>
      <w:r>
        <w:t>Cu toate acestea, autovehiculele cu patru sau mai multe axe și vehiculele din categoria N3G nu trebuie să fie echipate cu un sistem de frânare de urgență sofisticat și cu sistemul de avertizare la trecerea involuntară peste liniile de separare menționate la alineatul (2) punctul 2 de mai sus sau un sistem electronic de control al stabilității menționat la punctul 3. De asemenea, nu este necesar un sistem electronic de stabilitate pentru un ansamblu alcătuit dintr-un camion și două semiremorci.</w:t>
      </w:r>
    </w:p>
    <w:p w:rsidR="008A0B0A" w:rsidRPr="007E23E2" w:rsidRDefault="008A0B0A" w:rsidP="00D85F19">
      <w:pPr>
        <w:pStyle w:val="LLKappalejako"/>
      </w:pPr>
      <w:r>
        <w:t>Specificațiile tehnice necesare ale vehiculului trebuie să fie efectuate în timpul transportului pentru a demonstra conformitatea cu cerințele specificate la alineatul (2).</w:t>
      </w:r>
    </w:p>
    <w:p w:rsidR="007E23E2" w:rsidRDefault="007E23E2" w:rsidP="00D85F19">
      <w:pPr>
        <w:pStyle w:val="LLPykala"/>
      </w:pPr>
    </w:p>
    <w:p w:rsidR="008A0B0A" w:rsidRPr="007E23E2" w:rsidRDefault="008A0B0A" w:rsidP="00C245D5">
      <w:pPr>
        <w:pStyle w:val="LLPykala"/>
        <w:keepNext/>
      </w:pPr>
      <w:r>
        <w:t>Articolul 36</w:t>
      </w:r>
    </w:p>
    <w:p w:rsidR="008A0B0A" w:rsidRPr="007E23E2" w:rsidRDefault="008A0B0A" w:rsidP="00C245D5">
      <w:pPr>
        <w:pStyle w:val="LLPykalanOtsikko"/>
        <w:keepNext/>
      </w:pPr>
      <w:r>
        <w:t>Cuplarea vehiculelor tractate la mașini de lucru motorizate și vehicule de teren</w:t>
      </w:r>
    </w:p>
    <w:p w:rsidR="008A0B0A" w:rsidRPr="007E23E2" w:rsidRDefault="008A0B0A" w:rsidP="005542BD">
      <w:pPr>
        <w:pStyle w:val="LLKappalejako"/>
      </w:pPr>
      <w:r>
        <w:t>Un vehicul tractat, o vagonetă sau un dispozitiv tractat similar poate fi cuplat la o mașină de lucru motorizată atunci când vehiculul tractat este utilizat pentru transportul de combustibili și lubrifianți, precum și de echipamente și accesorii de lucru. Masa cuplată a vehiculului tractat nu poate depăși masa neîncărcată a mașinii de lucru motorizate.</w:t>
      </w:r>
    </w:p>
    <w:p w:rsidR="008A0B0A" w:rsidRPr="007E23E2" w:rsidRDefault="008A0B0A" w:rsidP="005542BD">
      <w:pPr>
        <w:pStyle w:val="LLKappalejako"/>
      </w:pPr>
      <w:r>
        <w:t>O mașină de lucru motorizată utilizată ca autovehicul pentru tractare poate fi cuplată la un vehicul (vehicule) tractat(e) pentru a transfera remorci sau containere descărcate sau încărcate atunci când sunt utilizate în port sau zona terminalului.</w:t>
      </w:r>
    </w:p>
    <w:p w:rsidR="008A0B0A" w:rsidRPr="007E23E2" w:rsidRDefault="008A0B0A" w:rsidP="005542BD">
      <w:pPr>
        <w:pStyle w:val="LLKappalejako"/>
      </w:pPr>
      <w:r>
        <w:t xml:space="preserve">O remorcă poate fi </w:t>
      </w:r>
      <w:r w:rsidR="007F14F3">
        <w:t xml:space="preserve">cuplată la un vehicul de teren </w:t>
      </w:r>
      <w:r>
        <w:t>dacă masa cuplată a acesteia nu este mai mare de 1,5 ori masă neîncărcată a vehiculului de teren.</w:t>
      </w:r>
    </w:p>
    <w:p w:rsidR="006E245A" w:rsidRPr="007E23E2" w:rsidRDefault="006E245A" w:rsidP="005542BD">
      <w:pPr>
        <w:pStyle w:val="LLKappalejako"/>
      </w:pPr>
    </w:p>
    <w:p w:rsidR="008A0B0A" w:rsidRPr="007E23E2" w:rsidRDefault="008A0B0A" w:rsidP="00C245D5">
      <w:pPr>
        <w:pStyle w:val="LLPykala"/>
        <w:keepNext/>
      </w:pPr>
      <w:r>
        <w:t>Articolul 45</w:t>
      </w:r>
    </w:p>
    <w:p w:rsidR="008A0B0A" w:rsidRPr="007E23E2" w:rsidRDefault="008A0B0A" w:rsidP="00C245D5">
      <w:pPr>
        <w:pStyle w:val="LLPykalanOtsikko"/>
        <w:keepNext/>
      </w:pPr>
      <w:r>
        <w:t>Transportul de bunuri</w:t>
      </w:r>
    </w:p>
    <w:p w:rsidR="008A0B0A" w:rsidRPr="007E23E2" w:rsidRDefault="008A0B0A" w:rsidP="006E245A">
      <w:pPr>
        <w:pStyle w:val="LLKappalejako"/>
      </w:pPr>
      <w:r>
        <w:t>Un vehicul nu poate fi încărcat astfel încât încărcătura să se extindă lateral în afara caroseriei sau a zonei de încărcare a vehiculului. În cazul în care vehiculul nu are caroserie, încărcătura din zona de încărcare poate depăși lățimea vehiculului măsurată la axa frontală cu maximum 0,35 metri. Cu toate acestea, limita nu se aplică transportului de ambarcațiuni.</w:t>
      </w:r>
    </w:p>
    <w:p w:rsidR="008A0B0A" w:rsidRPr="007E23E2" w:rsidRDefault="008A0B0A" w:rsidP="006E245A">
      <w:pPr>
        <w:pStyle w:val="LLKappalejako"/>
      </w:pPr>
      <w:r>
        <w:t xml:space="preserve">Conform limitelor de lungime maximă autorizată pentru un vehicul și ansambluri de vehicule, încărcătura poate să se extindă în față de la partea frontală cu nu mai mult de un metru și în spate cu nu mai mult de doi metri față de punctul cel mai din spate al vehiculului. Dacă ansamblul de vehicule nu îndeplinește cerința de manevrabilitate specificată la articolul 26 alineatul (1) sau alineatul (2), încărcătura poate, totuși, să se extindă până la partea din spate cu nu mai mult de un metru față de punctul cel mai din spate al vehiculului. Cu toate acestea, </w:t>
      </w:r>
      <w:r>
        <w:lastRenderedPageBreak/>
        <w:t>încărcătura aflată pe un vehicul poate depăși lungimea maximă autorizată până la partea din spate atunci când o remorcă este cuplată la un vehicul. În plus, încărcătura poate depăși lungimea maximă autorizată în timpul transferurilor scurte aferente încărcării și descărcării. Cerința privind depășirea lungimii maxime autorizate este cea conform căreia procedura de încărcare nu constituie niciun risc ca încărcătura prezentă în vehiculul tractor să lovească remorca sau încărcătura prezentă în remorcă. Și în ceea ce privește alte aspecte, procedura de încărcare nu trebuie să constituie un risc pentru siguranța traficului.</w:t>
      </w:r>
    </w:p>
    <w:p w:rsidR="008A0B0A" w:rsidRPr="007E23E2" w:rsidRDefault="008A0B0A" w:rsidP="006E245A">
      <w:pPr>
        <w:pStyle w:val="LLKappalejako"/>
      </w:pPr>
      <w:r>
        <w:t>Masa bunurilor transportate pe plafonul unui vehicul pentru pasageri (categoria M</w:t>
      </w:r>
      <w:r>
        <w:rPr>
          <w:vertAlign w:val="subscript"/>
        </w:rPr>
        <w:t>1</w:t>
      </w:r>
      <w:r>
        <w:t>) nu poate, în limitele maselor autorizate ale vehiculului, să fie mai mare de 10 % din masa neîncărcată a vehiculului.</w:t>
      </w:r>
    </w:p>
    <w:p w:rsidR="008A0B0A" w:rsidRPr="007E23E2" w:rsidRDefault="008A0B0A" w:rsidP="006E245A">
      <w:pPr>
        <w:pStyle w:val="LLKappalejako"/>
      </w:pPr>
      <w:r>
        <w:t>O bicicletă poate fi utilizată pentru a transporta maximum 50 kg de bunuri, și o tricicletă poate fi utilizată pentru a transporta 100 kg de bunuri. Cu toate acestea, pentru o motocicletă destinată transportului de bunuri, masa combinată a persoanelor și a bunurilor, conform masei totale permise de producător, nu poate depăși 250 de kilograme, dacă controlabilitatea motocicletei destinate transportului de bunuri și remorca acesteia sunt asigurate prin roți suplimentare sau dispozitive de frânare sau alte soluții de către producător.</w:t>
      </w:r>
    </w:p>
    <w:p w:rsidR="008A0B0A" w:rsidRPr="007E23E2" w:rsidRDefault="008A0B0A" w:rsidP="006E245A">
      <w:pPr>
        <w:pStyle w:val="LLKappalejako"/>
      </w:pPr>
      <w:r>
        <w:t>Cu excepția transporturilor cu remorca menționate la articolul 36 alienatul (1), o mașină de lucru motorizată nu poate fi utilizată pentru niciun transport de bunuri, altele decât transporturile realizate în incinta în care se desfășoară lucrările și rezultate din utilizarea efectivă preconizată a mașinii de lucru.</w:t>
      </w:r>
    </w:p>
    <w:p w:rsidR="008A0B0A" w:rsidRPr="007E23E2" w:rsidRDefault="008A0B0A" w:rsidP="006E245A">
      <w:pPr>
        <w:pStyle w:val="LLKappalejako"/>
      </w:pPr>
      <w:r>
        <w:t>În cazul unui vehicul electric ușor, masa combinată a persoanelor și a bunurilor poate fi conformă cu masa maximă autorizată de producător, și anume 250 de kilograme.</w:t>
      </w:r>
    </w:p>
    <w:p w:rsidR="008A0B0A" w:rsidRPr="007E23E2" w:rsidRDefault="008A0B0A" w:rsidP="006E245A">
      <w:pPr>
        <w:pStyle w:val="LLMomentinJohdantoKappale"/>
      </w:pPr>
      <w:r>
        <w:t>Masa combinată a persoanelor și a bunurilor nu poate depăși masa maximă autorizată notificată de producător. Cu toate acestea, masa combinată a persoanelor și a bunurilor dintr-un vehicul destinat transportului de bunuri nu poate depăși:</w:t>
      </w:r>
    </w:p>
    <w:p w:rsidR="008A0B0A" w:rsidRPr="007E23E2" w:rsidRDefault="00357D0C" w:rsidP="006E245A">
      <w:pPr>
        <w:pStyle w:val="LLMomentinAlakohta"/>
      </w:pPr>
      <w:r>
        <w:t xml:space="preserve">(1) 375 kilograme în cazul unui </w:t>
      </w:r>
      <w:proofErr w:type="spellStart"/>
      <w:r>
        <w:t>moped</w:t>
      </w:r>
      <w:proofErr w:type="spellEnd"/>
      <w:r>
        <w:t xml:space="preserve"> cu trei roți conceput în scopuri utilitare sau un </w:t>
      </w:r>
      <w:proofErr w:type="spellStart"/>
      <w:r>
        <w:t>cvadrimobil</w:t>
      </w:r>
      <w:proofErr w:type="spellEnd"/>
      <w:r>
        <w:t xml:space="preserve"> ușor în scopuri utilitare;</w:t>
      </w:r>
    </w:p>
    <w:p w:rsidR="008A0B0A" w:rsidRPr="007E23E2" w:rsidRDefault="00357D0C" w:rsidP="006E245A">
      <w:pPr>
        <w:pStyle w:val="LLMomentinAlakohta"/>
      </w:pPr>
      <w:r>
        <w:t>(2) 675 kilograme în cazul unui tractor rutier sau un tractor greu pentru toate tipurile de teren;</w:t>
      </w:r>
    </w:p>
    <w:p w:rsidR="008A0B0A" w:rsidRPr="007E23E2" w:rsidRDefault="00357D0C" w:rsidP="006E245A">
      <w:pPr>
        <w:pStyle w:val="LLMomentinAlakohta"/>
      </w:pPr>
      <w:r>
        <w:t xml:space="preserve">(3) 1 075 kilograme în cazul unui </w:t>
      </w:r>
      <w:proofErr w:type="spellStart"/>
      <w:r>
        <w:t>cvadrimobil</w:t>
      </w:r>
      <w:proofErr w:type="spellEnd"/>
      <w:r>
        <w:t xml:space="preserve"> triciclu comercial sau greu în scopuri utilitare.</w:t>
      </w:r>
    </w:p>
    <w:p w:rsidR="006E245A" w:rsidRPr="007E23E2" w:rsidRDefault="006E245A" w:rsidP="006E245A">
      <w:pPr>
        <w:pStyle w:val="LLNormaali"/>
      </w:pPr>
    </w:p>
    <w:p w:rsidR="008A0B0A" w:rsidRPr="007E23E2" w:rsidRDefault="008A0B0A" w:rsidP="00C245D5">
      <w:pPr>
        <w:pStyle w:val="LLPykala"/>
        <w:keepNext/>
      </w:pPr>
      <w:r>
        <w:t>Articolul 46</w:t>
      </w:r>
    </w:p>
    <w:p w:rsidR="008A0B0A" w:rsidRPr="007E23E2" w:rsidRDefault="008A0B0A" w:rsidP="00C245D5">
      <w:pPr>
        <w:pStyle w:val="LLPykalanOtsikko"/>
        <w:keepNext/>
      </w:pPr>
      <w:r>
        <w:t>Poziționarea încărcăturii</w:t>
      </w:r>
    </w:p>
    <w:p w:rsidR="008A0B0A" w:rsidRPr="007E23E2" w:rsidRDefault="008A0B0A" w:rsidP="006E245A">
      <w:pPr>
        <w:pStyle w:val="LLKappalejako"/>
      </w:pPr>
      <w:r>
        <w:t>Încărcătura trebuie să fie o unitate constitutivă și poziționată cât mai jos posibil. Centrul încărcăturii trebuie să fie cât mai jos posibil și situat în apropiere de axa centrală longitudinală a vehiculului. Într-un ansamblu alcătuit dintr-un vehicul și mai multe remorci, încărcătura trebuie să fie poziționată cât mai aproape posibil de partea frontală, ținând cont de întregul ansamblu. Un vehicul nu poate fi încărcat astfel încât centrul de greutate al vehiculului să fie mai înalt decât este admisibil din punct de vedere tehnic pentru vehiculul respectiv.</w:t>
      </w:r>
    </w:p>
    <w:p w:rsidR="008A0B0A" w:rsidRPr="007E23E2" w:rsidRDefault="008A0B0A" w:rsidP="006E245A">
      <w:pPr>
        <w:pStyle w:val="LLKappalejako"/>
      </w:pPr>
      <w:r>
        <w:t>În măsura în care este posibil, încărcătura va fi susținută pentru accesul frontal în zona de încărcare. Orice parte ascuțită a articolelor din încărcătură va fi orientată spre spate.</w:t>
      </w:r>
    </w:p>
    <w:p w:rsidR="008A0B0A" w:rsidRPr="007E23E2" w:rsidRDefault="008A0B0A" w:rsidP="006E245A">
      <w:pPr>
        <w:pStyle w:val="LLKappalejako"/>
      </w:pPr>
      <w:r>
        <w:t>O remorcă cu axă centrală trebuie încărcată astfel încât să exercite forță descendentă pe dispozitivul de cuplare al unui vehicul tractor. Forța descendentă poate fi de maximum 10 % din masa autorizată impusă pe axele unei remorci sau o forță echivalentă cu masa de 1 000 kilograme, oricare dintre acestea este mai mică. Forța descendentă nu poate depăși forțele autorizate pentru vehiculele cuplate sau dispozitivele de cuplare.</w:t>
      </w:r>
    </w:p>
    <w:p w:rsidR="006E245A" w:rsidRPr="007E23E2" w:rsidRDefault="006E245A" w:rsidP="006E245A">
      <w:pPr>
        <w:pStyle w:val="LLNormaali"/>
      </w:pPr>
    </w:p>
    <w:p w:rsidR="008A0B0A" w:rsidRPr="007E23E2" w:rsidRDefault="008A0B0A" w:rsidP="00C245D5">
      <w:pPr>
        <w:pStyle w:val="LLPykala"/>
        <w:keepNext/>
      </w:pPr>
      <w:r>
        <w:lastRenderedPageBreak/>
        <w:t>Articolul 51 b</w:t>
      </w:r>
    </w:p>
    <w:p w:rsidR="008A0B0A" w:rsidRPr="007E23E2" w:rsidRDefault="008A0B0A" w:rsidP="00C245D5">
      <w:pPr>
        <w:pStyle w:val="LLPykalanOtsikko"/>
        <w:keepNext/>
      </w:pPr>
      <w:r>
        <w:t>Marcajele pentru ansambluri de vehicule lungi</w:t>
      </w:r>
    </w:p>
    <w:p w:rsidR="008A0B0A" w:rsidRPr="007E23E2" w:rsidRDefault="008A0B0A" w:rsidP="006E245A">
      <w:pPr>
        <w:pStyle w:val="LLKappalejako"/>
      </w:pPr>
      <w:r>
        <w:t xml:space="preserve">Un ansamblu de vehicule cu o lungime care depășește 15,5 metri, alcătuit dintr-un camion și o remorcă (mai multe remorci), trebuie să aibă o plăcuță de marcaj comparabilă cu versiunea originală a Regulamentului CEE-ONU nr. 70, astfel cum a fost modificat prin ultimele serii de modificări. Alternativ, o plăcuță de marcaj poate fi aplicată pe ansamblul de vehicule. Dimensiunile acestei plăcuțe de marcaj trebuie să fie de cel puțin 0,30 m x 0,80 m și trebuie să aibă o imagine a unui ansamblu de vehicule de culoare neagră pe un fond </w:t>
      </w:r>
      <w:proofErr w:type="spellStart"/>
      <w:r>
        <w:t>retroreflectorizant</w:t>
      </w:r>
      <w:proofErr w:type="spellEnd"/>
      <w:r>
        <w:t xml:space="preserve"> negru și o margine </w:t>
      </w:r>
      <w:proofErr w:type="spellStart"/>
      <w:r>
        <w:t>retroreflectorizantă</w:t>
      </w:r>
      <w:proofErr w:type="spellEnd"/>
      <w:r>
        <w:t xml:space="preserve"> sau roșu fluorescentă cu o lățime de 25 mm, sub care poate fi indicată lungimea ansamblului.</w:t>
      </w:r>
    </w:p>
    <w:p w:rsidR="008A0B0A" w:rsidRPr="007E23E2" w:rsidRDefault="008A0B0A" w:rsidP="006E245A">
      <w:pPr>
        <w:pStyle w:val="LLKappalejako"/>
      </w:pPr>
      <w:r>
        <w:t xml:space="preserve">În plus față de dispozițiile menționate anterior, prevăzute la alineatul (1) de mai sus, ansamblul alcătuit dintr-un camion și o semiremorcă cu o lungime care depășește 18,75 metri și alte ansambluri de vehicule cu o lungime care depășește 25,25 metri trebuie să aibă marcaje de contur </w:t>
      </w:r>
      <w:proofErr w:type="spellStart"/>
      <w:r>
        <w:t>retroreflectorizante</w:t>
      </w:r>
      <w:proofErr w:type="spellEnd"/>
      <w:r>
        <w:t xml:space="preserve"> pe partea laterală a vehiculelor și lămpi de gabarit opționale, astfel cum sunt prevăzute la punctul 6.13 din Regulamentul CEE-ONU nr. 48, care sunt montate pe ultima remorcă.</w:t>
      </w:r>
    </w:p>
    <w:p w:rsidR="008A0B0A" w:rsidRPr="007E23E2" w:rsidRDefault="008A0B0A" w:rsidP="006E245A">
      <w:pPr>
        <w:pStyle w:val="LLKappalejako"/>
      </w:pPr>
      <w:r>
        <w:t>Un ansamblu de vehicule cu o lungime care depășește 25,25 metri trebuie să aibă o plăcuță de marcaj de cel puțin 0,5 m</w:t>
      </w:r>
      <w:r>
        <w:rPr>
          <w:vertAlign w:val="superscript"/>
        </w:rPr>
        <w:t>2</w:t>
      </w:r>
      <w:r>
        <w:t xml:space="preserve">. Culoarea și caracteristicile </w:t>
      </w:r>
      <w:proofErr w:type="spellStart"/>
      <w:r>
        <w:t>retroreflectorizante</w:t>
      </w:r>
      <w:proofErr w:type="spellEnd"/>
      <w:r>
        <w:t xml:space="preserve"> ale acesteia trebuie să fie în conformitate cu cerințele Regulamentului CEE-ONU nr. 70 și vor afișa cuvântul „PITKÄ” sau cuvântul corespunzător în limba suedeză sau limba engleză, scris cu majuscule cu o înălțime de cel puțin 200 mm. Plăcuța de marcaj trebuie, de asemenea, să conțină informații suplimentare referitoare la lungimea transportului.</w:t>
      </w:r>
    </w:p>
    <w:p w:rsidR="006E245A" w:rsidRPr="007E23E2" w:rsidRDefault="006E245A" w:rsidP="006E245A">
      <w:pPr>
        <w:pStyle w:val="LLNormaali"/>
      </w:pPr>
    </w:p>
    <w:p w:rsidR="008A0B0A" w:rsidRPr="007E23E2" w:rsidRDefault="008A0B0A" w:rsidP="00C245D5">
      <w:pPr>
        <w:pStyle w:val="LLPykala"/>
        <w:keepNext/>
      </w:pPr>
      <w:r>
        <w:t>Articolul 52</w:t>
      </w:r>
    </w:p>
    <w:p w:rsidR="008A0B0A" w:rsidRPr="007E23E2" w:rsidRDefault="008A0B0A" w:rsidP="00C245D5">
      <w:pPr>
        <w:pStyle w:val="LLPykalanOtsikko"/>
        <w:keepNext/>
      </w:pPr>
      <w:r>
        <w:t>Omologarea vehiculelor și a ansamblurilor de vehicule care urmează să fie puse în circulație prin derogare de la dispozițiile privind dimensiunile și masele</w:t>
      </w:r>
    </w:p>
    <w:p w:rsidR="008A0B0A" w:rsidRPr="007E23E2" w:rsidRDefault="008A0B0A" w:rsidP="006E245A">
      <w:pPr>
        <w:pStyle w:val="LLKappalejako"/>
      </w:pPr>
      <w:r>
        <w:t>Agenția finlandeză pentru siguranța transporturilor poate acorda o derogare de la dispozițiile articolelor 20, 21, 23, 23 a, 24-26, 31, 32, 32 a și 32 b unui vehicul motorizat individual sau unui ansamblu de vehicule dacă este necesar în scopul testării unei noi tehnologii, dezvoltării de produse sau din alt motiv special. În plus, scutirea nu trebuie să pună în pericol siguranța rutieră și să nu denatureze concurența. Scutirea poate fi acordată pentru o perioadă fixă și poate fi supusă unor condiții.</w:t>
      </w:r>
    </w:p>
    <w:p w:rsidR="008A0B0A" w:rsidRPr="007E23E2" w:rsidRDefault="006E245A" w:rsidP="008A0B0A">
      <w:pPr>
        <w:pStyle w:val="LLNormaali"/>
      </w:pPr>
      <w:r>
        <w:t>— — — — — — — — — — — — — — — —</w:t>
      </w:r>
      <w:r w:rsidR="00BB0BC6">
        <w:t xml:space="preserve"> — — — — — — — — — — — — — —</w:t>
      </w:r>
    </w:p>
    <w:p w:rsidR="00357D0C" w:rsidRPr="007E23E2" w:rsidRDefault="008A0B0A" w:rsidP="00557B92">
      <w:pPr>
        <w:pStyle w:val="LLKappalejako"/>
      </w:pPr>
      <w:r>
        <w:t>Prezentul decret intră în vigoare la [x] ianuarie 2019.</w:t>
      </w:r>
    </w:p>
    <w:p w:rsidR="008A0B0A" w:rsidRPr="007E23E2" w:rsidRDefault="008A0B0A" w:rsidP="00557B92">
      <w:pPr>
        <w:pStyle w:val="LLKappalejako"/>
      </w:pPr>
      <w:r>
        <w:t>Dacă o remorcă este pusă în circulație înainte de [x] ianuarie 2019, articolul 22 din decret se aplică de la [x] ianuarie 2024.</w:t>
      </w:r>
    </w:p>
    <w:p w:rsidR="008A0B0A" w:rsidRPr="007E23E2" w:rsidRDefault="008A0B0A" w:rsidP="00557B92">
      <w:pPr>
        <w:pStyle w:val="LLKappalejako"/>
      </w:pPr>
      <w:r>
        <w:t>Fără a aduce atingere dispozițiilor prevăzute la articolul 23 alineatul (1) privind masa unui ansamblu alcătuit dintr-un autovehicul și o semiremorcă, dispozițiile privind masa unui autovehicul și a unei semiremorci în vigoare la data intrării în vigoare a prezentului decret se pot aplica unui astfel de ansamblu până la 31 decembrie 2023, dacă remorca a fost pusă în funcțiune înainte de [x] ianuarie 2019.</w:t>
      </w:r>
    </w:p>
    <w:p w:rsidR="008A0B0A" w:rsidRPr="007E23E2" w:rsidRDefault="008A0B0A" w:rsidP="00557B92">
      <w:pPr>
        <w:pStyle w:val="LLKappalejako"/>
      </w:pPr>
      <w:r>
        <w:t>În cazul în care remorca a fost pusă în funcțiune înainte de [x] ianuarie 2019, un ansamblu de vehicule alcătuit dintr-un autovehicul și o remorcă sau mai multe remorci trebuie să îndeplinească cerințele prevăzute la articolul 23 alineatul (3) din decret pentru suma maselor pe boghiul cel mai din spate al vehiculului tractor și boghiul frontal al remorcii începând cu [x] ianuarie 2024.</w:t>
      </w:r>
    </w:p>
    <w:p w:rsidR="008A0B0A" w:rsidRPr="007E23E2" w:rsidRDefault="008A0B0A" w:rsidP="00557B92">
      <w:pPr>
        <w:pStyle w:val="LLKappalejako"/>
      </w:pPr>
      <w:r>
        <w:t xml:space="preserve">În cazul în care un vehicul a fost acceptat în trafic înainte de [x] ianuarie 2019 ca vehicul de transport de încărcătură excepțional pe baza unor dimensiuni sau mase autorizate în vigoare la </w:t>
      </w:r>
      <w:r>
        <w:lastRenderedPageBreak/>
        <w:t>data intrării în vigoare a decretului, un astfel de vehicul poate fi utilizat pentru transportul excepțional de încărcături în temeiul dispozițiilor în vigoare la data intrării în vigoare a decretului.</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Helsinki, [ziua] [luna]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8A4" w:rsidRDefault="00E758A4">
      <w:r>
        <w:separator/>
      </w:r>
    </w:p>
  </w:endnote>
  <w:endnote w:type="continuationSeparator" w:id="0">
    <w:p w:rsidR="00E758A4" w:rsidRDefault="00E7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A66541">
            <w:rPr>
              <w:rStyle w:val="PageNumber"/>
              <w:noProof/>
              <w:sz w:val="22"/>
            </w:rPr>
            <w:t>15</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8A4" w:rsidRDefault="00E758A4">
      <w:r>
        <w:separator/>
      </w:r>
    </w:p>
  </w:footnote>
  <w:footnote w:type="continuationSeparator" w:id="0">
    <w:p w:rsidR="00E758A4" w:rsidRDefault="00E75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37F63"/>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4F3"/>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541"/>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0BC6"/>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64429"/>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758A4"/>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ro-RO"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18</TotalTime>
  <Pages>15</Pages>
  <Words>6648</Words>
  <Characters>37900</Characters>
  <Application>Microsoft Office Word</Application>
  <DocSecurity>0</DocSecurity>
  <Lines>315</Lines>
  <Paragraphs>88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44460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11</cp:revision>
  <cp:lastPrinted>2018-08-17T09:16:00Z</cp:lastPrinted>
  <dcterms:created xsi:type="dcterms:W3CDTF">2018-09-24T10:44:00Z</dcterms:created>
  <dcterms:modified xsi:type="dcterms:W3CDTF">2018-10-08T12:06:00Z</dcterms:modified>
</cp:coreProperties>
</file>