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499" w14:textId="77777777" w:rsidR="001D3DA3" w:rsidRDefault="00AD598F" w:rsidP="008D3E19">
      <w:pPr>
        <w:pStyle w:val="NoSpacing"/>
        <w:spacing w:line="276" w:lineRule="auto"/>
      </w:pPr>
      <w:r>
        <w:t>Il-Ministru għall-Kura Medika,</w:t>
      </w:r>
    </w:p>
    <w:p w14:paraId="4277AAE7" w14:textId="0746FA92" w:rsidR="001D3DA3" w:rsidRDefault="00AD598F" w:rsidP="008D3E19">
      <w:pPr>
        <w:pStyle w:val="NoSpacing"/>
        <w:spacing w:line="276" w:lineRule="auto"/>
        <w:rPr>
          <w:color w:val="000000" w:themeColor="text1"/>
        </w:rPr>
      </w:pPr>
      <w:r>
        <w:t xml:space="preserve"> </w:t>
      </w:r>
      <w:r>
        <w:br/>
        <w:t xml:space="preserve">Wara li kkunsidra: </w:t>
      </w:r>
      <w:r>
        <w:br/>
      </w:r>
    </w:p>
    <w:p w14:paraId="5EC1E4DA" w14:textId="7777777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l-Artikoli 36 u 38 tar-Regolament (UE) Nru 1169/2011 tal-Parlament Ewropew u tal-Kunsill tal-25 ta’ Ottubru 2011 dwar l-għoti ta’ informazzjoni dwar l-ikel lill-konsumaturi, li jemenda r-Regolamenti (KE) Nru 1924/2006 u (KE) Nru 1925/2006 tal-Parlament Ewropew u tal-Kunsill u li jħassar id-Direttiva tal-Kummissjoni 87/250/KEE, id-Direttiva tal-Kunsill 90/496/KEE, id-Direttiva tal-Kummissjoni 1999/10/KE, id-Direttiva 2000/13/KE tal-Parlament Ewropew u tal-Kunsill, id-Direttivi tal-Kummissjoni 2002/67/KE u 2008/5/KE u r-Regolament tal-Kummissjoni (KE) Nru 608/2004 (ĠU 2011 L 304);</w:t>
      </w:r>
    </w:p>
    <w:p w14:paraId="4F7579B4" w14:textId="00829AA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l-Artikoli 8 u 23 tar-Regolament (KE) Nru 1924/2006 tal-Parlament Ewropew u tal-Kunsill tal-20 ta’ Diċembru 2006 dwar indikazzjonijiet dwar in-nutrizzjoni u s-saħħa mogħtija fuq l-ikel (ĠU 2006 L 404);</w:t>
      </w:r>
    </w:p>
    <w:p w14:paraId="2D73B211" w14:textId="2E98BB2D" w:rsidR="00BD77BD" w:rsidRPr="00BD77BD" w:rsidRDefault="00BD77BD" w:rsidP="00BD77BD">
      <w:pPr>
        <w:pStyle w:val="NoSpacing"/>
        <w:numPr>
          <w:ilvl w:val="0"/>
          <w:numId w:val="26"/>
        </w:numPr>
        <w:spacing w:line="276" w:lineRule="auto"/>
        <w:rPr>
          <w:color w:val="000000" w:themeColor="text1"/>
        </w:rPr>
      </w:pPr>
      <w:r>
        <w:t>l-Artikolu 11; l-ewwel u t-tielet paragrafi tad-Digriet tal-Att dwar il-Komoditajiet dwar l-Informazzjoni dwar l-Ikel;</w:t>
      </w:r>
    </w:p>
    <w:p w14:paraId="4A14CCD7" w14:textId="77777777" w:rsidR="00BD77BD" w:rsidRDefault="00BD77BD" w:rsidP="008D3E19">
      <w:pPr>
        <w:pStyle w:val="NoSpacing"/>
        <w:spacing w:line="276" w:lineRule="auto"/>
      </w:pPr>
    </w:p>
    <w:p w14:paraId="03E4380A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65467C1F" w14:textId="77777777" w:rsidR="001D3DA3" w:rsidRDefault="00AD598F" w:rsidP="008D3E19">
      <w:pPr>
        <w:pStyle w:val="NoSpacing"/>
        <w:spacing w:line="276" w:lineRule="auto"/>
      </w:pPr>
      <w:r>
        <w:t>B’dan jordna:</w:t>
      </w:r>
    </w:p>
    <w:p w14:paraId="5C149CB5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1DCCB7BA" w14:textId="77777777" w:rsidR="00EE25A3" w:rsidRDefault="00CB0E9D" w:rsidP="008D3E19">
      <w:pPr>
        <w:pStyle w:val="NoSpacing"/>
        <w:spacing w:line="276" w:lineRule="auto"/>
        <w:rPr>
          <w:color w:val="000000" w:themeColor="text1"/>
        </w:rPr>
      </w:pPr>
      <w:r>
        <w:rPr>
          <w:b/>
        </w:rPr>
        <w:t>Artikolu 1</w:t>
      </w:r>
    </w:p>
    <w:p w14:paraId="51B12A98" w14:textId="77777777" w:rsidR="00EE25A3" w:rsidRDefault="00EE25A3" w:rsidP="008D3E19">
      <w:pPr>
        <w:pStyle w:val="NoSpacing"/>
        <w:spacing w:line="276" w:lineRule="auto"/>
        <w:rPr>
          <w:color w:val="000000" w:themeColor="text1"/>
        </w:rPr>
      </w:pPr>
    </w:p>
    <w:p w14:paraId="14BBE2C3" w14:textId="77777777" w:rsidR="00CB0E9D" w:rsidRPr="00EE25A3" w:rsidRDefault="00CB0E9D" w:rsidP="008D3E19">
      <w:pPr>
        <w:pStyle w:val="NoSpacing"/>
        <w:spacing w:line="276" w:lineRule="auto"/>
      </w:pPr>
      <w:r>
        <w:rPr>
          <w:color w:val="000000" w:themeColor="text1"/>
        </w:rPr>
        <w:t>F’dan ir-regolament, japplikaw it-tifsiriet u d-definizzjonijiet li ġejjin:</w:t>
      </w:r>
    </w:p>
    <w:p w14:paraId="5CF05977" w14:textId="38C5D6EC" w:rsidR="00EE25A3" w:rsidRDefault="004126C3" w:rsidP="00D83FCC">
      <w:pPr>
        <w:pStyle w:val="NoSpacing"/>
        <w:spacing w:line="276" w:lineRule="auto"/>
        <w:rPr>
          <w:color w:val="000000" w:themeColor="text1"/>
        </w:rPr>
      </w:pPr>
      <w:r>
        <w:rPr>
          <w:i/>
          <w:color w:val="000000" w:themeColor="text1"/>
        </w:rPr>
        <w:br/>
        <w:t xml:space="preserve">Nutri-Score: </w:t>
      </w:r>
      <w:r>
        <w:rPr>
          <w:color w:val="000000" w:themeColor="text1"/>
        </w:rPr>
        <w:t>Trademark tal-UE rreġistrata mal-Uffiċċju tal-Proprjetà Intellettwali tal-Unjoni Ewropea minn Santé publique France (l’agence nationale de santé publique);</w:t>
      </w:r>
      <w:r>
        <w:rPr>
          <w:i/>
          <w:color w:val="000000" w:themeColor="text1"/>
        </w:rPr>
        <w:br/>
      </w:r>
      <w:r>
        <w:t xml:space="preserve">Termini tal-Użu: ir-regoli għall-użu ta’ Nutri-Score, ippubblikati fuq </w:t>
      </w:r>
      <w:r>
        <w:rPr>
          <w:b/>
        </w:rPr>
        <w:t>P.M</w:t>
      </w:r>
      <w:r>
        <w:t>, bit-titolu “Kundizzjonijiet għall-użu tal-logo “Nutri-Score”, il-verżjoni tal-10 ta’ Lulju 2020”.</w:t>
      </w:r>
    </w:p>
    <w:p w14:paraId="5A2C51D8" w14:textId="77777777" w:rsidR="008E3830" w:rsidRPr="00F00BDC" w:rsidRDefault="008E3830" w:rsidP="008D3E19">
      <w:pPr>
        <w:pStyle w:val="NoSpacing"/>
        <w:spacing w:line="276" w:lineRule="auto"/>
        <w:rPr>
          <w:color w:val="000000" w:themeColor="text1"/>
        </w:rPr>
      </w:pPr>
    </w:p>
    <w:p w14:paraId="59206417" w14:textId="77777777" w:rsidR="00CB0E9D" w:rsidRPr="00F00BDC" w:rsidRDefault="00CB0E9D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Artikolu 2</w:t>
      </w:r>
    </w:p>
    <w:p w14:paraId="3122E91A" w14:textId="48F9899F" w:rsidR="00EE25A3" w:rsidRDefault="00A17BBC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br/>
        <w:t>Il-logo “Nutri-Score” u l-kundizzjonijiet tal-użu tiegħu għandhom jiġu indikati bħala logo tal-għażla tal-ikel.</w:t>
      </w:r>
      <w:r>
        <w:rPr>
          <w:color w:val="000000" w:themeColor="text1"/>
        </w:rPr>
        <w:br/>
      </w:r>
    </w:p>
    <w:p w14:paraId="235544F7" w14:textId="77777777" w:rsidR="0040278F" w:rsidRPr="003B06DE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19438C41" w14:textId="77777777" w:rsidR="00CB0E9D" w:rsidRPr="003B06DE" w:rsidRDefault="00087490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b/>
          <w:color w:val="000000" w:themeColor="text1"/>
        </w:rPr>
        <w:t>Artikolu 3</w:t>
      </w:r>
    </w:p>
    <w:p w14:paraId="4F6848E4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EC14444" w14:textId="00E19AD1" w:rsidR="008D3E19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t xml:space="preserve">Dan l-Arranġament għandu jidħol fis-seħħ b’effett minn </w:t>
      </w:r>
      <w:r>
        <w:rPr>
          <w:b/>
        </w:rPr>
        <w:t>P.M.</w:t>
      </w:r>
    </w:p>
    <w:p w14:paraId="0764E50F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4B429C5" w14:textId="77777777" w:rsidR="0040278F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EB342AE" w14:textId="77777777" w:rsidR="008D3E19" w:rsidRPr="00EE25A3" w:rsidRDefault="008D3E19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Artikolu 4</w:t>
      </w:r>
    </w:p>
    <w:p w14:paraId="4E11FE6D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235A870C" w14:textId="77777777" w:rsidR="00CB0E9D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Din id-Deċiżjoni għandha tiġi ċċitata bħala: Ir-Regolament tal-Liġi tal-Komoditajiet dwar l-indikazzjoni ta’ logo tal-għażla tal-ikel.</w:t>
      </w:r>
    </w:p>
    <w:p w14:paraId="62FB9CF7" w14:textId="77777777" w:rsidR="00A86455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9C1A61D" w14:textId="77777777" w:rsidR="00CB0E9D" w:rsidRPr="003B06DE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Dan ir-Regolament u n-noti ta’ spjegazzjoni għandhom jiġu ppubblikati fil-Gazzetta tal-Gvern.</w:t>
      </w:r>
    </w:p>
    <w:p w14:paraId="450EA670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5E13F2D9" w14:textId="77777777" w:rsidR="00CB0E9D" w:rsidRDefault="00CB0E9D" w:rsidP="008D3E19">
      <w:pPr>
        <w:pStyle w:val="NoSpacing"/>
        <w:spacing w:line="276" w:lineRule="auto"/>
      </w:pPr>
    </w:p>
    <w:p w14:paraId="3E5858B5" w14:textId="77777777" w:rsidR="0040278F" w:rsidRDefault="0040278F" w:rsidP="008D3E19">
      <w:pPr>
        <w:pStyle w:val="NoSpacing"/>
        <w:spacing w:line="276" w:lineRule="auto"/>
      </w:pPr>
    </w:p>
    <w:p w14:paraId="5E4FE47B" w14:textId="77777777" w:rsidR="001D3DA3" w:rsidRDefault="00972418" w:rsidP="008D3E19">
      <w:pPr>
        <w:pStyle w:val="NoSpacing"/>
        <w:spacing w:line="276" w:lineRule="auto"/>
      </w:pPr>
      <w:r>
        <w:t>Il-Ministru għall-Kura Medika,</w:t>
      </w:r>
    </w:p>
    <w:p w14:paraId="39FD1C86" w14:textId="77777777" w:rsidR="001D3DA3" w:rsidRDefault="001D3DA3" w:rsidP="008D3E19">
      <w:pPr>
        <w:pStyle w:val="NoSpacing"/>
        <w:spacing w:line="276" w:lineRule="auto"/>
      </w:pPr>
    </w:p>
    <w:p w14:paraId="3E3C125A" w14:textId="77777777" w:rsidR="001D3DA3" w:rsidRDefault="001D3DA3" w:rsidP="008D3E19">
      <w:pPr>
        <w:pStyle w:val="NoSpacing"/>
        <w:spacing w:line="276" w:lineRule="auto"/>
      </w:pPr>
    </w:p>
    <w:p w14:paraId="2198E016" w14:textId="77777777" w:rsidR="001D3DA3" w:rsidRDefault="001D3DA3" w:rsidP="008D3E19">
      <w:pPr>
        <w:pStyle w:val="NoSpacing"/>
        <w:spacing w:line="276" w:lineRule="auto"/>
      </w:pPr>
    </w:p>
    <w:p w14:paraId="00D97A39" w14:textId="77777777" w:rsidR="001D3DA3" w:rsidRDefault="001D3DA3" w:rsidP="008D3E19">
      <w:pPr>
        <w:pStyle w:val="NoSpacing"/>
        <w:spacing w:line="276" w:lineRule="auto"/>
      </w:pPr>
    </w:p>
    <w:p w14:paraId="32328219" w14:textId="77777777" w:rsidR="001D3DA3" w:rsidRDefault="00922266" w:rsidP="008D3E19">
      <w:pPr>
        <w:pStyle w:val="NoSpacing"/>
        <w:spacing w:line="276" w:lineRule="auto"/>
      </w:pPr>
      <w:r>
        <w:t>T. van Ark</w:t>
      </w:r>
    </w:p>
    <w:p w14:paraId="56B5C50F" w14:textId="77777777" w:rsidR="0068359E" w:rsidRDefault="0068359E" w:rsidP="008D3E19">
      <w:pPr>
        <w:pStyle w:val="NoSpacing"/>
        <w:spacing w:line="276" w:lineRule="auto"/>
      </w:pPr>
    </w:p>
    <w:p w14:paraId="1655BCD6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  <w:r>
        <w:br w:type="page"/>
      </w:r>
    </w:p>
    <w:p w14:paraId="7A0310FC" w14:textId="77777777" w:rsidR="007374B7" w:rsidRDefault="00CE650A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lastRenderedPageBreak/>
        <w:t>NOTI TA’ SPJEGAZZJONI</w:t>
      </w:r>
      <w:r>
        <w:rPr>
          <w:b/>
        </w:rPr>
        <w:br/>
      </w:r>
    </w:p>
    <w:p w14:paraId="62AF9EB0" w14:textId="77777777" w:rsidR="007374B7" w:rsidRPr="007374B7" w:rsidRDefault="007374B7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t>1. Ġenerali</w:t>
      </w:r>
    </w:p>
    <w:p w14:paraId="522F9288" w14:textId="42F9642B" w:rsidR="00CE650A" w:rsidRDefault="00D83FCC" w:rsidP="00D83FCC">
      <w:pPr>
        <w:pStyle w:val="NoSpacing"/>
        <w:spacing w:line="276" w:lineRule="auto"/>
        <w:rPr>
          <w:i/>
        </w:rPr>
      </w:pPr>
      <w:r>
        <w:rPr>
          <w:i/>
        </w:rPr>
        <w:br/>
        <w:t>Raġuni</w:t>
      </w:r>
    </w:p>
    <w:p w14:paraId="061545D9" w14:textId="77777777" w:rsidR="00CE650A" w:rsidRDefault="00CE650A" w:rsidP="008D3E19">
      <w:pPr>
        <w:pStyle w:val="NoSpacing"/>
        <w:spacing w:line="276" w:lineRule="auto"/>
        <w:rPr>
          <w:i/>
        </w:rPr>
      </w:pPr>
    </w:p>
    <w:p w14:paraId="79255285" w14:textId="29306F1B" w:rsidR="007374B7" w:rsidRDefault="000E5170" w:rsidP="008D3E19">
      <w:pPr>
        <w:pStyle w:val="NoSpacing"/>
        <w:spacing w:line="276" w:lineRule="auto"/>
      </w:pPr>
      <w:r>
        <w:t>Il-Ftehim Nazzjonali dwar il-Prevenzjoni</w:t>
      </w:r>
      <w:r w:rsidR="00125CD6">
        <w:rPr>
          <w:rStyle w:val="FootnoteReference"/>
        </w:rPr>
        <w:footnoteReference w:id="1"/>
      </w:r>
      <w:r>
        <w:t xml:space="preserve"> ġie adottat fit-23 ta’ Novembru 2018. Dan jinkludi ftehimiet li saru mill-gvern u aktar minn 70 parti biex jiġu introdotti miżuri għall-ġlieda kontra l-piż żejjed, it-tipjip u l-abbuż mix-xorb alkoħoliku. Il-firmatarji jinkludu organizzazzjonijiet umbrella tal-kura, organizzazzjonijiet tal-pazjenti, kumpaniji, muniċipalitajiet u istituzzjonijiet edukattivi. Il-Ftehim Nazzjonali dwar il-Prevenzjoni jinkludi għadd ta’ miżuri fil-qasam tan-nutrizzjoni tajba għas-saħħa. Dieta tajba għsa-saħħa hija importanti għal kulħadd, mhux biss għal nies b’piż żejjed. Sabiex tiġi ffaċilitata s-sensibilizzazzjoni tal-konsumaturi dwar għażliet aktar tajbin għas-saħħa, ġie miftiehem fil-Ftehim Nazzjonali dwar il-Prevenzjoni li l-Gvern tan-Netherlands fl-2020 kellu jintroduċi logo ġdid tal-għażla tal-ikel użat b’mod mifrux. </w:t>
      </w:r>
    </w:p>
    <w:p w14:paraId="27DBBD77" w14:textId="77777777" w:rsidR="007374B7" w:rsidRDefault="007374B7" w:rsidP="008D3E19">
      <w:pPr>
        <w:pStyle w:val="NoSpacing"/>
        <w:spacing w:line="276" w:lineRule="auto"/>
      </w:pPr>
    </w:p>
    <w:p w14:paraId="34004F87" w14:textId="77777777" w:rsidR="000E5170" w:rsidRPr="001110B2" w:rsidRDefault="00CE650A" w:rsidP="008D3E19">
      <w:pPr>
        <w:pStyle w:val="NoSpacing"/>
        <w:spacing w:line="276" w:lineRule="auto"/>
      </w:pPr>
      <w:r>
        <w:t>Ir-rekwiżit kien li l-għażla tal-logo għandha tkun ibbażata fuq riċerka soda u indipendenti tal-konsumatur. Tqies ukoll ta’ importanza kbira li l-logo li għandu jintgħażel ikun konsistenti mal-mod kif in-nies jagħmlu l-għażliet tagħhom: il-komprensjoni tal-konsumatur kellha tokkupa pożizzjoni ewlenija. Fl-għażla għandhom jitqiesu wkoll id-Disk Ħamsa u, fl-aħħar nett, għandhom jitqiesu l-iżviluppi Ewropej fil-logos tal-għażla tal-ikel.</w:t>
      </w:r>
    </w:p>
    <w:p w14:paraId="0AF7CAF5" w14:textId="77777777" w:rsidR="000E5170" w:rsidRPr="001110B2" w:rsidRDefault="000E5170" w:rsidP="008D3E19">
      <w:pPr>
        <w:pStyle w:val="NoSpacing"/>
        <w:spacing w:line="276" w:lineRule="auto"/>
      </w:pPr>
    </w:p>
    <w:p w14:paraId="5F31D578" w14:textId="77777777" w:rsidR="000E5170" w:rsidRPr="008D3E19" w:rsidRDefault="000E5170" w:rsidP="008D3E19">
      <w:pPr>
        <w:pStyle w:val="NoSpacing"/>
        <w:spacing w:line="276" w:lineRule="auto"/>
        <w:rPr>
          <w:i/>
        </w:rPr>
      </w:pPr>
      <w:r>
        <w:rPr>
          <w:i/>
        </w:rPr>
        <w:t>Proċess</w:t>
      </w:r>
      <w:r>
        <w:rPr>
          <w:i/>
        </w:rPr>
        <w:br/>
      </w:r>
    </w:p>
    <w:p w14:paraId="15D74CD7" w14:textId="77777777" w:rsidR="004F54A5" w:rsidRDefault="004F54A5" w:rsidP="008D3E19">
      <w:pPr>
        <w:pStyle w:val="NoSpacing"/>
        <w:spacing w:line="276" w:lineRule="auto"/>
      </w:pPr>
      <w:r>
        <w:t>Minn Novembru 2018, il-ħidma bdiet tagħti effett lill-ftehim imsemmi hawn fuq fil-Ftehim Nazzjonali dwar il-Prevenzjoni.</w:t>
      </w:r>
    </w:p>
    <w:p w14:paraId="7FAB8B53" w14:textId="77777777" w:rsidR="001110B2" w:rsidRDefault="0029125D" w:rsidP="008D3E19">
      <w:pPr>
        <w:pStyle w:val="NoSpacing"/>
        <w:spacing w:line="276" w:lineRule="auto"/>
      </w:pPr>
      <w:r>
        <w:t>Fl-elaborazzjoni tal-kundizzjonijiet biex jintgħażel il-logo tal-għażla tal-ikel, ġew ikkonsultati diversi partijiet. L-Assoċjazzjoni tal-Konsumaturi, il-Fondi Kooperattivi tas-Saħħa (Hartstichting, Nierstichting, Diabetesfonds), iċ-Centraal Bureau Levensmiddelenhandel (CBL), il-Federazzjoni tal-Industrija tal-Ikel Netherlandiża (FNLI), Koninklijke Horeca Nederland (KHN), Vereniging Nederlandse Cateraars (Veneca), iċ-Ċentru tan-Nutrizzjoni, ir-RIVM u l-Ministeru tal-Agrikoltura huma involuti fil-proċess tat-teħid tad-deċiżjonijiet.</w:t>
      </w:r>
    </w:p>
    <w:p w14:paraId="730CEA55" w14:textId="77777777" w:rsidR="001110B2" w:rsidRDefault="001110B2" w:rsidP="008D3E19">
      <w:pPr>
        <w:pStyle w:val="NoSpacing"/>
        <w:spacing w:line="276" w:lineRule="auto"/>
      </w:pPr>
    </w:p>
    <w:p w14:paraId="5186B065" w14:textId="16D64986" w:rsidR="00672904" w:rsidRDefault="001110B2" w:rsidP="008D3E19">
      <w:pPr>
        <w:pStyle w:val="NoSpacing"/>
        <w:spacing w:line="276" w:lineRule="auto"/>
      </w:pPr>
      <w:r>
        <w:t>Ir-riċerka indipendenti tal-konsumatur</w:t>
      </w:r>
      <w:r w:rsidR="00A978BD">
        <w:rPr>
          <w:rStyle w:val="FootnoteReference"/>
        </w:rPr>
        <w:footnoteReference w:id="2"/>
      </w:r>
      <w:r>
        <w:t xml:space="preserve"> qabblet tliet logos tal-għażla tal-ikel li bħalissa qed jintużaw fil-pajjiżi Ewropej. Ġie eżaminat sa liema punt dawn il-logos jgħinu lill-konsumaturi jagħmlu għażla aktar tajba għas-saħħa. L-istħarriġ tal-konsumaturi juri li bil-Nutri-Score, il-konsumaturi jistgħu jiġu ggwidati bl-aħjar mod lejn għażliet aktar tajbin għas-saħħa. Fuq l-ixkafef tal-ħwienet, prodotti simili jistgħu jitqabblu faċilment u malajr: mad-daqqa t’għajn, il-konsumaturi jistgħu jaraw liema prodott huwa l-aktar għażla tajba għas-saħħa. Dan jagħmilha aktar faċli biex wieħed jagħmel għażla aktar tajba għas-saħħa. </w:t>
      </w:r>
    </w:p>
    <w:p w14:paraId="3729F3B9" w14:textId="77777777" w:rsidR="00672904" w:rsidRDefault="00672904" w:rsidP="008D3E19">
      <w:pPr>
        <w:pStyle w:val="NoSpacing"/>
        <w:spacing w:line="276" w:lineRule="auto"/>
      </w:pPr>
    </w:p>
    <w:p w14:paraId="5F77E2A9" w14:textId="70D4DAE7" w:rsidR="00672904" w:rsidRDefault="00672904" w:rsidP="008D3E19">
      <w:pPr>
        <w:pStyle w:val="NoSpacing"/>
        <w:spacing w:line="276" w:lineRule="auto"/>
      </w:pPr>
      <w:r>
        <w:lastRenderedPageBreak/>
        <w:t>Madankollu, l-istħarriġ tal-konsumaturi juri wkoll li xi wħud minn dawk li wieġbu ma jibqgħux f’pożizzjoni li jagħmlu l-għażla l-aktar tajba għas-saħħa f’każ ta’ informazzjoni mhux korrispondenti mid-Disk Ħamsa u l-logo. RIVM u ċ-Ċentru tan-Nutrizzjoni wettqu studju dwar Nutri-Score,&amp;LT</w:t>
      </w:r>
      <w:r w:rsidR="00A978BD">
        <w:rPr>
          <w:rStyle w:val="FootnoteReference"/>
        </w:rPr>
        <w:footnoteReference w:id="3"/>
      </w:r>
      <w:r>
        <w:t xml:space="preserve">; fejn ġie konkluż li għal għadd ta’ prodotti f’diversi kategoriji, il-parir nutrittiv tan-Nutri-Score u d-Disk Ħamsa ma jikkorrispondux eżattament. </w:t>
      </w:r>
    </w:p>
    <w:p w14:paraId="153F6129" w14:textId="77777777" w:rsidR="00672904" w:rsidRDefault="00672904" w:rsidP="008D3E19">
      <w:pPr>
        <w:pStyle w:val="NoSpacing"/>
        <w:spacing w:line="276" w:lineRule="auto"/>
      </w:pPr>
    </w:p>
    <w:p w14:paraId="3B7F2DB9" w14:textId="6C31260B" w:rsidR="00A31F7A" w:rsidRDefault="00672904" w:rsidP="00A31F7A">
      <w:pPr>
        <w:pStyle w:val="NoSpacing"/>
        <w:spacing w:line="276" w:lineRule="auto"/>
      </w:pPr>
      <w:r>
        <w:t>Abbażi tar-riżultati tal-investigazzjonijiet u f’koordinazzjoni mal-partijiet imsemmija hawn fuq, is-Segretarju tal-Istat għas-Saħħa, l-Assistenza Soċjali u l-Isport għażel li jindika Nutri-Score bħala logo tal-għażla tal-ikel.&amp;LT</w:t>
      </w:r>
      <w:r w:rsidR="00125CD6">
        <w:rPr>
          <w:rStyle w:val="FootnoteReference"/>
        </w:rPr>
        <w:footnoteReference w:id="4"/>
      </w:r>
      <w:r>
        <w:t xml:space="preserve">; Madankollu, il-kalkolu sottostanti ta’ Nutri-Score jeħtieġ li jiġi adattat b’tali mod li l-logo ikun jista’ jikkawża l-inqas konfużjoni possibbli fost il-konsumaturi Netherlandiżi dwar x’inhi l-għażla l-aktar tajba għas-saħħa. </w:t>
      </w:r>
    </w:p>
    <w:p w14:paraId="1909E528" w14:textId="77777777" w:rsidR="00A31F7A" w:rsidRDefault="00A31F7A" w:rsidP="00A31F7A">
      <w:pPr>
        <w:pStyle w:val="NoSpacing"/>
        <w:spacing w:line="276" w:lineRule="auto"/>
      </w:pPr>
    </w:p>
    <w:p w14:paraId="2BA8E5EE" w14:textId="77777777" w:rsidR="00A31F7A" w:rsidRDefault="00A31F7A" w:rsidP="00A31F7A">
      <w:pPr>
        <w:pStyle w:val="NoSpacing"/>
        <w:spacing w:line="276" w:lineRule="auto"/>
      </w:pPr>
      <w:r>
        <w:t xml:space="preserve">Fil-bidu tal-2020, is-Segretarju tal-Istat informa lill-gvern Franċiż dwar l-għażla ta’ Nutri-Score. In-Netherlands tipparteċipa fil-konsultazzjoni internazzjonali, li fiha jsiru ftehimiet dwar l-implimentazzjoni u l-organizzazzjoni. Kumitat xjentifiku indipendenti jeżamina l-kalkoli wara n-Nutri-Score u għandu l-kompitu li jiżgura li l-kriterji nutrittivi tan-Nutri-Score jkunu allinjati mal-linji gwida nutrittivi tal-pajjiżi parteċipanti. </w:t>
      </w:r>
    </w:p>
    <w:p w14:paraId="0989B05C" w14:textId="4C61DF1D" w:rsidR="00672904" w:rsidRDefault="00672904" w:rsidP="008D3E19">
      <w:pPr>
        <w:pStyle w:val="NoSpacing"/>
        <w:spacing w:line="276" w:lineRule="auto"/>
      </w:pPr>
    </w:p>
    <w:p w14:paraId="409ED4BF" w14:textId="20A36412" w:rsidR="00D83FCC" w:rsidRDefault="00D83FCC" w:rsidP="00D83FCC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i/>
        </w:rPr>
        <w:t>Indikazzjoni ta’ Nutri-Score</w:t>
      </w:r>
    </w:p>
    <w:p w14:paraId="0A5AD5FA" w14:textId="77777777" w:rsidR="00D83FCC" w:rsidRPr="008D3E19" w:rsidRDefault="00D83FCC" w:rsidP="00D83FCC">
      <w:pPr>
        <w:pStyle w:val="NoSpacing"/>
        <w:spacing w:line="276" w:lineRule="auto"/>
        <w:rPr>
          <w:i/>
        </w:rPr>
      </w:pPr>
    </w:p>
    <w:p w14:paraId="39E7DC9E" w14:textId="73E0D864" w:rsidR="00D83FCC" w:rsidRDefault="00D83FCC" w:rsidP="00D83FCC">
      <w:pPr>
        <w:pStyle w:val="NoSpacing"/>
        <w:spacing w:line="276" w:lineRule="auto"/>
      </w:pPr>
      <w:r>
        <w:rPr>
          <w:i/>
        </w:rPr>
        <w:t>Nutri-Score</w:t>
      </w:r>
      <w:r>
        <w:t xml:space="preserve"> huwa logo volontarju tal-għażla tal-ikel li jgħin lill-konsumaturi jagħmlu għażliet aktar tajbin għas-saħħa meta jixtru minn grupp ta’ prodotti. In-</w:t>
      </w:r>
      <w:r>
        <w:rPr>
          <w:i/>
        </w:rPr>
        <w:t>Nutri-Score</w:t>
      </w:r>
      <w:r>
        <w:t xml:space="preserve"> huwa stabbilit billi jiġu assenjati punti għall-ammonti ta’ proteini, fibri, frott, ħxejjex, legumi u ġewż li hemm f’oġġett tal-ikel. Jitnaqqsu punti minn dan il-punteġġ għall-kontenut tal-enerġija (kilokaloriji), il-kwantitajiet taz-zokkor, tax-xaħam saturat u tal-melħ. Abbażi tal-punteġġ totali, prodott jingħata grad ta’ A, B, C, D jew E. A ħadra skura tirrappreżenta l-kompożizzjoni l-aktar tajba għas-saħħa. Il-prodotti b’kompożizzjoni inqas tajba għas-saħħa jingħataw E oranġjo skura. Jekk in-negozji tal-ikel japplikaw in-</w:t>
      </w:r>
      <w:r>
        <w:rPr>
          <w:i/>
        </w:rPr>
        <w:t>Nutri-Score</w:t>
      </w:r>
      <w:r>
        <w:t>, iridu jikkonformaw mal-kundizzjonijiet tal-użu u jqiegħdu l-logo fuq quddiem tal-ikel tagħhom. Dan jgħin lill-konsumaturi jaraw mad-daqqa t’għajn liema prodott huwa l-għażla l-aktar tajba għas-saħħa.</w:t>
      </w:r>
      <w:r>
        <w:br/>
      </w:r>
    </w:p>
    <w:p w14:paraId="023F652F" w14:textId="3742B79E" w:rsidR="00DC7A50" w:rsidRDefault="00D83FCC" w:rsidP="008D3E19">
      <w:pPr>
        <w:pStyle w:val="NoSpacing"/>
        <w:spacing w:line="276" w:lineRule="auto"/>
      </w:pPr>
      <w:r>
        <w:rPr>
          <w:color w:val="333333"/>
        </w:rPr>
        <w:t xml:space="preserve">Din l-iskema tindika </w:t>
      </w:r>
      <w:r>
        <w:rPr>
          <w:i/>
          <w:color w:val="333333"/>
        </w:rPr>
        <w:t>Nutri-Score</w:t>
      </w:r>
      <w:r>
        <w:rPr>
          <w:color w:val="333333"/>
        </w:rPr>
        <w:t xml:space="preserve"> bħala logo tal-għażla tal-ikel. </w:t>
      </w:r>
      <w:r>
        <w:rPr>
          <w:color w:val="000000" w:themeColor="text1"/>
        </w:rPr>
        <w:t>It-termini tal-użu għandhom jiġu ppubblikati fuq sit web aċċessibbli għall-intraprendituri u l-pubbliku ġenerali.</w:t>
      </w:r>
      <w:r>
        <w:rPr>
          <w:color w:val="333333"/>
        </w:rPr>
        <w:t xml:space="preserve"> It-termini tal-użu jiddikjaraw li meta jintuża l-logo Nutri-Score, għandhom jiġu osservati r-rekwiżiti tal-karta grafika. Il-karta grafika timponi rekwiżiti fuq il-qisien tal-logo, l-użu tal-kulur u t-tqegħid tal-logo fuq l-imballaġġ u l-materjali tal-komunikazzjoni. </w:t>
      </w:r>
    </w:p>
    <w:p w14:paraId="736891C2" w14:textId="77777777" w:rsidR="0040278F" w:rsidRDefault="0040278F" w:rsidP="008D3E19">
      <w:pPr>
        <w:pStyle w:val="NoSpacing"/>
        <w:spacing w:line="276" w:lineRule="auto"/>
      </w:pPr>
    </w:p>
    <w:p w14:paraId="7394EBF4" w14:textId="2C420781" w:rsidR="00602B7B" w:rsidRPr="00311799" w:rsidRDefault="00E8090B" w:rsidP="008D3E19">
      <w:pPr>
        <w:pStyle w:val="NoSpacing"/>
        <w:spacing w:line="276" w:lineRule="auto"/>
      </w:pPr>
      <w:r>
        <w:t xml:space="preserve">Peress li l-logo mhuwiex obbligatorju, in-negozji tal-ikel jistgħu jikkunsidraw li jużaw </w:t>
      </w:r>
      <w:r>
        <w:rPr>
          <w:i/>
        </w:rPr>
        <w:t>Nutri-Score</w:t>
      </w:r>
      <w:r>
        <w:t xml:space="preserve"> bħala logo tal-għażla tal-ikel. Jekk negozju tal-ikel jagħżel li jagħmel dan, għandu jikkonforma mar-rekwiżiti stabbiliti fil-kundizzjonijiet tal-użu. </w:t>
      </w:r>
      <w:r>
        <w:rPr>
          <w:rStyle w:val="Marker"/>
          <w:color w:val="000000" w:themeColor="text1"/>
        </w:rPr>
        <w:lastRenderedPageBreak/>
        <w:t xml:space="preserve">Nutri-Score hija trademark tal-Unjoni Ewropea rreġistrata mill-proprjetarju Santé publique France (l’agence nationale de santé publique) mal-Uffiċċju tal-Proprjetà Intellettwali tal-Unjoni Ewropea (EUIPO). Meta jiġi applikat il-logo Nutri-Score, mhux biss għandhom jiġu osservati l-kundizzjonijiet tal-użu tat-trademark mill-proprjetarju tat-trademark, iżda għandhom jitqiesu wkoll </w:t>
      </w:r>
      <w:r>
        <w:t>ir-regoli ġenerali dwar il-protezzjoni tat-trademarks li għandhom jiġu rrispettati fl-oqsma tad-dritt dwar it-trademarks, id-dritt dwar il-kummerċ ġust u d-dritt kriminali.</w:t>
      </w:r>
    </w:p>
    <w:p w14:paraId="332CDBD7" w14:textId="77777777" w:rsidR="00820C71" w:rsidRDefault="00820C71" w:rsidP="008D3E19">
      <w:pPr>
        <w:pStyle w:val="NoSpacing"/>
        <w:spacing w:line="276" w:lineRule="auto"/>
        <w:rPr>
          <w:i/>
        </w:rPr>
      </w:pPr>
    </w:p>
    <w:p w14:paraId="5AFA85AB" w14:textId="7C26A1A6" w:rsidR="00602B7B" w:rsidRPr="008D3E19" w:rsidRDefault="00BC191E" w:rsidP="008D3E19">
      <w:pPr>
        <w:pStyle w:val="NoSpacing"/>
        <w:spacing w:line="276" w:lineRule="auto"/>
        <w:rPr>
          <w:i/>
        </w:rPr>
      </w:pPr>
      <w:r>
        <w:rPr>
          <w:i/>
        </w:rPr>
        <w:t>Qafas legali nazzjonali</w:t>
      </w:r>
    </w:p>
    <w:p w14:paraId="57E6E4A9" w14:textId="230342F8" w:rsidR="00D8085E" w:rsidRPr="00A92440" w:rsidRDefault="004336A6" w:rsidP="008D3E19">
      <w:pPr>
        <w:pStyle w:val="NoSpacing"/>
        <w:spacing w:line="276" w:lineRule="auto"/>
      </w:pPr>
      <w:r>
        <w:rPr>
          <w:i/>
        </w:rPr>
        <w:br/>
      </w:r>
      <w:r>
        <w:rPr>
          <w:color w:val="000000" w:themeColor="text1"/>
        </w:rPr>
        <w:t xml:space="preserve">L-Artikolu 1 tad-Digriet tal-Att dwar il-Komoditajiet tal-Ikel jiddefinixxi logo tal-għażla tal-ikel bħala logo li jagħmilha eħfef għall-konsumaturi li jagħżlu ikel li huwa aktar tajjeb għas-saħħa meta mqabbel ma’ ikel simili f’kategorija ta’ prodotti. Skont l-Artikolu 11 tad-Digriet tal-Att dwar il-Komoditajiet tal-Ikel, jista’ jintuża logo tal-għażla tal-ikel fil-kummerċjalizzazzjoni ta’ ikel, sakemm jiġu ssodisfati l-kundizzjonijiet stabbiliti f’dak l-Artikolu. </w:t>
      </w:r>
      <w:r>
        <w:t>Fl-2021, hija prevista emenda għad-Digriet tal-Att dwar il-Komoditajiet dwar l-Informazzjoni dwar l-Ikel, li ma għadux jirrikjedi li l-industrija tapplika għall-approvazzjoni ta’ logo tal-għażla tal-ikel.</w:t>
      </w:r>
      <w:r>
        <w:rPr>
          <w:color w:val="333333"/>
        </w:rPr>
        <w:t xml:space="preserve"> </w:t>
      </w:r>
      <w:r>
        <w:t>Fiż-żmien tal-ittra ta’ din in-nota ta’ spjegazzjoni, l-</w:t>
      </w:r>
      <w:r>
        <w:rPr>
          <w:color w:val="333333"/>
        </w:rPr>
        <w:t xml:space="preserve">emenda tad-Digriet tal-Att dwar il-Komoditajiet dwar l-Informazzjoni dwar l-Ikel </w:t>
      </w:r>
      <w:r>
        <w:t>kienet għadha ma ġietx ippubblikata fil-Gazzetta Uffiċjali. Il-prinċipju tar-rikonoxximent reċiproku jirrikjedi li Stat Membru tal-UE ma għandux jipprojbixxi l-bejgħ ta’ oġġetti li jkunu ddaħħlu b’mod legali fis-suq fi Stat Membru ieħor tal-UE fit-territorju tiegħu stess abbażi tal-fatt li l-oġġetti ma jissodisfawx ir-regolamenti nazzjonali tiegħu stess. Madankollu, huwa importanti li l-oġġetti minn Stat Membru Ewropew ieħor jipprovdu mill-inqas livell ekwivalenti ta’ protezzjoni. Din il-klawżola ta’ rikonoxximent reċiproku tinsab fl-Artikolu 13d tal-Att dwar il-Komoditajiet. Il-kummerċjalizzazzjoni ta’ oġġetti li joriġinaw fi Stati Membri Ewropej oħra mhijiex ipprojbita fuq il-bażi tar-rekwiżiti stabbiliti f’dan ir-reġim.</w:t>
      </w:r>
    </w:p>
    <w:p w14:paraId="4FDF04AE" w14:textId="77777777" w:rsidR="0073118A" w:rsidRPr="00CA0B75" w:rsidRDefault="0073118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9C36685" w14:textId="77777777" w:rsidR="007E23BC" w:rsidRP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2. Impatt fuq il-piżijiet regolatorji </w:t>
      </w:r>
    </w:p>
    <w:p w14:paraId="1840D7F5" w14:textId="77777777" w:rsidR="007E23BC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AA98B1A" w14:textId="3A78736A" w:rsidR="00130455" w:rsidRPr="00B4175F" w:rsidRDefault="00B4175F" w:rsidP="008D3E19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Il-Bord ta’ Rieżami tal-Piż Regolatorju (ATR) ma għażilx il-fajl għal opinjoni formali peress li ma għandu l-ebda impatt fuq il-piż regolatorju fuq iċ-ċittadini u n-negozji.</w:t>
      </w:r>
      <w:r>
        <w:rPr>
          <w:color w:val="333333"/>
        </w:rPr>
        <w:br/>
      </w:r>
    </w:p>
    <w:p w14:paraId="254A27A8" w14:textId="77777777" w:rsidR="009D6971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>3. Grupp ta’ Konsultazzjoni tal-Att dwar il-Komoditajiet Regolari</w:t>
      </w:r>
    </w:p>
    <w:p w14:paraId="28E02F40" w14:textId="77777777" w:rsidR="0069144E" w:rsidRDefault="0069144E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B816E36" w14:textId="77777777" w:rsidR="00CA0B75" w:rsidRPr="00CA0B75" w:rsidRDefault="009D6971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>Dan l-abbozz ta’ ordni ġie sottomess lill-parteċipanti fil-Grupp ta’ Konsultazzjoni tal-Att dwar il-Komoditajiet Regolari [ROW]</w:t>
      </w:r>
      <w:r w:rsidRPr="00B658D6">
        <w:rPr>
          <w:bCs/>
          <w:vertAlign w:val="superscript"/>
        </w:rPr>
        <w:footnoteReference w:id="5"/>
      </w:r>
      <w:r>
        <w:t xml:space="preserve">. </w:t>
      </w:r>
      <w:r>
        <w:rPr>
          <w:b/>
        </w:rPr>
        <w:t>P.M.</w:t>
      </w:r>
    </w:p>
    <w:p w14:paraId="6F6DDDCA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64E275DB" w14:textId="77777777" w:rsidR="0069144E" w:rsidRDefault="007E23BC" w:rsidP="008E3830">
      <w:pPr>
        <w:pStyle w:val="NoSpacing"/>
        <w:keepNext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>4. Eżegwibbiltà u fattibbiltà</w:t>
      </w:r>
    </w:p>
    <w:p w14:paraId="5ED04CEA" w14:textId="77777777" w:rsidR="00CA0B75" w:rsidRPr="00CA0B75" w:rsidRDefault="002A0E04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br/>
      </w:r>
      <w:r>
        <w:rPr>
          <w:color w:val="333333"/>
        </w:rPr>
        <w:t>Id-disinn ta’ din l-iskema ġie vvalutat mill-NVWA f’termini tal-eżegwibbiltà u l-prevenzjoni tal-frodi.</w:t>
      </w:r>
      <w:r>
        <w:rPr>
          <w:b/>
          <w:color w:val="333333"/>
        </w:rPr>
        <w:t xml:space="preserve"> P.M. </w:t>
      </w:r>
    </w:p>
    <w:p w14:paraId="78239E99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9883B83" w14:textId="77777777" w:rsid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5. Notifika </w:t>
      </w:r>
    </w:p>
    <w:p w14:paraId="4A5FC1AB" w14:textId="77777777" w:rsidR="008E7EEA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569595FC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 xml:space="preserve">Ir-Regolament (KE) Nru 1924/2006 tal-Parlament Ewropew u tal-Kunsill tal-20 ta’ Diċembru 2006 dwar indikazzjonijiet dwar in-nutrizzjoni u s-saħħa mogħtija fuq l-ikel (ĠU 2006 L 404) (minn hawn ’il quddiem: ir-Regolament dwar l-indikazzjonijiet) stabbilixxa prinċipji ġenerali għall-indikazzjonijiet kollha relatati mal-oġġetti tal-ikel. Il-logo tal-għażla tal-ikel </w:t>
      </w:r>
      <w:r>
        <w:rPr>
          <w:i/>
          <w:color w:val="333333"/>
        </w:rPr>
        <w:t>Nutri-Score</w:t>
      </w:r>
      <w:r>
        <w:rPr>
          <w:color w:val="333333"/>
        </w:rPr>
        <w:t xml:space="preserve"> għandu jitqies bħala indikazzjoni dwar in-nutrizzjoni kif imsemmi fl-Artikolu 2(2)(4) ta’ dan ir-Regolament. L-Artikolu 8(1) tar-Regolament dwar l-Indikazzjonijiet jippermetti biss l-indikazzjonijiet dwar in-nutrizzjoni elenkati fl-Anness ta’ dan ir-Regolament. Dawn l-indikazzjonijiet dwar in-nutrizzjoni għandhom dejjem jirrelataw biss mal-ammont ta’ enerġija tal-ikel jew mal-ammont ta’ sustanza jew nutrijent partikolari. Il-logo tal-għażla tal-ikel </w:t>
      </w:r>
      <w:r>
        <w:rPr>
          <w:i/>
          <w:color w:val="333333"/>
        </w:rPr>
        <w:t>Nutri-Score</w:t>
      </w:r>
      <w:r>
        <w:rPr>
          <w:color w:val="333333"/>
        </w:rPr>
        <w:t xml:space="preserve"> mhuwiex xieraq li jiżdied ma’ dan l-Anness għal dan l-iskop: meta jiġi kkalkulat in-</w:t>
      </w:r>
      <w:r>
        <w:rPr>
          <w:i/>
          <w:color w:val="333333"/>
        </w:rPr>
        <w:t>Nutri-Score</w:t>
      </w:r>
      <w:r>
        <w:rPr>
          <w:color w:val="333333"/>
        </w:rPr>
        <w:t>, titqies il-kompożizzjoni sħiħa tal-ikel. L-Artikolu 23 tar-Regolament dwar l-Indikazzjonijiet jirrikjedi li Stat Membru jinnotifika l-użu ta’ indikazzjonijiet fit-territorju tiegħu jekk tali indikazzjonijiet ma jikkonformawx mar-Regolament dwar l-Indikazzjonijiet.</w:t>
      </w:r>
    </w:p>
    <w:p w14:paraId="43A7CEB8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</w:p>
    <w:p w14:paraId="17B25172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Sabiex tiġi protetta l-informazzjoni xierqa għall-konsumatur, l-Artikolu 36 tar-Regolament (UE) Nru 1169/2011 tal-Parlament Ewropew u tal-Kunsill tal-25 ta’ Ottubru 2011 dwar l-għoti ta’ informazzjoni dwar l-ikel lill-konsumaturi</w:t>
      </w:r>
      <w:r>
        <w:rPr>
          <w:rStyle w:val="FootnoteReference"/>
          <w:rFonts w:eastAsia="Times New Roman" w:cs="Arial"/>
          <w:color w:val="333333"/>
        </w:rPr>
        <w:footnoteReference w:id="6"/>
      </w:r>
      <w:r>
        <w:rPr>
          <w:color w:val="333333"/>
        </w:rPr>
        <w:t xml:space="preserve">, l-informazzjoni volontarja dwar l-ikel għandha tissodisfa għadd ta’ rekwiżiti. F’dan il-kuntest ukoll, il-Kummissjoni ġiet infurmata bit-test ta’ din l-iskema. </w:t>
      </w:r>
    </w:p>
    <w:p w14:paraId="2EEB4BC5" w14:textId="77777777" w:rsidR="006C4D06" w:rsidRDefault="006C4D06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13C697BD" w14:textId="77777777" w:rsidR="008E7EEA" w:rsidRPr="00CA0B75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 xml:space="preserve">L-abbozz ta’ skema ġie nnotifikat lill-Kummissjoni Ewropea fi... biex jissodisfa </w:t>
      </w:r>
      <w:r>
        <w:rPr>
          <w:b/>
        </w:rPr>
        <w:t>P.M.</w:t>
      </w:r>
      <w:r>
        <w:t xml:space="preserve"> Wara n-notifika </w:t>
      </w:r>
      <w:r>
        <w:rPr>
          <w:b/>
        </w:rPr>
        <w:t>P.M.</w:t>
      </w:r>
    </w:p>
    <w:p w14:paraId="1EB1823F" w14:textId="1C1F97BC" w:rsidR="008C7083" w:rsidRPr="00B658D6" w:rsidRDefault="00915D8D">
      <w:pPr>
        <w:pStyle w:val="NoSpacing"/>
        <w:spacing w:line="276" w:lineRule="auto"/>
        <w:rPr>
          <w:b/>
          <w:bCs/>
        </w:rPr>
      </w:pPr>
      <w:r>
        <w:rPr>
          <w:color w:val="333333"/>
        </w:rPr>
        <w:br/>
      </w:r>
    </w:p>
    <w:p w14:paraId="1ADE6D80" w14:textId="77777777" w:rsidR="00647286" w:rsidRDefault="00647286" w:rsidP="008D3E19">
      <w:pPr>
        <w:pStyle w:val="NoSpacing"/>
        <w:spacing w:line="276" w:lineRule="auto"/>
        <w:rPr>
          <w:bCs/>
        </w:rPr>
      </w:pPr>
    </w:p>
    <w:p w14:paraId="621B8D55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</w:p>
    <w:sectPr w:rsidR="003670DB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3B24" w14:textId="77777777" w:rsidR="00C00F78" w:rsidRDefault="00C00F78">
      <w:pPr>
        <w:spacing w:line="240" w:lineRule="auto"/>
      </w:pPr>
      <w:r>
        <w:separator/>
      </w:r>
    </w:p>
  </w:endnote>
  <w:endnote w:type="continuationSeparator" w:id="0">
    <w:p w14:paraId="7DD15106" w14:textId="77777777" w:rsidR="00C00F78" w:rsidRDefault="00C00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AA11" w14:textId="77777777" w:rsidR="00C00F78" w:rsidRDefault="00C00F78">
      <w:pPr>
        <w:spacing w:line="240" w:lineRule="auto"/>
      </w:pPr>
      <w:r>
        <w:separator/>
      </w:r>
    </w:p>
  </w:footnote>
  <w:footnote w:type="continuationSeparator" w:id="0">
    <w:p w14:paraId="794B22C5" w14:textId="77777777" w:rsidR="00C00F78" w:rsidRDefault="00C00F78">
      <w:pPr>
        <w:spacing w:line="240" w:lineRule="auto"/>
      </w:pPr>
      <w:r>
        <w:continuationSeparator/>
      </w:r>
    </w:p>
  </w:footnote>
  <w:footnote w:id="1">
    <w:p w14:paraId="08612ED2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Anness għad-Dokumenti tal-Kamra II, 2018/19, 32793, Nru 339.</w:t>
      </w:r>
    </w:p>
  </w:footnote>
  <w:footnote w:id="2">
    <w:p w14:paraId="134DD927" w14:textId="0F382223" w:rsidR="00A978BD" w:rsidRDefault="00A978BD">
      <w:pPr>
        <w:pStyle w:val="FootnoteText"/>
      </w:pPr>
      <w:r>
        <w:rPr>
          <w:rStyle w:val="FootnoteReference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Motivaction,”</w:t>
      </w:r>
      <w:r>
        <w:rPr>
          <w:rFonts w:ascii="Verdana" w:hAnsi="Verdana"/>
          <w:i/>
          <w:sz w:val="16"/>
        </w:rPr>
        <w:t xml:space="preserve">Effectivity </w:t>
      </w:r>
      <w:r>
        <w:rPr>
          <w:rFonts w:ascii="Verdana" w:hAnsi="Verdana"/>
          <w:i/>
          <w:sz w:val="16"/>
        </w:rPr>
        <w:t>of figurative marks of three food choice logos</w:t>
      </w:r>
      <w:r>
        <w:rPr>
          <w:rFonts w:ascii="Verdana" w:hAnsi="Verdana"/>
          <w:sz w:val="16"/>
        </w:rPr>
        <w:t xml:space="preserve">", 30 ta’ Ottubru 2019, Riferibbli permezz ta’ </w:t>
      </w:r>
      <w:hyperlink r:id="rId1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3">
    <w:p w14:paraId="2C905CC0" w14:textId="778258C7" w:rsidR="00A978BD" w:rsidRDefault="00A97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L-Istitut Nazzjonali għas-Saħħa Pubblika u l-Ambjent (RIVM) u ċ-Ċentru tan-Nutrizzjoni,”</w:t>
      </w:r>
      <w:r>
        <w:rPr>
          <w:rFonts w:ascii="Verdana" w:hAnsi="Verdana"/>
          <w:i/>
          <w:sz w:val="16"/>
        </w:rPr>
        <w:t>Desk Study Food Choice Logos under the spotlight</w:t>
      </w:r>
      <w:r>
        <w:rPr>
          <w:rFonts w:ascii="Verdana" w:hAnsi="Verdana"/>
          <w:sz w:val="16"/>
        </w:rPr>
        <w:t xml:space="preserve">”, 28 ta’ Novembru 2019. Jista’ jiġi osservat fuq </w:t>
      </w:r>
      <w:hyperlink r:id="rId2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4">
    <w:p w14:paraId="3942F257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Dokumenti Parlamentari II 2019/20, 32793, Nru 459.</w:t>
      </w:r>
    </w:p>
  </w:footnote>
  <w:footnote w:id="5">
    <w:p w14:paraId="5857BD1C" w14:textId="77777777" w:rsidR="009D6971" w:rsidRPr="006B20B3" w:rsidRDefault="009D6971" w:rsidP="009D6971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Ir-ROW </w:t>
      </w:r>
      <w:r>
        <w:rPr>
          <w:rFonts w:ascii="Verdana" w:hAnsi="Verdana"/>
          <w:sz w:val="16"/>
        </w:rPr>
        <w:t>huwa magħmul minn rappreżentanti min-negozji (l-industrija u l-kummerċ), konsumaturi, ministeri (b’mod partikolari l-Ministeru għas-Saħħa Pubblika, l-Assistenza Soċjali u l-Isport, u l-Ministeru għall-Agrikoltura, in-Natura u l-Kwalità tal-Ikel) u l-Awtorità Netherlandiża dwar is-Sigurtà tal-Ikel u tal-Prodotti tal-Konsum [NVWA].</w:t>
      </w:r>
    </w:p>
  </w:footnote>
  <w:footnote w:id="6">
    <w:p w14:paraId="38FEBC48" w14:textId="77777777" w:rsidR="006C4D06" w:rsidRDefault="006C4D06" w:rsidP="006C4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Titolu </w:t>
      </w:r>
      <w:r>
        <w:rPr>
          <w:rFonts w:ascii="Verdana" w:hAnsi="Verdana"/>
          <w:sz w:val="16"/>
        </w:rPr>
        <w:t xml:space="preserve">sħiħ </w:t>
      </w:r>
      <w:r>
        <w:rPr>
          <w:rFonts w:ascii="Verdana" w:hAnsi="Verdana"/>
          <w:color w:val="333333"/>
          <w:sz w:val="16"/>
        </w:rPr>
        <w:t>Ir-Regolament (UE) Nru 1169/2011 tal-Parlament Ewropew u tal-Kunsill tal-25 ta’ Ottubru 2011 dwar l-għoti ta’ informazzjoni dwar l-ikel lill-konsumaturi, li jemenda r-Regolamenti (KE) Nru 1924/2006 u (KE) Nru 1925/2006 tal-Parlament Ewropew u tal-Kunsill u li jħassar id-Direttiva tal-Kummissjoni 87/250/KEE, id-Direttiva tal-Kunsill 90/496/KEE, id-Direttiva tal-Kummissjoni 1999/10/KE, id-Direttiva 2000/13/KE tal-Parlament Ewropew u tal-Kunsill, id-Direttivi tal-Kummissjoni 2002/67/KE u 2008/5/KE u r-Regolament tal-Kummissjoni (KE) Nru 608/2004 (ĠU 2011 L 304).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F9A" w14:textId="77777777" w:rsidR="001D3DA3" w:rsidRDefault="00AD598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4C7470" wp14:editId="321BAFE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02A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C747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Cfz+uP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065F02A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B37E1C5" wp14:editId="59DD2CE3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BE5F1" w14:textId="559A626A" w:rsidR="001D3DA3" w:rsidRDefault="00AD598F">
                          <w:pPr>
                            <w:pStyle w:val="StandaardReferentiegegevens"/>
                          </w:pPr>
                          <w:r>
                            <w:t xml:space="preserve">Paġna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minn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7E1C5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Rt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F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O2ehG2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0FEBE5F1" w14:textId="559A626A" w:rsidR="001D3DA3" w:rsidRDefault="00AD598F">
                    <w:pPr>
                      <w:pStyle w:val="StandaardReferentiegegevens"/>
                    </w:pPr>
                    <w:r>
                      <w:t xml:space="preserve">Paġna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4</w:t>
                    </w:r>
                    <w:r>
                      <w:fldChar w:fldCharType="end"/>
                    </w:r>
                    <w:r>
                      <w:t xml:space="preserve"> minn 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B68C" w14:textId="4E299139" w:rsidR="001D3DA3" w:rsidRDefault="008E3830">
    <w:pPr>
      <w:spacing w:after="6746"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B507A8" wp14:editId="56E5D7B3">
              <wp:simplePos x="0" y="0"/>
              <wp:positionH relativeFrom="column">
                <wp:posOffset>3018345</wp:posOffset>
              </wp:positionH>
              <wp:positionV relativeFrom="paragraph">
                <wp:posOffset>832513</wp:posOffset>
              </wp:positionV>
              <wp:extent cx="2299335" cy="749907"/>
              <wp:effectExtent l="0" t="0" r="571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335" cy="749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69891" w14:textId="5BFF1079" w:rsidR="008E3830" w:rsidRPr="008E3830" w:rsidRDefault="008E383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Il-Ministeru għas-Saħħa Pubblika, l-Assistenza Soċjali u l-Isport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507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37.65pt;margin-top:65.55pt;width:181.05pt;height:59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" fillcolor="white [3201]" stroked="f" strokeweight=".5pt">
              <v:textbox>
                <w:txbxContent>
                  <w:p w14:paraId="79769891" w14:textId="5BFF1079" w:rsidR="008E3830" w:rsidRPr="008E3830" w:rsidRDefault="008E3830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Il-Ministeru għas-Saħħa Pubblika, l-Assistenza Soċjali u l-Isport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50FF714" wp14:editId="2086825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0F485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4353B" wp14:editId="50BAEBFA">
                                <wp:extent cx="467995" cy="1583865"/>
                                <wp:effectExtent l="0" t="0" r="0" b="0"/>
                                <wp:docPr id="2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FF714" id="Logo_2" o:spid="_x0000_s1029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j45A7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130F485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144353B" wp14:editId="50BAEBFA">
                          <wp:extent cx="467995" cy="1583865"/>
                          <wp:effectExtent l="0" t="0" r="0" b="0"/>
                          <wp:docPr id="2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436021" wp14:editId="2ACBBCF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3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335B4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FBC3F7" wp14:editId="2E99B505">
                                <wp:extent cx="2339975" cy="1582834"/>
                                <wp:effectExtent l="0" t="0" r="0" b="0"/>
                                <wp:docPr id="4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VWS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36021" id="Woordmerk_2" o:spid="_x0000_s1030" type="#_x0000_t202" style="position:absolute;margin-left:314.6pt;margin-top:0;width:184.25pt;height:140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" filled="f" stroked="f">
              <v:textbox inset="0,0,0,0">
                <w:txbxContent>
                  <w:p w14:paraId="353335B4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DFBC3F7" wp14:editId="2E99B505">
                          <wp:extent cx="2339975" cy="1582834"/>
                          <wp:effectExtent l="0" t="0" r="0" b="0"/>
                          <wp:docPr id="4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VWS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1DF812" wp14:editId="49C2B3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1BA9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DF812" id="Retourregel_2" o:spid="_x0000_s1031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GwjH3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7C2A1BA9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64F52C" wp14:editId="351E8A4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BEFD4" w14:textId="77777777" w:rsidR="004A705B" w:rsidRDefault="00B838BB" w:rsidP="004A705B">
                          <w:r>
                            <w:t xml:space="preserve">Ir-Regolament </w:t>
                          </w:r>
                          <w:r>
                            <w:t>tal-Ministru għall-Kura Medika tal-VGP,</w:t>
                          </w:r>
                        </w:p>
                        <w:p w14:paraId="6DDC92F8" w14:textId="77777777" w:rsidR="001D3DA3" w:rsidRDefault="00AD598F">
                          <w:r>
                            <w:t>li jindika Nutri-Score bħala logo tal-għażla tal-ikel u l-kundizzjonijiet tal-użu tiegħu (Regolament dwar l-indikazzjoni ta’ logo tal-għażla tal-ikel)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4F52C" id="Toezendgegevens_2" o:spid="_x0000_s1032" type="#_x0000_t202" style="position:absolute;margin-left:79.35pt;margin-top:153.05pt;width:274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AR5/N4sQEAAEEDAAAOAAAAAAAAAAAAAAAAAC4CAABkcnMvZTJvRG9j&#10;LnhtbFBLAQItABQABgAIAAAAIQCW7QUW4AAAAAsBAAAPAAAAAAAAAAAAAAAAAAsEAABkcnMvZG93&#10;bnJldi54bWxQSwUGAAAAAAQABADzAAAAGAUAAAAA&#10;" filled="f" stroked="f">
              <v:textbox inset="0,0,0,0">
                <w:txbxContent>
                  <w:p w14:paraId="5E6BEFD4" w14:textId="77777777" w:rsidR="004A705B" w:rsidRDefault="00B838BB" w:rsidP="004A705B">
                    <w:r>
                      <w:t xml:space="preserve">Ir-Regolament tal-Ministru għall-Kura Medika tal-VGP,</w:t>
                    </w:r>
                  </w:p>
                  <w:p w14:paraId="6DDC92F8" w14:textId="77777777" w:rsidR="001D3DA3" w:rsidRDefault="00AD598F">
                    <w:r>
                      <w:t xml:space="preserve">li jindika Nutri-Score bħala logo tal-għażla tal-ikel u l-kundizzjonijiet tal-użu tiegħu (Regolament dwar l-indikazzjoni ta’ logo tal-għażla tal-ikel)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AB91D8" wp14:editId="2406F35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0747E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AB91D8" id="Colofon_2" o:spid="_x0000_s1033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Dz456z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6F0747E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9B16156" wp14:editId="64F0043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8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038BD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16156" id="Documentgegevens" o:spid="_x0000_s1034" type="#_x0000_t202" style="position:absolute;margin-left:79.35pt;margin-top:286.25pt;width:323.25pt;height:4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BurUUe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p w14:paraId="25B038BD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DDD7D7" wp14:editId="67AE3F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3C5B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DD7D7" id="Rubricering onder vervolgpagina" o:spid="_x0000_s1035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2C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GvOvHTUou+7&#10;FokVkp0MfG4P9XcPdghyMF5my6YQG6p8DlSb5g8wU+uXfKRkdmLu0eUvaWR0TuYfzobrOTGVi27X&#10;65s7elnRGW1u65sMU71VB4zpSYNjORAcqaHFZ7n/HNPx6nIlP+bh0Vib85nikUqO0tzOJ5Un+i10&#10;B2JP0gh2BPzJ2URjIHh83UnUnNlPnnzOM7MEuATtEkivqFTwxNkx/JjKbC0EqGlFzWnA8lT8vi80&#10;336D7S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gFL9g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0C03C5B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CAD163" wp14:editId="59CF7F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994F7" w14:textId="3F98A9E6" w:rsidR="001D3DA3" w:rsidRDefault="00AD598F">
                          <w:pPr>
                            <w:pStyle w:val="StandaardReferentiegegevens"/>
                          </w:pPr>
                          <w:r>
                            <w:t xml:space="preserve">Paġna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minn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AD163" id="Paginanummer_2" o:spid="_x0000_s1036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" filled="f" stroked="f">
              <v:textbox inset="0,0,0,0">
                <w:txbxContent>
                  <w:p w14:paraId="7BF994F7" w14:textId="3F98A9E6" w:rsidR="001D3DA3" w:rsidRDefault="00AD598F">
                    <w:pPr>
                      <w:pStyle w:val="StandaardReferentiegegevens"/>
                    </w:pPr>
                    <w:r>
                      <w:t xml:space="preserve">Paġna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1</w:t>
                    </w:r>
                    <w:r>
                      <w:fldChar w:fldCharType="end"/>
                    </w:r>
                    <w:r>
                      <w:t xml:space="preserve"> minn 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98EB1"/>
    <w:multiLevelType w:val="multilevel"/>
    <w:tmpl w:val="B68C1749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9F78B0"/>
    <w:multiLevelType w:val="multilevel"/>
    <w:tmpl w:val="056E134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67178F"/>
    <w:multiLevelType w:val="multilevel"/>
    <w:tmpl w:val="0D384133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B4F845B"/>
    <w:multiLevelType w:val="multilevel"/>
    <w:tmpl w:val="5975836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B326273"/>
    <w:multiLevelType w:val="multilevel"/>
    <w:tmpl w:val="0F4DEF7B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B0576"/>
    <w:multiLevelType w:val="hybridMultilevel"/>
    <w:tmpl w:val="A568F126"/>
    <w:lvl w:ilvl="0" w:tplc="F8242666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F02C"/>
    <w:multiLevelType w:val="multilevel"/>
    <w:tmpl w:val="4D06B33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21354C"/>
    <w:multiLevelType w:val="multilevel"/>
    <w:tmpl w:val="CC2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6A485"/>
    <w:multiLevelType w:val="multilevel"/>
    <w:tmpl w:val="626A65D8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2628A"/>
    <w:multiLevelType w:val="hybridMultilevel"/>
    <w:tmpl w:val="A1EEB4C2"/>
    <w:lvl w:ilvl="0" w:tplc="06B0CA34">
      <w:start w:val="2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AE8"/>
    <w:multiLevelType w:val="multilevel"/>
    <w:tmpl w:val="2D2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A0500"/>
    <w:multiLevelType w:val="multilevel"/>
    <w:tmpl w:val="DE04C88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4C4937"/>
    <w:multiLevelType w:val="multilevel"/>
    <w:tmpl w:val="120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84E59"/>
    <w:multiLevelType w:val="multilevel"/>
    <w:tmpl w:val="B6BE33F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D6F5C"/>
    <w:multiLevelType w:val="multilevel"/>
    <w:tmpl w:val="F54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0F6E"/>
    <w:multiLevelType w:val="multilevel"/>
    <w:tmpl w:val="ECC4E471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D0AE5"/>
    <w:multiLevelType w:val="hybridMultilevel"/>
    <w:tmpl w:val="E3E8E01A"/>
    <w:lvl w:ilvl="0" w:tplc="25048684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4B0"/>
    <w:multiLevelType w:val="hybridMultilevel"/>
    <w:tmpl w:val="9496E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2754F"/>
    <w:multiLevelType w:val="multilevel"/>
    <w:tmpl w:val="345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808F8"/>
    <w:multiLevelType w:val="multilevel"/>
    <w:tmpl w:val="A8C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5CA64"/>
    <w:multiLevelType w:val="multilevel"/>
    <w:tmpl w:val="B34E25D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B521B"/>
    <w:multiLevelType w:val="hybridMultilevel"/>
    <w:tmpl w:val="36CEC976"/>
    <w:lvl w:ilvl="0" w:tplc="4EF20B6A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0370"/>
    <w:multiLevelType w:val="hybridMultilevel"/>
    <w:tmpl w:val="41C45572"/>
    <w:lvl w:ilvl="0" w:tplc="DCECCE5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D7643"/>
    <w:multiLevelType w:val="multilevel"/>
    <w:tmpl w:val="4E5527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40978"/>
    <w:multiLevelType w:val="multilevel"/>
    <w:tmpl w:val="FD5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E5FB6"/>
    <w:multiLevelType w:val="multilevel"/>
    <w:tmpl w:val="29F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23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25"/>
  </w:num>
  <w:num w:numId="20">
    <w:abstractNumId w:val="9"/>
  </w:num>
  <w:num w:numId="21">
    <w:abstractNumId w:val="18"/>
  </w:num>
  <w:num w:numId="22">
    <w:abstractNumId w:val="19"/>
  </w:num>
  <w:num w:numId="23">
    <w:abstractNumId w:val="16"/>
  </w:num>
  <w:num w:numId="24">
    <w:abstractNumId w:val="2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B"/>
    <w:rsid w:val="00002054"/>
    <w:rsid w:val="0000238B"/>
    <w:rsid w:val="00003D21"/>
    <w:rsid w:val="000069F4"/>
    <w:rsid w:val="000201E5"/>
    <w:rsid w:val="00032061"/>
    <w:rsid w:val="00056E4F"/>
    <w:rsid w:val="00073CDC"/>
    <w:rsid w:val="00087490"/>
    <w:rsid w:val="00091CAD"/>
    <w:rsid w:val="00092AD0"/>
    <w:rsid w:val="00093790"/>
    <w:rsid w:val="000B6DD5"/>
    <w:rsid w:val="000C0D4F"/>
    <w:rsid w:val="000C20F0"/>
    <w:rsid w:val="000C3C08"/>
    <w:rsid w:val="000C5F37"/>
    <w:rsid w:val="000E5170"/>
    <w:rsid w:val="000F3600"/>
    <w:rsid w:val="000F7DA6"/>
    <w:rsid w:val="001110B2"/>
    <w:rsid w:val="001138E4"/>
    <w:rsid w:val="00125CD6"/>
    <w:rsid w:val="00130455"/>
    <w:rsid w:val="001318E0"/>
    <w:rsid w:val="001411A4"/>
    <w:rsid w:val="0015731D"/>
    <w:rsid w:val="0016417C"/>
    <w:rsid w:val="001645BA"/>
    <w:rsid w:val="00173BE7"/>
    <w:rsid w:val="001773F0"/>
    <w:rsid w:val="0018665B"/>
    <w:rsid w:val="001926CF"/>
    <w:rsid w:val="001A6DE3"/>
    <w:rsid w:val="001D3DA3"/>
    <w:rsid w:val="001E6094"/>
    <w:rsid w:val="001F7164"/>
    <w:rsid w:val="002137C3"/>
    <w:rsid w:val="00222C7D"/>
    <w:rsid w:val="00225B04"/>
    <w:rsid w:val="00234127"/>
    <w:rsid w:val="0029125D"/>
    <w:rsid w:val="00295818"/>
    <w:rsid w:val="002A0E04"/>
    <w:rsid w:val="002A1E8B"/>
    <w:rsid w:val="002A39A6"/>
    <w:rsid w:val="002A4E62"/>
    <w:rsid w:val="002A6EAE"/>
    <w:rsid w:val="002A729E"/>
    <w:rsid w:val="002B5B58"/>
    <w:rsid w:val="002C14F0"/>
    <w:rsid w:val="002C2BDC"/>
    <w:rsid w:val="002E406B"/>
    <w:rsid w:val="002E6BBA"/>
    <w:rsid w:val="002F452C"/>
    <w:rsid w:val="002F7161"/>
    <w:rsid w:val="00311799"/>
    <w:rsid w:val="0032000B"/>
    <w:rsid w:val="00342B94"/>
    <w:rsid w:val="00354642"/>
    <w:rsid w:val="00356387"/>
    <w:rsid w:val="003670DB"/>
    <w:rsid w:val="003764D1"/>
    <w:rsid w:val="00380B6B"/>
    <w:rsid w:val="003A1990"/>
    <w:rsid w:val="003B6D53"/>
    <w:rsid w:val="0040278F"/>
    <w:rsid w:val="00410870"/>
    <w:rsid w:val="0041194B"/>
    <w:rsid w:val="004126C3"/>
    <w:rsid w:val="00417775"/>
    <w:rsid w:val="004336A6"/>
    <w:rsid w:val="00442EB9"/>
    <w:rsid w:val="0044500C"/>
    <w:rsid w:val="00445B54"/>
    <w:rsid w:val="004A4147"/>
    <w:rsid w:val="004A6521"/>
    <w:rsid w:val="004A705B"/>
    <w:rsid w:val="004C6188"/>
    <w:rsid w:val="004D1294"/>
    <w:rsid w:val="004E6CE8"/>
    <w:rsid w:val="004F13EE"/>
    <w:rsid w:val="004F54A5"/>
    <w:rsid w:val="004F6FBB"/>
    <w:rsid w:val="00515A37"/>
    <w:rsid w:val="0054329A"/>
    <w:rsid w:val="00550565"/>
    <w:rsid w:val="005539D0"/>
    <w:rsid w:val="00583A2E"/>
    <w:rsid w:val="005853E0"/>
    <w:rsid w:val="005854A3"/>
    <w:rsid w:val="0059735F"/>
    <w:rsid w:val="005B411C"/>
    <w:rsid w:val="005C164B"/>
    <w:rsid w:val="005C3011"/>
    <w:rsid w:val="005E020A"/>
    <w:rsid w:val="005E0A76"/>
    <w:rsid w:val="005E6870"/>
    <w:rsid w:val="005F7494"/>
    <w:rsid w:val="00602B7B"/>
    <w:rsid w:val="0060779A"/>
    <w:rsid w:val="00631A11"/>
    <w:rsid w:val="006343E2"/>
    <w:rsid w:val="00647286"/>
    <w:rsid w:val="006500B2"/>
    <w:rsid w:val="00657D09"/>
    <w:rsid w:val="00672904"/>
    <w:rsid w:val="0068359E"/>
    <w:rsid w:val="0069144E"/>
    <w:rsid w:val="006A1888"/>
    <w:rsid w:val="006B58CF"/>
    <w:rsid w:val="006C4D06"/>
    <w:rsid w:val="00722709"/>
    <w:rsid w:val="0073118A"/>
    <w:rsid w:val="007374B7"/>
    <w:rsid w:val="007410CE"/>
    <w:rsid w:val="007477D4"/>
    <w:rsid w:val="007B2222"/>
    <w:rsid w:val="007C5CEB"/>
    <w:rsid w:val="007E23BC"/>
    <w:rsid w:val="007E7AA4"/>
    <w:rsid w:val="00820C71"/>
    <w:rsid w:val="00825935"/>
    <w:rsid w:val="00827498"/>
    <w:rsid w:val="00832798"/>
    <w:rsid w:val="0084066C"/>
    <w:rsid w:val="00844C95"/>
    <w:rsid w:val="00847DB7"/>
    <w:rsid w:val="008540DE"/>
    <w:rsid w:val="0086208F"/>
    <w:rsid w:val="00865636"/>
    <w:rsid w:val="008819B1"/>
    <w:rsid w:val="008A1456"/>
    <w:rsid w:val="008C7083"/>
    <w:rsid w:val="008D3E19"/>
    <w:rsid w:val="008E00E1"/>
    <w:rsid w:val="008E3830"/>
    <w:rsid w:val="008E7EEA"/>
    <w:rsid w:val="008F7DC6"/>
    <w:rsid w:val="00903408"/>
    <w:rsid w:val="00912F2D"/>
    <w:rsid w:val="00915D8D"/>
    <w:rsid w:val="00922266"/>
    <w:rsid w:val="00960A53"/>
    <w:rsid w:val="00972418"/>
    <w:rsid w:val="0097542A"/>
    <w:rsid w:val="00975BC7"/>
    <w:rsid w:val="00985F0D"/>
    <w:rsid w:val="009A2163"/>
    <w:rsid w:val="009A2707"/>
    <w:rsid w:val="009B120B"/>
    <w:rsid w:val="009D0081"/>
    <w:rsid w:val="009D56E6"/>
    <w:rsid w:val="009D6971"/>
    <w:rsid w:val="009E2ED4"/>
    <w:rsid w:val="00A05B97"/>
    <w:rsid w:val="00A06BBD"/>
    <w:rsid w:val="00A17BBC"/>
    <w:rsid w:val="00A20C01"/>
    <w:rsid w:val="00A31F7A"/>
    <w:rsid w:val="00A478A5"/>
    <w:rsid w:val="00A5198C"/>
    <w:rsid w:val="00A55A02"/>
    <w:rsid w:val="00A80B59"/>
    <w:rsid w:val="00A81303"/>
    <w:rsid w:val="00A86455"/>
    <w:rsid w:val="00A92440"/>
    <w:rsid w:val="00A978BD"/>
    <w:rsid w:val="00AB3C6B"/>
    <w:rsid w:val="00AB4316"/>
    <w:rsid w:val="00AB690C"/>
    <w:rsid w:val="00AD0F88"/>
    <w:rsid w:val="00AD13A3"/>
    <w:rsid w:val="00AD598F"/>
    <w:rsid w:val="00AE3978"/>
    <w:rsid w:val="00AF381B"/>
    <w:rsid w:val="00AF5380"/>
    <w:rsid w:val="00AF7CFF"/>
    <w:rsid w:val="00B0354D"/>
    <w:rsid w:val="00B06D38"/>
    <w:rsid w:val="00B26812"/>
    <w:rsid w:val="00B318C5"/>
    <w:rsid w:val="00B4164D"/>
    <w:rsid w:val="00B4175F"/>
    <w:rsid w:val="00B47EB5"/>
    <w:rsid w:val="00B51511"/>
    <w:rsid w:val="00B551A8"/>
    <w:rsid w:val="00B658D6"/>
    <w:rsid w:val="00B722CE"/>
    <w:rsid w:val="00B73326"/>
    <w:rsid w:val="00B838BB"/>
    <w:rsid w:val="00B8560F"/>
    <w:rsid w:val="00B942E3"/>
    <w:rsid w:val="00BA4030"/>
    <w:rsid w:val="00BB27FD"/>
    <w:rsid w:val="00BC191E"/>
    <w:rsid w:val="00BD77BD"/>
    <w:rsid w:val="00BF0CBB"/>
    <w:rsid w:val="00C00F78"/>
    <w:rsid w:val="00C17BC6"/>
    <w:rsid w:val="00C21A25"/>
    <w:rsid w:val="00C34790"/>
    <w:rsid w:val="00C37714"/>
    <w:rsid w:val="00C45077"/>
    <w:rsid w:val="00C46947"/>
    <w:rsid w:val="00C6036F"/>
    <w:rsid w:val="00C87949"/>
    <w:rsid w:val="00CA0B75"/>
    <w:rsid w:val="00CA72B7"/>
    <w:rsid w:val="00CB0E9D"/>
    <w:rsid w:val="00CE56A3"/>
    <w:rsid w:val="00CE650A"/>
    <w:rsid w:val="00D075B6"/>
    <w:rsid w:val="00D308B3"/>
    <w:rsid w:val="00D40FA0"/>
    <w:rsid w:val="00D4113B"/>
    <w:rsid w:val="00D8085E"/>
    <w:rsid w:val="00D83FCC"/>
    <w:rsid w:val="00DA7887"/>
    <w:rsid w:val="00DB0C47"/>
    <w:rsid w:val="00DC7A50"/>
    <w:rsid w:val="00DD19AA"/>
    <w:rsid w:val="00DE13B4"/>
    <w:rsid w:val="00DF62F0"/>
    <w:rsid w:val="00E12674"/>
    <w:rsid w:val="00E3309F"/>
    <w:rsid w:val="00E8090B"/>
    <w:rsid w:val="00E9001A"/>
    <w:rsid w:val="00EA0AE5"/>
    <w:rsid w:val="00EB0438"/>
    <w:rsid w:val="00ED4A6F"/>
    <w:rsid w:val="00EE25A3"/>
    <w:rsid w:val="00EF18D5"/>
    <w:rsid w:val="00F00BDC"/>
    <w:rsid w:val="00F46049"/>
    <w:rsid w:val="00F71B2E"/>
    <w:rsid w:val="00F74B52"/>
    <w:rsid w:val="00F81810"/>
    <w:rsid w:val="00F86F42"/>
    <w:rsid w:val="00F92495"/>
    <w:rsid w:val="00F95E33"/>
    <w:rsid w:val="00F97220"/>
    <w:rsid w:val="00FB1A2B"/>
    <w:rsid w:val="00FB514C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98DB"/>
  <w15:docId w15:val="{AA7816C2-04C9-4FE6-92AD-B47609E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mt-MT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BGAdviesaanvraagLijst">
    <w:name w:val="CIBG Adviesaanvraag Lijst"/>
    <w:basedOn w:val="Normal"/>
    <w:next w:val="Normal"/>
    <w:pPr>
      <w:spacing w:after="60"/>
    </w:pPr>
    <w:rPr>
      <w:b/>
    </w:rPr>
  </w:style>
  <w:style w:type="paragraph" w:customStyle="1" w:styleId="CIBGAdviesaanvraagLijstKop1">
    <w:name w:val="CIBG Adviesaanvraag Lijst Kop 1"/>
    <w:basedOn w:val="Normal"/>
    <w:next w:val="Normal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Normal"/>
    <w:next w:val="Normal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Normal"/>
    <w:next w:val="Normal"/>
    <w:pPr>
      <w:spacing w:before="240"/>
    </w:pPr>
  </w:style>
  <w:style w:type="paragraph" w:customStyle="1" w:styleId="CIBGBezwaarschriftenbrief">
    <w:name w:val="CIBG Bezwaarschriftenbrief"/>
    <w:basedOn w:val="Normal"/>
    <w:next w:val="Normal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Normal"/>
    <w:next w:val="Normal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Normal"/>
    <w:next w:val="Normal"/>
    <w:rPr>
      <w:color w:val="EF0A0A"/>
    </w:rPr>
  </w:style>
  <w:style w:type="paragraph" w:customStyle="1" w:styleId="CIBGVoorlegmemoitalicV10">
    <w:name w:val="CIBG Voorlegmemo italic V10"/>
    <w:basedOn w:val="Normal"/>
    <w:next w:val="Normal"/>
    <w:rPr>
      <w:i/>
      <w:sz w:val="20"/>
      <w:szCs w:val="20"/>
    </w:rPr>
  </w:style>
  <w:style w:type="paragraph" w:customStyle="1" w:styleId="CIBGVoorlegmemoTitel">
    <w:name w:val="CIBG Voorlegmemo Titel"/>
    <w:basedOn w:val="Normal"/>
    <w:next w:val="Normal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Normal"/>
    <w:next w:val="Normal"/>
    <w:rPr>
      <w:b/>
      <w:i/>
      <w:sz w:val="13"/>
      <w:szCs w:val="13"/>
    </w:rPr>
  </w:style>
  <w:style w:type="paragraph" w:customStyle="1" w:styleId="CIBGDocumentnaamv14vet">
    <w:name w:val="CIBG_Documentnaam v14 vet"/>
    <w:basedOn w:val="Normal"/>
    <w:next w:val="Normal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Normal"/>
    <w:next w:val="Normal"/>
    <w:pPr>
      <w:spacing w:after="720" w:line="300" w:lineRule="exact"/>
    </w:p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Normal"/>
    <w:next w:val="Normal"/>
  </w:style>
  <w:style w:type="paragraph" w:customStyle="1" w:styleId="Huisstijlnummering">
    <w:name w:val="Huisstijl nummering"/>
    <w:basedOn w:val="Normal"/>
    <w:next w:val="Normal"/>
    <w:pPr>
      <w:tabs>
        <w:tab w:val="left" w:pos="0"/>
      </w:tabs>
      <w:ind w:left="-1120"/>
    </w:pPr>
  </w:style>
  <w:style w:type="paragraph" w:customStyle="1" w:styleId="IGJAgenda">
    <w:name w:val="IGJ Agenda"/>
    <w:basedOn w:val="Normal"/>
    <w:next w:val="Normal"/>
  </w:style>
  <w:style w:type="paragraph" w:customStyle="1" w:styleId="IGJMinuteVerdana7">
    <w:name w:val="IGJ Minute Verdana 7"/>
    <w:basedOn w:val="Normal"/>
    <w:next w:val="Normal"/>
    <w:rPr>
      <w:sz w:val="14"/>
      <w:szCs w:val="14"/>
    </w:rPr>
  </w:style>
  <w:style w:type="paragraph" w:customStyle="1" w:styleId="IGJNotaterbesluitvorming">
    <w:name w:val="IGJ Nota ter besluitvorming"/>
    <w:basedOn w:val="Normal"/>
    <w:next w:val="Normal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Normal"/>
    <w:next w:val="Normal"/>
    <w:pPr>
      <w:numPr>
        <w:numId w:val="5"/>
      </w:numPr>
    </w:pPr>
  </w:style>
  <w:style w:type="paragraph" w:customStyle="1" w:styleId="IGJNotaterbesluitvorminglijst">
    <w:name w:val="IGJ Nota ter besluitvorming lijst"/>
    <w:basedOn w:val="Normal"/>
    <w:next w:val="Normal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Normal"/>
    <w:next w:val="Normal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Normal"/>
    <w:next w:val="Normal"/>
  </w:style>
  <w:style w:type="paragraph" w:customStyle="1" w:styleId="IGJVoorhangv7">
    <w:name w:val="IGJ Voorhang v7"/>
    <w:basedOn w:val="Normal"/>
    <w:next w:val="Normal"/>
    <w:rPr>
      <w:sz w:val="14"/>
      <w:szCs w:val="14"/>
    </w:rPr>
  </w:style>
  <w:style w:type="paragraph" w:customStyle="1" w:styleId="IGJVoorhangv7b">
    <w:name w:val="IGJ Voorhang v7 b"/>
    <w:basedOn w:val="Normal"/>
    <w:next w:val="Normal"/>
    <w:rPr>
      <w:b/>
      <w:sz w:val="14"/>
      <w:szCs w:val="14"/>
    </w:rPr>
  </w:style>
  <w:style w:type="paragraph" w:customStyle="1" w:styleId="IGJVoorhangnota">
    <w:name w:val="IGJ Voorhangnota"/>
    <w:basedOn w:val="Normal"/>
    <w:next w:val="Normal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Normal"/>
    <w:next w:val="Normal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Normal"/>
    <w:next w:val="Normal"/>
    <w:pPr>
      <w:spacing w:before="200"/>
    </w:pPr>
    <w:rPr>
      <w:b/>
    </w:rPr>
  </w:style>
  <w:style w:type="paragraph" w:customStyle="1" w:styleId="IJZPlanvanAanpaknummer">
    <w:name w:val="IJZ Plan van Aanpak nummer"/>
    <w:basedOn w:val="Normal"/>
    <w:next w:val="Normal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Normal"/>
    <w:next w:val="Normal"/>
    <w:pPr>
      <w:spacing w:before="240"/>
    </w:pPr>
    <w:rPr>
      <w:b/>
    </w:rPr>
  </w:style>
  <w:style w:type="paragraph" w:customStyle="1" w:styleId="IJZRapportA">
    <w:name w:val="IJZ Rapport A"/>
    <w:basedOn w:val="Normal"/>
    <w:next w:val="Normal"/>
    <w:pPr>
      <w:spacing w:before="240"/>
    </w:pPr>
    <w:rPr>
      <w:b/>
    </w:rPr>
  </w:style>
  <w:style w:type="paragraph" w:customStyle="1" w:styleId="IJZUitvoeringsplan">
    <w:name w:val="IJZ Uitvoeringsplan"/>
    <w:basedOn w:val="Normal"/>
    <w:next w:val="Normal"/>
    <w:pPr>
      <w:numPr>
        <w:ilvl w:val="1"/>
        <w:numId w:val="7"/>
      </w:numPr>
      <w:spacing w:before="240"/>
    </w:pPr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ind w:left="-1120"/>
    </w:pPr>
  </w:style>
  <w:style w:type="paragraph" w:styleId="TOC2">
    <w:name w:val="toc 2"/>
    <w:basedOn w:val="TOC1"/>
    <w:next w:val="Normal"/>
    <w:pPr>
      <w:spacing w:before="240"/>
    </w:pPr>
    <w:rPr>
      <w:b/>
    </w:rPr>
  </w:style>
  <w:style w:type="paragraph" w:styleId="TOC3">
    <w:name w:val="toc 3"/>
    <w:basedOn w:val="TOC2"/>
    <w:next w:val="Normal"/>
    <w:pPr>
      <w:spacing w:before="0"/>
    </w:pPr>
    <w:rPr>
      <w:b w:val="0"/>
    </w:rPr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8"/>
      </w:numPr>
    </w:pPr>
  </w:style>
  <w:style w:type="paragraph" w:customStyle="1" w:styleId="Lijstniveau2">
    <w:name w:val="Lijst niveau 2"/>
    <w:basedOn w:val="Normal"/>
    <w:pPr>
      <w:numPr>
        <w:ilvl w:val="1"/>
        <w:numId w:val="8"/>
      </w:numPr>
    </w:pPr>
  </w:style>
  <w:style w:type="paragraph" w:customStyle="1" w:styleId="Lijstniveau3">
    <w:name w:val="Lijst niveau 3"/>
    <w:basedOn w:val="Normal"/>
    <w:pPr>
      <w:numPr>
        <w:ilvl w:val="2"/>
        <w:numId w:val="8"/>
      </w:numPr>
    </w:p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Normal"/>
    <w:next w:val="Normal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Normal"/>
    <w:next w:val="Normal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Normal"/>
    <w:next w:val="Normal"/>
    <w:pPr>
      <w:spacing w:before="100" w:after="240"/>
    </w:pPr>
  </w:style>
  <w:style w:type="paragraph" w:customStyle="1" w:styleId="StandaardAfzendgegevens">
    <w:name w:val="Standaard_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Normal"/>
    <w:next w:val="Normal"/>
    <w:rPr>
      <w:i/>
      <w:sz w:val="13"/>
      <w:szCs w:val="13"/>
    </w:rPr>
  </w:style>
  <w:style w:type="paragraph" w:customStyle="1" w:styleId="StandaardAfzendgegevenskop">
    <w:name w:val="Standaard_Afzend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Normal"/>
    <w:next w:val="Normal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Normal"/>
    <w:rPr>
      <w:i/>
    </w:rPr>
  </w:style>
  <w:style w:type="paragraph" w:customStyle="1" w:styleId="StandaardReferentiegegevenskop">
    <w:name w:val="Standaard_Referentiegegevens_kop"/>
    <w:basedOn w:val="Normal"/>
    <w:next w:val="Normal"/>
    <w:rPr>
      <w:b/>
      <w:sz w:val="13"/>
      <w:szCs w:val="13"/>
    </w:rPr>
  </w:style>
  <w:style w:type="paragraph" w:customStyle="1" w:styleId="StandaardSlotzin">
    <w:name w:val="Standaard_Slotzin"/>
    <w:basedOn w:val="Normal"/>
    <w:next w:val="Normal"/>
    <w:pPr>
      <w:spacing w:before="240"/>
    </w:pPr>
  </w:style>
  <w:style w:type="paragraph" w:customStyle="1" w:styleId="StandaardV9Italic">
    <w:name w:val="Standaard_V9_Italic"/>
    <w:basedOn w:val="Normal"/>
    <w:next w:val="Normal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Normal"/>
    <w:next w:val="Normal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Normal"/>
    <w:next w:val="Normal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Normal"/>
    <w:next w:val="Normal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Normal"/>
    <w:next w:val="Normal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Normal"/>
    <w:next w:val="Normal"/>
    <w:rPr>
      <w:b/>
    </w:rPr>
  </w:style>
  <w:style w:type="paragraph" w:customStyle="1" w:styleId="VWSAMvB">
    <w:name w:val="VWS AMvB"/>
    <w:basedOn w:val="Normal"/>
    <w:next w:val="Normal"/>
    <w:pPr>
      <w:spacing w:before="480"/>
    </w:pPr>
  </w:style>
  <w:style w:type="paragraph" w:customStyle="1" w:styleId="VWSBlauweBrief">
    <w:name w:val="VWS Blauwe Brief"/>
    <w:basedOn w:val="Normal"/>
    <w:next w:val="Normal"/>
    <w:pPr>
      <w:spacing w:before="760" w:after="240"/>
    </w:pPr>
  </w:style>
  <w:style w:type="paragraph" w:customStyle="1" w:styleId="VWSColofonItalic65Bold">
    <w:name w:val="VWS Colofon Italic 6;5 Bold"/>
    <w:basedOn w:val="Normal"/>
    <w:next w:val="Normal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Normal"/>
    <w:next w:val="Normal"/>
    <w:pPr>
      <w:jc w:val="right"/>
    </w:pPr>
  </w:style>
  <w:style w:type="paragraph" w:customStyle="1" w:styleId="VWSNtb">
    <w:name w:val="VWS Ntb"/>
    <w:basedOn w:val="Normal"/>
    <w:next w:val="Normal"/>
    <w:pPr>
      <w:numPr>
        <w:ilvl w:val="1"/>
        <w:numId w:val="11"/>
      </w:numPr>
    </w:pPr>
  </w:style>
  <w:style w:type="paragraph" w:customStyle="1" w:styleId="VWSNtb-inspringen">
    <w:name w:val="VWS Ntb - inspringen"/>
    <w:basedOn w:val="Normal"/>
    <w:next w:val="Normal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Normal"/>
    <w:next w:val="Normal"/>
  </w:style>
  <w:style w:type="paragraph" w:customStyle="1" w:styleId="VWSNtbinspringenklik">
    <w:name w:val="VWS Ntb inspringen klik"/>
    <w:basedOn w:val="Normal"/>
    <w:next w:val="Normal"/>
    <w:pPr>
      <w:numPr>
        <w:numId w:val="10"/>
      </w:numPr>
    </w:pPr>
  </w:style>
  <w:style w:type="paragraph" w:customStyle="1" w:styleId="VWSNtbKop">
    <w:name w:val="VWS Ntb Kop"/>
    <w:basedOn w:val="Normal"/>
    <w:next w:val="Normal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Normal"/>
    <w:next w:val="Normal"/>
  </w:style>
  <w:style w:type="paragraph" w:customStyle="1" w:styleId="VWSStartnota">
    <w:name w:val="VWS Startnota"/>
    <w:basedOn w:val="Normal"/>
    <w:next w:val="Normal"/>
  </w:style>
  <w:style w:type="paragraph" w:customStyle="1" w:styleId="VWSStartnotaKop1">
    <w:name w:val="VWS Startnota Kop 1"/>
    <w:basedOn w:val="Normal"/>
    <w:next w:val="Normal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Normal"/>
    <w:next w:val="Normal"/>
    <w:rPr>
      <w:sz w:val="20"/>
      <w:szCs w:val="20"/>
    </w:rPr>
  </w:style>
  <w:style w:type="paragraph" w:customStyle="1" w:styleId="VWSStartnotaV8italic">
    <w:name w:val="VWS Startnota V8 italic"/>
    <w:basedOn w:val="Normal"/>
    <w:next w:val="Normal"/>
    <w:rPr>
      <w:i/>
      <w:sz w:val="16"/>
      <w:szCs w:val="16"/>
    </w:rPr>
  </w:style>
  <w:style w:type="paragraph" w:customStyle="1" w:styleId="VWSToespraakbodytekstV14">
    <w:name w:val="VWS Toespraak bodytekst V14"/>
    <w:basedOn w:val="Normal"/>
    <w:next w:val="Normal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Normal"/>
    <w:next w:val="Normal"/>
    <w:rPr>
      <w:sz w:val="13"/>
      <w:szCs w:val="13"/>
    </w:rPr>
  </w:style>
  <w:style w:type="paragraph" w:customStyle="1" w:styleId="VWSVoordrachtDatum">
    <w:name w:val="VWS Voordracht Datum"/>
    <w:basedOn w:val="Normal"/>
    <w:next w:val="Normal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8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8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9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98"/>
    <w:rPr>
      <w:rFonts w:ascii="Verdana" w:hAnsi="Verdana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8F7DC6"/>
    <w:rPr>
      <w:i/>
      <w:iCs/>
    </w:rPr>
  </w:style>
  <w:style w:type="paragraph" w:styleId="NormalWeb">
    <w:name w:val="Normal (Web)"/>
    <w:basedOn w:val="Normal"/>
    <w:uiPriority w:val="99"/>
    <w:unhideWhenUsed/>
    <w:rsid w:val="008F7DC6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58D6"/>
    <w:pPr>
      <w:autoSpaceDN/>
      <w:spacing w:line="240" w:lineRule="auto"/>
      <w:textAlignment w:val="auto"/>
    </w:pPr>
    <w:rPr>
      <w:rFonts w:ascii="Univers" w:eastAsia="Times New Roman" w:hAnsi="Univer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8D6"/>
    <w:rPr>
      <w:rFonts w:ascii="Univers" w:eastAsia="Times New Roman" w:hAnsi="Univers" w:cs="Times New Roman"/>
    </w:rPr>
  </w:style>
  <w:style w:type="character" w:styleId="FootnoteReference">
    <w:name w:val="footnote reference"/>
    <w:basedOn w:val="DefaultParagraphFont"/>
    <w:uiPriority w:val="99"/>
    <w:semiHidden/>
    <w:rsid w:val="00B658D6"/>
    <w:rPr>
      <w:vertAlign w:val="superscript"/>
    </w:rPr>
  </w:style>
  <w:style w:type="character" w:styleId="Strong">
    <w:name w:val="Strong"/>
    <w:basedOn w:val="DefaultParagraphFont"/>
    <w:uiPriority w:val="22"/>
    <w:qFormat/>
    <w:rsid w:val="002A729E"/>
    <w:rPr>
      <w:b/>
      <w:bCs/>
    </w:rPr>
  </w:style>
  <w:style w:type="paragraph" w:customStyle="1" w:styleId="tussenkop">
    <w:name w:val="tussenkop"/>
    <w:basedOn w:val="Normal"/>
    <w:rsid w:val="002A729E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137C3"/>
    <w:pPr>
      <w:autoSpaceDN/>
      <w:spacing w:before="120" w:after="120" w:line="240" w:lineRule="auto"/>
      <w:jc w:val="both"/>
      <w:textAlignment w:val="auto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Marker">
    <w:name w:val="Marker"/>
    <w:basedOn w:val="DefaultParagraphFont"/>
    <w:rsid w:val="002137C3"/>
    <w:rPr>
      <w:color w:val="0000FF"/>
      <w:shd w:val="clear" w:color="auto" w:fill="auto"/>
    </w:rPr>
  </w:style>
  <w:style w:type="paragraph" w:customStyle="1" w:styleId="Default">
    <w:name w:val="Default"/>
    <w:rsid w:val="0067290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E7EEA"/>
    <w:rPr>
      <w:rFonts w:ascii="Verdana" w:hAnsi="Verdana"/>
      <w:color w:val="000000"/>
      <w:sz w:val="18"/>
      <w:szCs w:val="18"/>
    </w:rPr>
  </w:style>
  <w:style w:type="paragraph" w:customStyle="1" w:styleId="ti-art">
    <w:name w:val="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i-art">
    <w:name w:val="s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ard1">
    <w:name w:val="Standaard1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jksoverheid.nl/" TargetMode="External"/><Relationship Id="rId1" Type="http://schemas.openxmlformats.org/officeDocument/2006/relationships/hyperlink" Target="https://www.rijksoverheid.n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EMSGJJ\AppData\Local\Microsoft\Windows\INetCache\IE\BUYRAFI3\Beslui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307-48C5-4E10-9E1E-10B17B6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Besluit.dotx</Template>
  <TotalTime>5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G.J.J. (Anna)</dc:creator>
  <cp:lastModifiedBy>Dimitris Dimitriadis</cp:lastModifiedBy>
  <cp:revision>6</cp:revision>
  <cp:lastPrinted>2019-05-15T13:40:00Z</cp:lastPrinted>
  <dcterms:created xsi:type="dcterms:W3CDTF">2021-07-27T20:03:00Z</dcterms:created>
  <dcterms:modified xsi:type="dcterms:W3CDTF">2021-08-11T16:12:00Z</dcterms:modified>
</cp:coreProperties>
</file>