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72F10621" w:rsidR="00DF230E" w:rsidRDefault="00F85DA0" w:rsidP="00F1430D">
      <w:pPr>
        <w:pStyle w:val="Titel"/>
        <w:tabs>
          <w:tab w:val="clear" w:pos="6804"/>
          <w:tab w:val="right" w:pos="7513"/>
        </w:tabs>
      </w:pPr>
      <w:r w:rsidRPr="00E62552">
        <w:rPr>
          <w:noProof/>
        </w:rPr>
        <mc:AlternateContent>
          <mc:Choice Requires="wps">
            <w:drawing>
              <wp:anchor distT="0" distB="0" distL="114300" distR="114300" simplePos="0" relativeHeight="251659265" behindDoc="0" locked="0" layoutInCell="1" allowOverlap="1" wp14:anchorId="438AC7CC" wp14:editId="100D6950">
                <wp:simplePos x="0" y="0"/>
                <wp:positionH relativeFrom="column">
                  <wp:posOffset>3975735</wp:posOffset>
                </wp:positionH>
                <wp:positionV relativeFrom="paragraph">
                  <wp:posOffset>156845</wp:posOffset>
                </wp:positionV>
                <wp:extent cx="1181100" cy="558800"/>
                <wp:effectExtent l="0" t="0" r="0" b="0"/>
                <wp:wrapNone/>
                <wp:docPr id="799183960" name="Text Box 1"/>
                <wp:cNvGraphicFramePr/>
                <a:graphic xmlns:a="http://schemas.openxmlformats.org/drawingml/2006/main">
                  <a:graphicData uri="http://schemas.microsoft.com/office/word/2010/wordprocessingShape">
                    <wps:wsp>
                      <wps:cNvSpPr txBox="1"/>
                      <wps:spPr>
                        <a:xfrm>
                          <a:off x="0" y="0"/>
                          <a:ext cx="1181100" cy="558800"/>
                        </a:xfrm>
                        <a:prstGeom prst="rect">
                          <a:avLst/>
                        </a:prstGeom>
                        <a:solidFill>
                          <a:schemeClr val="lt1"/>
                        </a:solidFill>
                        <a:ln w="6350">
                          <a:noFill/>
                        </a:ln>
                      </wps:spPr>
                      <wps:txbx>
                        <w:txbxContent>
                          <w:p w14:paraId="374CE7CB" w14:textId="164B17EE" w:rsidR="00F85DA0" w:rsidRPr="00F85DA0" w:rsidRDefault="00F85DA0" w:rsidP="008D38BA">
                            <w:pPr>
                              <w:rPr>
                                <w:b/>
                                <w:bCs/>
                                <w:sz w:val="22"/>
                                <w:szCs w:val="22"/>
                              </w:rPr>
                            </w:pPr>
                            <w:r>
                              <w:rPr>
                                <w:b/>
                                <w:sz w:val="22"/>
                              </w:rPr>
                              <w:t>ZWEEDS VERVOERSAGENTSCHAP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3.05pt;margin-top:12.35pt;width:93pt;height:4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" fillcolor="white [3201]" stroked="f" strokeweight=".5pt">
                <v:textbox inset="0,0,0,0">
                  <w:txbxContent>
                    <w:p w14:paraId="374CE7CB" w14:textId="164B17EE" w:rsidR="00F85DA0" w:rsidRPr="00F85DA0" w:rsidRDefault="00F85DA0" w:rsidP="008D38BA">
                      <w:pPr>
                        <w:rPr>
                          <w:b/>
                          <w:bCs/>
                          <w:sz w:val="22"/>
                          <w:szCs w:val="22"/>
                        </w:rPr>
                      </w:pPr>
                      <w:r>
                        <w:rPr>
                          <w:b/>
                          <w:sz w:val="22"/>
                        </w:rPr>
                        <w:t>ZWEEDS VERVOERSAGENTSCHAP</w:t>
                      </w:r>
                    </w:p>
                  </w:txbxContent>
                </v:textbox>
              </v:shape>
            </w:pict>
          </mc:Fallback>
        </mc:AlternateContent>
      </w:r>
      <w:r w:rsidRPr="00E62552">
        <w:t xml:space="preserve">Verzameling van wetten van </w:t>
      </w:r>
      <w:r w:rsidR="00E62552" w:rsidRPr="00E62552">
        <w:br/>
      </w:r>
      <w:r w:rsidRPr="00E62552">
        <w:t>het Zweeds Vervoersagentschap</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Verordeningen</w:t>
      </w:r>
      <w:r>
        <w:br/>
        <w:t>tot wijziging van het reglement en algemeen advies van het Zweedse vervoersagentschap (TSFS 2016:22) betreffende auto’s en aanhangwagens die door auto’s worden getrokken en die op 1 juli 2010 of later in gebruik zijn genomen;</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50B5FC87">
                <wp:simplePos x="0" y="0"/>
                <wp:positionH relativeFrom="page">
                  <wp:posOffset>4406900</wp:posOffset>
                </wp:positionH>
                <wp:positionV relativeFrom="page">
                  <wp:posOffset>2264410</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F1430D"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Jaar"/>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Gepubliceerd</w:t>
                            </w:r>
                            <w:r>
                              <w:br/>
                              <w:t xml:space="preserve">op </w:t>
                            </w:r>
                            <w:sdt>
                              <w:sdtPr>
                                <w:alias w:val="Kies een datum"/>
                                <w:tag w:val="Utkom datum"/>
                                <w:id w:val="1764647152"/>
                                <w:showingPlcHdr/>
                                <w:dataBinding w:prefixMappings="xmlns:ns0='consensis-fs'" w:xpath="/ns0:root[1]/ns0:fs-fields[1]/ns0:fs-date[1]" w:storeItemID="{F222B965-9C48-4AC7-962E-E2AF3EEF1550}"/>
                                <w:date>
                                  <w:dateFormat w:val="d MMMM yyyy"/>
                                  <w:lid w:val="nl-NL"/>
                                  <w:storeMappedDataAs w:val="dateTime"/>
                                  <w:calendar w:val="gregorian"/>
                                </w:date>
                              </w:sdtPr>
                              <w:sdtEndPr/>
                              <w:sdtContent>
                                <w:r>
                                  <w:rPr>
                                    <w:rStyle w:val="PlaceholderText"/>
                                  </w:rPr>
                                  <w:t>[Kies een datum]</w:t>
                                </w:r>
                              </w:sdtContent>
                            </w:sdt>
                          </w:p>
                          <w:sdt>
                            <w:sdtPr>
                              <w:alias w:val="Voer reeksen in"/>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WEGVERKEER</w:t>
                                </w:r>
                              </w:p>
                            </w:sdtContent>
                          </w:sdt>
                          <w:p w14:paraId="55142639" w14:textId="77777777" w:rsidR="00FC02EB" w:rsidRPr="007C403E" w:rsidRDefault="00F1430D" w:rsidP="007C403E">
                            <w:pPr>
                              <w:pStyle w:val="Underserie"/>
                              <w:rPr>
                                <w:bCs/>
                              </w:rPr>
                            </w:pPr>
                            <w:sdt>
                              <w:sdtPr>
                                <w:alias w:val="Voer subserie in"/>
                                <w:tag w:val="Userie"/>
                                <w:id w:val="1607690029"/>
                                <w:showingPlcHdr/>
                                <w:dataBinding w:prefixMappings="xmlns:ns0='consensis-fs'" w:xpath="/ns0:root[1]/ns0:fs-fields[1]/ns0:fs-subseries[1]" w:storeItemID="{F222B965-9C48-4AC7-962E-E2AF3EEF1550}"/>
                                <w:text/>
                              </w:sdtPr>
                              <w:sdtEndPr/>
                              <w:sdtContent>
                                <w:r w:rsidR="00DA20BB">
                                  <w:rPr>
                                    <w:rStyle w:val="PlaceholderText"/>
                                  </w:rPr>
                                  <w:t>[Voer subserie in]</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47pt;margin-top:178.3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" filled="f" stroked="f">
                <v:textbox>
                  <w:txbxContent>
                    <w:p w14:paraId="570F4F7F" w14:textId="77777777" w:rsidR="00FC02EB" w:rsidRPr="0024789E" w:rsidRDefault="00F1430D"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Jaar"/>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Gepubliceerd</w:t>
                      </w:r>
                      <w:r>
                        <w:br/>
                        <w:t xml:space="preserve">op </w:t>
                      </w:r>
                      <w:sdt>
                        <w:sdtPr>
                          <w:alias w:val="Kies een datum"/>
                          <w:tag w:val="Utkom datum"/>
                          <w:id w:val="1764647152"/>
                          <w:showingPlcHdr/>
                          <w:dataBinding w:prefixMappings="xmlns:ns0='consensis-fs'" w:xpath="/ns0:root[1]/ns0:fs-fields[1]/ns0:fs-date[1]" w:storeItemID="{F222B965-9C48-4AC7-962E-E2AF3EEF1550}"/>
                          <w:date>
                            <w:dateFormat w:val="d MMMM yyyy"/>
                            <w:lid w:val="nl-NL"/>
                            <w:storeMappedDataAs w:val="dateTime"/>
                            <w:calendar w:val="gregorian"/>
                          </w:date>
                        </w:sdtPr>
                        <w:sdtEndPr/>
                        <w:sdtContent>
                          <w:r>
                            <w:rPr>
                              <w:rStyle w:val="PlaceholderText"/>
                            </w:rPr>
                            <w:t>[Kies een datum]</w:t>
                          </w:r>
                        </w:sdtContent>
                      </w:sdt>
                    </w:p>
                    <w:sdt>
                      <w:sdtPr>
                        <w:alias w:val="Voer reeksen in"/>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WEGVERKEER</w:t>
                          </w:r>
                        </w:p>
                      </w:sdtContent>
                    </w:sdt>
                    <w:p w14:paraId="55142639" w14:textId="77777777" w:rsidR="00FC02EB" w:rsidRPr="007C403E" w:rsidRDefault="00F1430D" w:rsidP="007C403E">
                      <w:pPr>
                        <w:pStyle w:val="Underserie"/>
                        <w:rPr>
                          <w:bCs/>
                        </w:rPr>
                      </w:pPr>
                      <w:sdt>
                        <w:sdtPr>
                          <w:alias w:val="Voer subserie in"/>
                          <w:tag w:val="Userie"/>
                          <w:id w:val="1607690029"/>
                          <w:showingPlcHdr/>
                          <w:dataBinding w:prefixMappings="xmlns:ns0='consensis-fs'" w:xpath="/ns0:root[1]/ns0:fs-fields[1]/ns0:fs-subseries[1]" w:storeItemID="{F222B965-9C48-4AC7-962E-E2AF3EEF1550}"/>
                          <w:text/>
                        </w:sdtPr>
                        <w:sdtEndPr/>
                        <w:sdtContent>
                          <w:r w:rsidR="00DA20BB">
                            <w:rPr>
                              <w:rStyle w:val="PlaceholderText"/>
                            </w:rPr>
                            <w:t>[Voer subserie in]</w:t>
                          </w:r>
                        </w:sdtContent>
                      </w:sdt>
                    </w:p>
                  </w:txbxContent>
                </v:textbox>
                <w10:wrap anchorx="page" anchory="page"/>
                <w10:anchorlock/>
              </v:shape>
            </w:pict>
          </mc:Fallback>
        </mc:AlternateContent>
      </w:r>
      <w:r>
        <w:t xml:space="preserve">aangenomen op </w:t>
      </w:r>
      <w:sdt>
        <w:sdtPr>
          <w:rPr>
            <w:szCs w:val="22"/>
          </w:rPr>
          <w:alias w:val="Kies een datum"/>
          <w:tag w:val="Välj ett datum"/>
          <w:id w:val="1438946608"/>
          <w:placeholder>
            <w:docPart w:val="E534B498335E4FF69B2409C76F31088A"/>
          </w:placeholder>
          <w:showingPlcHdr/>
          <w:date>
            <w:dateFormat w:val="d MMMM yyyy"/>
            <w:lid w:val="nl-NL"/>
            <w:storeMappedDataAs w:val="dateTime"/>
            <w:calendar w:val="gregorian"/>
          </w:date>
        </w:sdtPr>
        <w:sdtEndPr/>
        <w:sdtContent>
          <w:r>
            <w:rPr>
              <w:rStyle w:val="PlaceholderText"/>
            </w:rPr>
            <w:t>[Kies een datum]</w:t>
          </w:r>
        </w:sdtContent>
      </w:sdt>
      <w:r>
        <w:t>.</w:t>
      </w:r>
    </w:p>
    <w:p w14:paraId="010B2956" w14:textId="21A435C8" w:rsidR="00E43EE1" w:rsidRDefault="008F31FC" w:rsidP="00B72887">
      <w:pPr>
        <w:pStyle w:val="Styckemedindrag"/>
      </w:pPr>
      <w:r>
        <w:t>Krachtens hoofdstuk 8, afdeling 16 van de Voertuigverordening (2009:211) schrijft het Zweedse vervoersagentschap</w:t>
      </w:r>
      <w:r w:rsidR="00A21E13">
        <w:rPr>
          <w:rStyle w:val="FootnoteReference"/>
        </w:rPr>
        <w:footnoteReference w:id="2"/>
      </w:r>
      <w:r>
        <w:t xml:space="preserve"> voor dat bijlage 1 bij het reglement en algemeen advies van het Agentschap (TSFS 2016:22) betreffende auto’s en aanhangwagens die door auto’s worden getrokken en die op 1 juli 2010 of later in gebruik zijn genomen, als volgt wordt gelezen.</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Dit statuut treedt in werking op 1 oktober 2023.</w:t>
      </w:r>
    </w:p>
    <w:p w14:paraId="05C0A8CC" w14:textId="0E015735" w:rsidR="00602C6F" w:rsidRDefault="00E4255A" w:rsidP="00E4255A">
      <w:pPr>
        <w:pStyle w:val="Beslutandeochfredragande"/>
      </w:pPr>
      <w:r>
        <w:t>Namens het Zweedse vervoersagentschap</w:t>
      </w:r>
      <w:r>
        <w:br/>
      </w:r>
      <w:r>
        <w:br/>
        <w:t>JONAS BJELFVENSTAM</w:t>
      </w:r>
      <w:r>
        <w:br/>
      </w:r>
      <w:r>
        <w:tab/>
        <w:t>Elena Belkow</w:t>
      </w:r>
      <w:r>
        <w:br/>
      </w:r>
      <w:r>
        <w:tab/>
        <w:t>(Wegen en Spoorwegen)</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Bijlage 1. Vereisten voor personenauto’s, bussen, vrachtwagens en aanhangwagens daarvan</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Verlichtings- en lichtsignaalinrichtingen en de installatie daarvan </w:t>
      </w:r>
    </w:p>
    <w:p w14:paraId="110EEE08" w14:textId="77777777" w:rsidR="00F808A7" w:rsidRPr="00802803" w:rsidRDefault="00F808A7" w:rsidP="00F808A7">
      <w:pPr>
        <w:pStyle w:val="Stycke"/>
      </w:pPr>
      <w:r>
        <w:t>Een auto en een aanhangwagen dienen te zijn voorzien van de verlichtings- en lichtsignaalinrichtingen zoals gespecificeerd in rij K1 of K2 in de onderstaande tabel. Deze dienen zodanig te worden geïnstalleerd dat zij voldoen aan de voorschriften van rij K1 of K2 en rij K3-K7.</w:t>
      </w:r>
    </w:p>
    <w:p w14:paraId="04CE732A" w14:textId="77777777" w:rsidR="00F808A7" w:rsidRPr="00802803" w:rsidRDefault="00F808A7" w:rsidP="00F808A7">
      <w:pPr>
        <w:pStyle w:val="Styckemedindrag"/>
      </w:pPr>
      <w:r>
        <w:t>Een auto van categorie M</w:t>
      </w:r>
      <w:r>
        <w:rPr>
          <w:vertAlign w:val="subscript"/>
        </w:rPr>
        <w:t>1</w:t>
      </w:r>
      <w:r>
        <w:t>, N</w:t>
      </w:r>
      <w:r>
        <w:rPr>
          <w:vertAlign w:val="subscript"/>
        </w:rPr>
        <w:t>1</w:t>
      </w:r>
      <w:r>
        <w:t xml:space="preserve"> en N</w:t>
      </w:r>
      <w:r>
        <w:rPr>
          <w:vertAlign w:val="subscript"/>
        </w:rPr>
        <w:t>2</w:t>
      </w:r>
      <w:r>
        <w:t xml:space="preserve"> met een beladen massa tot 4 536 kg vervaardigd in grote reeksen in, of voor derde landen, kunnen in plaats daarvan voldoen aan de voorschriften van rij T1.</w:t>
      </w:r>
    </w:p>
    <w:p w14:paraId="7F24C5F4" w14:textId="77777777" w:rsidR="00F808A7" w:rsidRPr="00802803" w:rsidRDefault="00F808A7" w:rsidP="00F808A7">
      <w:pPr>
        <w:pStyle w:val="Styckemedindrag"/>
      </w:pPr>
      <w:r>
        <w:t>Een dolly van categorie O</w:t>
      </w:r>
      <w:r>
        <w:rPr>
          <w:vertAlign w:val="subscript"/>
        </w:rPr>
        <w:t>3</w:t>
      </w:r>
      <w:r>
        <w:t xml:space="preserve"> en O</w:t>
      </w:r>
      <w:r>
        <w:rPr>
          <w:vertAlign w:val="subscript"/>
        </w:rPr>
        <w:t>4</w:t>
      </w:r>
      <w:r>
        <w:t xml:space="preserve"> hoeft niet te voldoen aan de voorschriften inzake contourmarkering overeenkomstig rij K2.</w:t>
      </w:r>
    </w:p>
    <w:p w14:paraId="40CB2E95" w14:textId="77777777" w:rsidR="00F808A7" w:rsidRPr="00802803" w:rsidRDefault="00F808A7" w:rsidP="00F808A7">
      <w:pPr>
        <w:pStyle w:val="Styckemedindrag"/>
      </w:pPr>
      <w:r>
        <w:t>Een kampeerauto, een ambulance, een lijkwagen, een gepantserd voertuig en een EG-mobiele kraan, in de gevallen vermeld in rij S1, hoeven niet aan alle voorschriften van rij K1 of K2 te voldoen.</w:t>
      </w:r>
    </w:p>
    <w:p w14:paraId="4DC6D73B" w14:textId="77777777" w:rsidR="00F808A7" w:rsidRPr="00802803" w:rsidRDefault="00F808A7" w:rsidP="00F808A7">
      <w:pPr>
        <w:pStyle w:val="Styckemedindrag"/>
      </w:pPr>
      <w:r>
        <w:t>Een kampeerauto, een ambulance en een lijkwagen kunnen, in de gevallen vermeld in rij S2, voldoen in plaats daarvan aan de daar vermelde voorschriften.</w:t>
      </w:r>
    </w:p>
    <w:p w14:paraId="603BC8C0" w14:textId="363F9792" w:rsidR="00F808A7" w:rsidRDefault="00F808A7" w:rsidP="007E0EC5">
      <w:pPr>
        <w:pStyle w:val="Styckemedindrag"/>
      </w:pPr>
      <w:r>
        <w:t>Een auto en een aanhangwagen mogen worden uitgerust volgens de voorschriften van rij U1-U11, onverminderd de voorschriften van K1, K2 en T1.</w:t>
      </w:r>
    </w:p>
    <w:p w14:paraId="5E247C37" w14:textId="27AB0253" w:rsidR="00012970" w:rsidRDefault="00012970" w:rsidP="007E0EC5">
      <w:pPr>
        <w:pStyle w:val="StyckemedindragNDRAD"/>
      </w:pPr>
      <w:r>
        <w:t>Noodvoertuigen van de politiële autoriteit mogen worden uitgerust volgens de voorschriften van rij U12, onverminderd de voorschriften van K1, K2 en T1.</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1663"/>
        <w:gridCol w:w="1681"/>
        <w:gridCol w:w="1876"/>
        <w:gridCol w:w="7"/>
      </w:tblGrid>
      <w:tr w:rsidR="00F808A7" w:rsidRPr="00802803" w14:paraId="4026A071" w14:textId="77777777" w:rsidTr="007500DF">
        <w:trPr>
          <w:gridAfter w:val="1"/>
          <w:wAfter w:w="7" w:type="pct"/>
          <w:cantSplit/>
          <w:trHeight w:val="182"/>
        </w:trPr>
        <w:tc>
          <w:tcPr>
            <w:tcW w:w="420"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Rij</w:t>
            </w:r>
          </w:p>
        </w:tc>
        <w:tc>
          <w:tcPr>
            <w:tcW w:w="2930"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Bepalingen</w:t>
            </w:r>
          </w:p>
        </w:tc>
        <w:tc>
          <w:tcPr>
            <w:tcW w:w="1644"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Geldt voor voertuigen die in gebruik zijn genomen</w:t>
            </w:r>
          </w:p>
        </w:tc>
      </w:tr>
      <w:tr w:rsidR="00F808A7" w:rsidRPr="00802803" w14:paraId="0C77BF69" w14:textId="77777777" w:rsidTr="007500DF">
        <w:trPr>
          <w:gridAfter w:val="1"/>
          <w:wAfter w:w="7" w:type="pct"/>
          <w:cantSplit/>
          <w:trHeight w:val="182"/>
        </w:trPr>
        <w:tc>
          <w:tcPr>
            <w:tcW w:w="420"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57"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Overeenkomstig de voorschriften van Richtlijn</w:t>
            </w:r>
          </w:p>
        </w:tc>
        <w:tc>
          <w:tcPr>
            <w:tcW w:w="1473"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76/756/EEG</w:t>
            </w:r>
          </w:p>
        </w:tc>
        <w:tc>
          <w:tcPr>
            <w:tcW w:w="1644"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7500DF">
        <w:trPr>
          <w:gridAfter w:val="1"/>
          <w:wAfter w:w="7" w:type="pct"/>
          <w:cantSplit/>
          <w:trHeight w:val="182"/>
        </w:trPr>
        <w:tc>
          <w:tcPr>
            <w:tcW w:w="420"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57"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gewijzigd bij Richtlijn</w:t>
            </w:r>
          </w:p>
        </w:tc>
        <w:tc>
          <w:tcPr>
            <w:tcW w:w="1473"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97/28/EG</w:t>
            </w:r>
          </w:p>
        </w:tc>
        <w:tc>
          <w:tcPr>
            <w:tcW w:w="1644"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1-7-2010–</w:t>
            </w:r>
          </w:p>
          <w:p w14:paraId="3B45EE3C" w14:textId="77777777" w:rsidR="00F808A7" w:rsidRPr="00802803" w:rsidRDefault="00F808A7" w:rsidP="00FC02EB">
            <w:pPr>
              <w:ind w:right="72"/>
              <w:rPr>
                <w:bCs/>
                <w:sz w:val="19"/>
                <w:szCs w:val="19"/>
              </w:rPr>
            </w:pPr>
            <w:r>
              <w:rPr>
                <w:sz w:val="19"/>
              </w:rPr>
              <w:t>9-7-2011</w:t>
            </w:r>
          </w:p>
        </w:tc>
      </w:tr>
      <w:tr w:rsidR="00F808A7" w:rsidRPr="00802803" w14:paraId="23093508" w14:textId="77777777" w:rsidTr="007500DF">
        <w:trPr>
          <w:gridAfter w:val="1"/>
          <w:wAfter w:w="7" w:type="pct"/>
          <w:cantSplit/>
          <w:trHeight w:val="182"/>
        </w:trPr>
        <w:tc>
          <w:tcPr>
            <w:tcW w:w="420"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57"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473"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2007/35/EG</w:t>
            </w:r>
          </w:p>
        </w:tc>
        <w:tc>
          <w:tcPr>
            <w:tcW w:w="1644"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1-7-2010–</w:t>
            </w:r>
          </w:p>
          <w:p w14:paraId="3F14FBB5" w14:textId="77777777" w:rsidR="00F808A7" w:rsidRPr="00802803" w:rsidRDefault="00F808A7" w:rsidP="00FC02EB">
            <w:pPr>
              <w:ind w:right="72"/>
              <w:rPr>
                <w:bCs/>
                <w:sz w:val="19"/>
                <w:szCs w:val="19"/>
              </w:rPr>
            </w:pPr>
            <w:r>
              <w:rPr>
                <w:sz w:val="19"/>
              </w:rPr>
              <w:t>31-12-2017</w:t>
            </w:r>
          </w:p>
        </w:tc>
      </w:tr>
      <w:tr w:rsidR="00F808A7" w:rsidRPr="00802803" w14:paraId="0F2018BC" w14:textId="77777777" w:rsidTr="007500DF">
        <w:trPr>
          <w:gridAfter w:val="1"/>
          <w:wAfter w:w="7" w:type="pct"/>
          <w:cantSplit/>
          <w:trHeight w:val="182"/>
        </w:trPr>
        <w:tc>
          <w:tcPr>
            <w:tcW w:w="420"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57"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473"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2008/89/EG</w:t>
            </w:r>
          </w:p>
        </w:tc>
        <w:tc>
          <w:tcPr>
            <w:tcW w:w="1644"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1-7-2010–</w:t>
            </w:r>
          </w:p>
          <w:p w14:paraId="28458C32" w14:textId="77777777" w:rsidR="00F808A7" w:rsidRPr="00802803" w:rsidRDefault="00F808A7" w:rsidP="00FC02EB">
            <w:pPr>
              <w:ind w:right="72"/>
              <w:rPr>
                <w:bCs/>
                <w:sz w:val="19"/>
                <w:szCs w:val="19"/>
              </w:rPr>
            </w:pPr>
            <w:r>
              <w:rPr>
                <w:sz w:val="19"/>
              </w:rPr>
              <w:t>31-12-2017</w:t>
            </w:r>
          </w:p>
        </w:tc>
      </w:tr>
      <w:tr w:rsidR="00F808A7" w:rsidRPr="00802803" w14:paraId="22AEFE6F" w14:textId="77777777" w:rsidTr="007500DF">
        <w:trPr>
          <w:gridAfter w:val="1"/>
          <w:wAfter w:w="7" w:type="pct"/>
          <w:cantSplit/>
          <w:trHeight w:val="182"/>
        </w:trPr>
        <w:tc>
          <w:tcPr>
            <w:tcW w:w="420"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57"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Overeenkomstig de voorschriften van</w:t>
            </w:r>
          </w:p>
        </w:tc>
        <w:tc>
          <w:tcPr>
            <w:tcW w:w="1473"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ECE-verordening</w:t>
            </w:r>
            <w:r>
              <w:rPr>
                <w:b/>
                <w:sz w:val="19"/>
              </w:rPr>
              <w:br/>
              <w:t>48</w:t>
            </w:r>
          </w:p>
        </w:tc>
        <w:tc>
          <w:tcPr>
            <w:tcW w:w="1644"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7500DF">
        <w:trPr>
          <w:gridAfter w:val="1"/>
          <w:wAfter w:w="7" w:type="pct"/>
          <w:cantSplit/>
          <w:trHeight w:val="182"/>
        </w:trPr>
        <w:tc>
          <w:tcPr>
            <w:tcW w:w="420"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57"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473"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wijzigingsreeks 2</w:t>
            </w:r>
          </w:p>
        </w:tc>
        <w:tc>
          <w:tcPr>
            <w:tcW w:w="1644"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1-7-2010–</w:t>
            </w:r>
          </w:p>
          <w:p w14:paraId="18750CC3" w14:textId="77777777" w:rsidR="00F808A7" w:rsidRPr="00802803" w:rsidRDefault="00F808A7" w:rsidP="00FC02EB">
            <w:pPr>
              <w:ind w:right="72"/>
              <w:rPr>
                <w:bCs/>
                <w:sz w:val="19"/>
                <w:szCs w:val="19"/>
              </w:rPr>
            </w:pPr>
            <w:r>
              <w:rPr>
                <w:sz w:val="19"/>
              </w:rPr>
              <w:t>9-7-2011</w:t>
            </w:r>
          </w:p>
          <w:p w14:paraId="5D774637" w14:textId="77777777" w:rsidR="00F808A7" w:rsidRPr="00802803" w:rsidRDefault="00F808A7" w:rsidP="00FC02EB">
            <w:pPr>
              <w:ind w:right="72"/>
              <w:rPr>
                <w:bCs/>
                <w:sz w:val="19"/>
                <w:szCs w:val="19"/>
              </w:rPr>
            </w:pPr>
            <w:r>
              <w:rPr>
                <w:sz w:val="19"/>
              </w:rPr>
              <w:t>Beperkt tot categorie N</w:t>
            </w:r>
            <w:r>
              <w:rPr>
                <w:sz w:val="19"/>
                <w:vertAlign w:val="subscript"/>
              </w:rPr>
              <w:t>2</w:t>
            </w:r>
            <w:r>
              <w:rPr>
                <w:sz w:val="19"/>
              </w:rPr>
              <w:t xml:space="preserve"> &gt; 7 500 kg, N</w:t>
            </w:r>
            <w:r>
              <w:rPr>
                <w:sz w:val="19"/>
                <w:vertAlign w:val="subscript"/>
              </w:rPr>
              <w:t>3</w:t>
            </w:r>
            <w:r>
              <w:rPr>
                <w:sz w:val="19"/>
              </w:rPr>
              <w:t>, O</w:t>
            </w:r>
            <w:r>
              <w:rPr>
                <w:sz w:val="19"/>
                <w:vertAlign w:val="subscript"/>
              </w:rPr>
              <w:t>3</w:t>
            </w:r>
            <w:r>
              <w:rPr>
                <w:sz w:val="19"/>
              </w:rPr>
              <w:t xml:space="preserve"> en O</w:t>
            </w:r>
            <w:r>
              <w:rPr>
                <w:sz w:val="19"/>
                <w:vertAlign w:val="subscript"/>
              </w:rPr>
              <w:t>4</w:t>
            </w:r>
          </w:p>
        </w:tc>
      </w:tr>
      <w:tr w:rsidR="00F808A7" w:rsidRPr="00802803" w14:paraId="3FD8F0F2" w14:textId="77777777" w:rsidTr="007500DF">
        <w:trPr>
          <w:gridAfter w:val="1"/>
          <w:wAfter w:w="7" w:type="pct"/>
          <w:cantSplit/>
          <w:trHeight w:val="182"/>
        </w:trPr>
        <w:tc>
          <w:tcPr>
            <w:tcW w:w="420"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57"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473"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wijzigingsreeks 2</w:t>
            </w:r>
          </w:p>
        </w:tc>
        <w:tc>
          <w:tcPr>
            <w:tcW w:w="1644"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1-7-2010</w:t>
            </w:r>
            <w:r>
              <w:rPr>
                <w:sz w:val="19"/>
              </w:rPr>
              <w:br/>
              <w:t>of later</w:t>
            </w:r>
          </w:p>
          <w:p w14:paraId="5F0AE3FB" w14:textId="77777777" w:rsidR="00F808A7" w:rsidRPr="00802803" w:rsidRDefault="00F808A7" w:rsidP="00FC02EB">
            <w:pPr>
              <w:ind w:right="72"/>
              <w:rPr>
                <w:bCs/>
                <w:sz w:val="19"/>
                <w:szCs w:val="19"/>
                <w:vertAlign w:val="subscript"/>
              </w:rPr>
            </w:pPr>
            <w:r>
              <w:rPr>
                <w:sz w:val="19"/>
              </w:rPr>
              <w:t>Beperkt tot categorie M, N</w:t>
            </w:r>
            <w:r>
              <w:rPr>
                <w:sz w:val="19"/>
                <w:vertAlign w:val="subscript"/>
              </w:rPr>
              <w:t>1</w:t>
            </w:r>
            <w:r>
              <w:rPr>
                <w:sz w:val="19"/>
              </w:rPr>
              <w:t>, N</w:t>
            </w:r>
            <w:r>
              <w:rPr>
                <w:sz w:val="19"/>
                <w:vertAlign w:val="subscript"/>
              </w:rPr>
              <w:t xml:space="preserve">2 </w:t>
            </w:r>
            <w:r>
              <w:rPr>
                <w:sz w:val="19"/>
              </w:rPr>
              <w:t>≤ 7 500 kg, O</w:t>
            </w:r>
            <w:r>
              <w:rPr>
                <w:sz w:val="19"/>
                <w:vertAlign w:val="subscript"/>
              </w:rPr>
              <w:t>1</w:t>
            </w:r>
            <w:r>
              <w:rPr>
                <w:sz w:val="19"/>
              </w:rPr>
              <w:t xml:space="preserve"> en O</w:t>
            </w:r>
            <w:r>
              <w:rPr>
                <w:sz w:val="19"/>
                <w:vertAlign w:val="subscript"/>
              </w:rPr>
              <w:t>2</w:t>
            </w:r>
          </w:p>
        </w:tc>
      </w:tr>
      <w:tr w:rsidR="00F808A7" w:rsidRPr="00802803" w14:paraId="1F5E2610" w14:textId="77777777" w:rsidTr="007500DF">
        <w:trPr>
          <w:gridAfter w:val="1"/>
          <w:wAfter w:w="7" w:type="pct"/>
          <w:cantSplit/>
          <w:trHeight w:val="182"/>
        </w:trPr>
        <w:tc>
          <w:tcPr>
            <w:tcW w:w="420"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57"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473"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wijzigingsreeks 3</w:t>
            </w:r>
          </w:p>
        </w:tc>
        <w:tc>
          <w:tcPr>
            <w:tcW w:w="1644"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1-7-2010</w:t>
            </w:r>
            <w:r>
              <w:rPr>
                <w:sz w:val="19"/>
              </w:rPr>
              <w:br/>
              <w:t>of later</w:t>
            </w:r>
          </w:p>
        </w:tc>
      </w:tr>
      <w:tr w:rsidR="00F808A7" w:rsidRPr="00802803" w14:paraId="4B7739D2" w14:textId="77777777" w:rsidTr="007500DF">
        <w:trPr>
          <w:gridAfter w:val="1"/>
          <w:wAfter w:w="7" w:type="pct"/>
          <w:cantSplit/>
          <w:trHeight w:val="182"/>
        </w:trPr>
        <w:tc>
          <w:tcPr>
            <w:tcW w:w="420"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57"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473"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wijzigingsreeks 4</w:t>
            </w:r>
          </w:p>
        </w:tc>
        <w:tc>
          <w:tcPr>
            <w:tcW w:w="1644"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1-7-2010</w:t>
            </w:r>
            <w:r>
              <w:rPr>
                <w:sz w:val="19"/>
              </w:rPr>
              <w:br/>
              <w:t>of later</w:t>
            </w:r>
          </w:p>
        </w:tc>
      </w:tr>
      <w:tr w:rsidR="00F808A7" w:rsidRPr="00802803" w14:paraId="2B6B074D" w14:textId="77777777" w:rsidTr="007500DF">
        <w:trPr>
          <w:gridAfter w:val="1"/>
          <w:wAfter w:w="7" w:type="pct"/>
          <w:cantSplit/>
          <w:trHeight w:val="182"/>
        </w:trPr>
        <w:tc>
          <w:tcPr>
            <w:tcW w:w="420"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57"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473"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wijzigingsreeks 5</w:t>
            </w:r>
          </w:p>
          <w:p w14:paraId="1FB931CF" w14:textId="77777777" w:rsidR="00F808A7" w:rsidRPr="00802803" w:rsidRDefault="00F808A7" w:rsidP="00FC02EB">
            <w:pPr>
              <w:spacing w:line="232" w:lineRule="exact"/>
              <w:jc w:val="right"/>
              <w:rPr>
                <w:sz w:val="19"/>
              </w:rPr>
            </w:pPr>
            <w:r>
              <w:rPr>
                <w:sz w:val="19"/>
              </w:rPr>
              <w:t>of latere wijzigingen</w:t>
            </w:r>
          </w:p>
        </w:tc>
        <w:tc>
          <w:tcPr>
            <w:tcW w:w="1644"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30-1-2011</w:t>
            </w:r>
            <w:r>
              <w:rPr>
                <w:sz w:val="19"/>
              </w:rPr>
              <w:br/>
              <w:t>of later</w:t>
            </w:r>
          </w:p>
        </w:tc>
      </w:tr>
      <w:tr w:rsidR="00F808A7" w:rsidRPr="00802803" w14:paraId="4447AFB2"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80" w:type="pct"/>
            <w:gridSpan w:val="4"/>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Koplampen, lampen, reflectoren en gloeilampen mogen geen verflaag dragen, ongeacht de kleur.</w:t>
            </w:r>
          </w:p>
        </w:tc>
      </w:tr>
      <w:tr w:rsidR="00F808A7" w:rsidRPr="00802803" w14:paraId="75E0F96C"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80" w:type="pct"/>
            <w:gridSpan w:val="4"/>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Voertuigen mogen geen andere koplampen of lichten van welke aard dan ook hebben dan die welke zijn vermeld in deze of andere voorschriften van het Zweedse vervoersagentschap.</w:t>
            </w:r>
          </w:p>
          <w:p w14:paraId="0BDE9AB0" w14:textId="77777777" w:rsidR="00F808A7" w:rsidRPr="00802803" w:rsidRDefault="00F808A7" w:rsidP="00FC02EB">
            <w:pPr>
              <w:pStyle w:val="Styckemedindrag"/>
              <w:rPr>
                <w:i/>
              </w:rPr>
            </w:pPr>
            <w:r>
              <w:t>Voertuigen mogen echter worden uitgerust met verlichtingsinrichtingen die overeenkomstig ECE-verordening 48 optionele verlichtingsapparatuur vormen, mits de inrichtingen overeenkomstig de voorschriften in de verordening zijn geïnstalleerd.</w:t>
            </w:r>
          </w:p>
        </w:tc>
      </w:tr>
      <w:tr w:rsidR="00F808A7" w:rsidRPr="00802803" w14:paraId="4E7EC5F8"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80" w:type="pct"/>
            <w:gridSpan w:val="4"/>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Koplampen en lampen dienen zodanig op het voertuig te worden geplaatst dat de bestuurder van het voertuig niet wordt gestoord door het licht.</w:t>
            </w:r>
          </w:p>
        </w:tc>
      </w:tr>
      <w:tr w:rsidR="00F808A7" w:rsidRPr="00802803" w14:paraId="6B8E459F"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80" w:type="pct"/>
            <w:gridSpan w:val="4"/>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Steengruisbescherming voor verplichte lampen of verplichte koplampen is niet toegestaan op het voertuig als de bescherming het licht van het lamp of de koplamp aanzienlijk vermindert. Dit geldt ook voor steengruisbescherming gemaakt van materiaal dat gemakkelijk beschadigd raakt en dus het licht van de lamp of koplamp vermindert.</w:t>
            </w:r>
          </w:p>
        </w:tc>
      </w:tr>
      <w:tr w:rsidR="00F808A7" w:rsidRPr="00802803" w14:paraId="58311FB5" w14:textId="77777777" w:rsidTr="007500DF">
        <w:trPr>
          <w:cantSplit/>
          <w:trHeight w:val="182"/>
        </w:trPr>
        <w:tc>
          <w:tcPr>
            <w:tcW w:w="420"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t>K7</w:t>
            </w:r>
          </w:p>
        </w:tc>
        <w:tc>
          <w:tcPr>
            <w:tcW w:w="4580" w:type="pct"/>
            <w:gridSpan w:val="4"/>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Voertuigen mogen geen apparaat hebben dat storende reflecties kan veroorzaken of het risico veroorzaakt een andere bestuurder te verblinden.</w:t>
            </w:r>
          </w:p>
          <w:p w14:paraId="6A0836F4" w14:textId="77777777" w:rsidR="00F808A7" w:rsidRPr="00802803" w:rsidRDefault="00F808A7" w:rsidP="00FC02EB">
            <w:pPr>
              <w:pStyle w:val="Styckemedindrag"/>
              <w:rPr>
                <w:bCs/>
                <w:szCs w:val="19"/>
              </w:rPr>
            </w:pPr>
            <w:r>
              <w:t>Bovendien mogen voertuigen niet beschikken over een apparaat dat tijdens het rijden verschuivende of bewegende beelden, teksten of equivalenten kan weergeven die zichtbaar zijn voor weggebruikers buiten het voertuig. Bussen in het reguliere verkeer kunnen echter, in verband met bushaltes, bestemmingsborden hebben met veranderende verkeersinformatie.</w:t>
            </w:r>
          </w:p>
        </w:tc>
      </w:tr>
      <w:tr w:rsidR="00F808A7" w:rsidRPr="00802803" w14:paraId="1D8C9CF0"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lastRenderedPageBreak/>
              <w:t>T1</w:t>
            </w:r>
          </w:p>
        </w:tc>
        <w:tc>
          <w:tcPr>
            <w:tcW w:w="4580" w:type="pct"/>
            <w:gridSpan w:val="4"/>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Een auto dient te zijn voorzien van verlichtings- en lichtsignaalinrichtingen die voldoen aan de alternatieve technische voorschriften van punt 20 van de delen I en II van aanhangsel 2 van bijlage IV bij Richtlijn 2007/46/EG in de formulering overeenkomstig Verordening (EU) nr. 183/2011. Voor een auto van categorie N</w:t>
            </w:r>
            <w:r>
              <w:rPr>
                <w:vertAlign w:val="subscript"/>
              </w:rPr>
              <w:t>2</w:t>
            </w:r>
            <w:r>
              <w:t xml:space="preserve"> gelden dezelfde eisen als voor een auto van categorie N</w:t>
            </w:r>
            <w:r>
              <w:rPr>
                <w:vertAlign w:val="subscript"/>
              </w:rPr>
              <w:t>1</w:t>
            </w:r>
            <w:r>
              <w:t>.</w:t>
            </w:r>
          </w:p>
        </w:tc>
      </w:tr>
      <w:tr w:rsidR="00F808A7" w:rsidRPr="00802803" w14:paraId="19D4CC58"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80" w:type="pct"/>
            <w:gridSpan w:val="4"/>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Indien het bijzondere gebruik van het voertuig het onmogelijk maakt om aan alle voorschriften van rij K1 of K2 te voldoen, kan vrijstelling van de voorschriften worden verleend, mits alle verplichte verlichtingsinrichtingen zijn gemonteerd. In het geval van een kampeerauto, een ambulance, een lijkwagen en een gepantserd voertuig mag de geometrische zichtbaarheid niet worden aangetast.</w:t>
            </w:r>
          </w:p>
        </w:tc>
      </w:tr>
      <w:tr w:rsidR="00F808A7" w:rsidRPr="00802803" w14:paraId="5EDFDC44"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80" w:type="pct"/>
            <w:gridSpan w:val="4"/>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Een personenauto met een totaalgewicht van meer dan 2 500 kg, gebouwd uit een vrachtwagen of bus, mag voldoen aan de voorschriften die van toepassing zijn op het basisvoertuig. Hetzelfde geldt voor een bus gebouwd uit een vrachtwagen of personenauto.</w:t>
            </w:r>
          </w:p>
        </w:tc>
      </w:tr>
      <w:tr w:rsidR="00F808A7" w:rsidRPr="00802803" w14:paraId="7C31077D"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80" w:type="pct"/>
            <w:gridSpan w:val="4"/>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Voertuigen hoeven niet te voldoen aan de volgende voorschriften van ECE-verordening 48 en bijlage 2 van Richtlijn 76/756/EEG:</w:t>
            </w:r>
          </w:p>
          <w:p w14:paraId="0B6FFA58" w14:textId="77777777" w:rsidR="00F808A7" w:rsidRPr="00DC4B0A" w:rsidRDefault="00F808A7" w:rsidP="00FC02EB">
            <w:pPr>
              <w:pStyle w:val="Styckemedindrag"/>
            </w:pPr>
            <w:r>
              <w:t>1. 6.1.2. wat betreft de beperking tot maximaal vier grootlichtkoplampen.</w:t>
            </w:r>
          </w:p>
          <w:p w14:paraId="61E3C0AF" w14:textId="77777777" w:rsidR="00F808A7" w:rsidRPr="00DC4B0A" w:rsidRDefault="00F808A7" w:rsidP="00FC02EB">
            <w:pPr>
              <w:pStyle w:val="Styckemedindrag"/>
            </w:pPr>
            <w:r>
              <w:t>2. 6.1.9. (de totale maximale intensiteit van de stralen).</w:t>
            </w:r>
          </w:p>
          <w:p w14:paraId="7963D4AF" w14:textId="77777777" w:rsidR="00F808A7" w:rsidRPr="00DC4B0A" w:rsidRDefault="00F808A7" w:rsidP="00FC02EB">
            <w:pPr>
              <w:pStyle w:val="Styckemedindrag"/>
            </w:pPr>
            <w:r>
              <w:t>3. 6.10.2. wat betreft de beperking tot niet meer dan twee achterlichten. Het aantal lampen dient echter gelijk te zijn.</w:t>
            </w:r>
          </w:p>
          <w:p w14:paraId="05E338FC" w14:textId="77777777" w:rsidR="00F808A7" w:rsidRPr="00DC4B0A" w:rsidRDefault="00F808A7" w:rsidP="00FC02EB">
            <w:pPr>
              <w:pStyle w:val="Styckemedindrag"/>
            </w:pPr>
            <w:r>
              <w:t>4. 6.4.2. met betrekking tot de beperking tot niet meer dan twee achteruitrijlichten. Het aantal verlichtingslampen mag niet hoger zijn dan vier.</w:t>
            </w:r>
          </w:p>
          <w:p w14:paraId="790DD550" w14:textId="77777777" w:rsidR="00F808A7" w:rsidRPr="00DC4B0A" w:rsidRDefault="00F808A7" w:rsidP="00FC02EB">
            <w:pPr>
              <w:pStyle w:val="Styckemedindrag"/>
            </w:pPr>
            <w:r>
              <w:t>5. 6.5.3. wat betreft de beperking tot niet meer dan twee achterrichtingaanwijzers van categorie 2a of 2b. Het aantal lampen mag niet hoger zijn dan vier.</w:t>
            </w:r>
          </w:p>
          <w:p w14:paraId="22BD5FFE" w14:textId="77777777" w:rsidR="00F808A7" w:rsidRPr="00DC4B0A" w:rsidRDefault="00F808A7" w:rsidP="00FC02EB">
            <w:pPr>
              <w:pStyle w:val="Styckemedindrag"/>
            </w:pPr>
            <w:r>
              <w:t>6. 6.6.7.2. wat betreft de beperking tot niet meer dan twee stoplichten van categorie S1 of S2. Het aantal lampen mag niet hoger zijn dan vier.</w:t>
            </w:r>
          </w:p>
          <w:p w14:paraId="5618458D" w14:textId="77777777" w:rsidR="00F808A7" w:rsidRPr="00802803" w:rsidRDefault="00F808A7" w:rsidP="00FC02EB">
            <w:pPr>
              <w:pStyle w:val="Styckemedindrag"/>
              <w:rPr>
                <w:szCs w:val="19"/>
              </w:rPr>
            </w:pPr>
            <w:r>
              <w:t>7. 6.9.2. wat betreft de beperking tot niet meer dan twee breedtelichten. Het aantal lampen mag niet hoger zijn dan vier.</w:t>
            </w:r>
          </w:p>
        </w:tc>
      </w:tr>
      <w:tr w:rsidR="00F808A7" w:rsidRPr="00802803" w14:paraId="4CAF6C91"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lastRenderedPageBreak/>
              <w:t>U2</w:t>
            </w:r>
          </w:p>
        </w:tc>
        <w:tc>
          <w:tcPr>
            <w:tcW w:w="4580" w:type="pct"/>
            <w:gridSpan w:val="4"/>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Een voertuig mag lampen hebben die bedoeld zijn om als extra verlichting te worden gebruikt wanneer ze grenzend aan het voertuig werken, bekend als werkverlichting, dat wit licht uitstraalt. Zoeklampen worden ook beschouwd als werkverlichting.</w:t>
            </w:r>
          </w:p>
          <w:p w14:paraId="7C92BB7C" w14:textId="77777777" w:rsidR="00F808A7" w:rsidRPr="00121825" w:rsidRDefault="00F808A7" w:rsidP="00FC02EB">
            <w:pPr>
              <w:pStyle w:val="Styckemedindrag"/>
              <w:rPr>
                <w:szCs w:val="19"/>
              </w:rPr>
            </w:pPr>
            <w:r>
              <w:t>Er dient sprake te zijn van een indicatielamp dat oranje of rood brandt wanneer de werkverlichting is aangesloten en de lamp dient vanaf de bestuurdersstoel zichtbaar te zijn.</w:t>
            </w:r>
          </w:p>
          <w:p w14:paraId="242F9004" w14:textId="77777777" w:rsidR="00F808A7" w:rsidRPr="00254CD4" w:rsidRDefault="00F808A7" w:rsidP="00FC02EB">
            <w:pPr>
              <w:pStyle w:val="Styckemedindrag"/>
              <w:rPr>
                <w:szCs w:val="19"/>
              </w:rPr>
            </w:pPr>
            <w:r>
              <w:t>De verlichting dient zodanig te zijn gemonteerd dat deze tijdens normaal rijden niet trilt of van positie verandert.</w:t>
            </w:r>
          </w:p>
          <w:p w14:paraId="4FB4A89E" w14:textId="77777777" w:rsidR="00F808A7" w:rsidRPr="00121825" w:rsidRDefault="00F808A7" w:rsidP="00FC02EB">
            <w:pPr>
              <w:pStyle w:val="Styckemedindrag"/>
              <w:rPr>
                <w:szCs w:val="19"/>
              </w:rPr>
            </w:pPr>
            <w:r>
              <w:t>De werkverlichting mag niet:</w:t>
            </w:r>
          </w:p>
          <w:p w14:paraId="60B593F5" w14:textId="77777777" w:rsidR="00F808A7" w:rsidRPr="00254CD4" w:rsidRDefault="00F808A7" w:rsidP="00FC02EB">
            <w:pPr>
              <w:pStyle w:val="Styckemedindrag"/>
              <w:rPr>
                <w:szCs w:val="19"/>
              </w:rPr>
            </w:pPr>
            <w:r>
              <w:t>1. worden gegroepeerd met andere verlichtingslampen of lichten;</w:t>
            </w:r>
          </w:p>
          <w:p w14:paraId="30FA00B0" w14:textId="77777777" w:rsidR="00F808A7" w:rsidRPr="00254CD4" w:rsidRDefault="00F808A7" w:rsidP="00FC02EB">
            <w:pPr>
              <w:pStyle w:val="Styckemedindrag"/>
              <w:rPr>
                <w:szCs w:val="19"/>
              </w:rPr>
            </w:pPr>
            <w:r>
              <w:t>2. worden gecombineerd met andere verlichtingslampen of lichten; en</w:t>
            </w:r>
          </w:p>
          <w:p w14:paraId="01F91BE2" w14:textId="77777777" w:rsidR="00F808A7" w:rsidRPr="00802803" w:rsidRDefault="00F808A7" w:rsidP="00FC02EB">
            <w:pPr>
              <w:pStyle w:val="Styckemedindrag"/>
              <w:rPr>
                <w:szCs w:val="19"/>
              </w:rPr>
            </w:pPr>
            <w:r>
              <w:t>3. wederzijds opgenomen verlichtingslampen of lichten vormen.</w:t>
            </w:r>
          </w:p>
        </w:tc>
      </w:tr>
      <w:tr w:rsidR="00F808A7" w:rsidRPr="00802803" w14:paraId="4C5F4E08"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t>U3</w:t>
            </w:r>
          </w:p>
        </w:tc>
        <w:tc>
          <w:tcPr>
            <w:tcW w:w="4580" w:type="pct"/>
            <w:gridSpan w:val="4"/>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Bussen mogen lampen hebben die het gebied buiten de dienstdeuren verlichten, bekend als uitstapverlichting, grenzend aan de dienstdeuren voor passagiers.</w:t>
            </w:r>
          </w:p>
          <w:p w14:paraId="762E573B" w14:textId="77777777" w:rsidR="00F808A7" w:rsidRPr="00802803" w:rsidRDefault="00F808A7" w:rsidP="00FC02EB">
            <w:pPr>
              <w:pStyle w:val="Styckemedindrag"/>
            </w:pPr>
            <w:r>
              <w:t>De hoogte van de uitstapverlichting dient ten minste 2 000 mm te bedragen.</w:t>
            </w:r>
          </w:p>
          <w:p w14:paraId="6AD55676" w14:textId="77777777" w:rsidR="00F808A7" w:rsidRPr="00802803" w:rsidRDefault="00F808A7" w:rsidP="00FC02EB">
            <w:pPr>
              <w:pStyle w:val="Styckemedindrag"/>
              <w:rPr>
                <w:szCs w:val="19"/>
              </w:rPr>
            </w:pPr>
            <w:r>
              <w:t>Uitstapverlichting mag niet meer dan 50 mm buiten de breedste breedte van de carrosserie uitsteken.</w:t>
            </w:r>
          </w:p>
          <w:p w14:paraId="1562D997" w14:textId="77777777" w:rsidR="00F808A7" w:rsidRPr="00802803" w:rsidRDefault="00F808A7" w:rsidP="00FC02EB">
            <w:pPr>
              <w:pStyle w:val="Styckemedindrag"/>
              <w:rPr>
                <w:szCs w:val="19"/>
              </w:rPr>
            </w:pPr>
            <w:r>
              <w:t>Uitstapverlichting dient zodanig te worden ingesteld en afgeschermd dat het geen licht uitstraalt dat andere weggebruikers in het gebied buiten een straal van 10 meter van het licht kan verblinden.</w:t>
            </w:r>
          </w:p>
          <w:p w14:paraId="0C423EEA" w14:textId="77777777" w:rsidR="00F808A7" w:rsidRPr="00802803" w:rsidRDefault="00F808A7" w:rsidP="00FC02EB">
            <w:pPr>
              <w:pStyle w:val="Styckemedindrag"/>
              <w:rPr>
                <w:szCs w:val="19"/>
              </w:rPr>
            </w:pPr>
            <w:r>
              <w:t>De verlichting dient zodanig te zijn gemonteerd dat deze tijdens normaal rijden niet trilt of van positie verandert.</w:t>
            </w:r>
          </w:p>
          <w:p w14:paraId="64744E4E" w14:textId="77777777" w:rsidR="00F808A7" w:rsidRDefault="00F808A7" w:rsidP="00FC02EB">
            <w:pPr>
              <w:pStyle w:val="Styckemedindrag"/>
            </w:pPr>
            <w:r>
              <w:t>Uitstapverlichting mag niet:</w:t>
            </w:r>
          </w:p>
          <w:p w14:paraId="5CECE21F" w14:textId="77777777" w:rsidR="00F808A7" w:rsidRPr="00DC4B0A" w:rsidRDefault="00F808A7" w:rsidP="00FC02EB">
            <w:pPr>
              <w:pStyle w:val="Styckemedindrag"/>
              <w:rPr>
                <w:szCs w:val="19"/>
              </w:rPr>
            </w:pPr>
            <w:r>
              <w:t>1. worden gegroepeerd met andere verlichtingslampen of lichten;</w:t>
            </w:r>
          </w:p>
          <w:p w14:paraId="06ABACA9" w14:textId="77777777" w:rsidR="00F808A7" w:rsidRPr="00DC4B0A" w:rsidRDefault="00F808A7" w:rsidP="00FC02EB">
            <w:pPr>
              <w:pStyle w:val="Styckemedindrag"/>
              <w:rPr>
                <w:szCs w:val="19"/>
              </w:rPr>
            </w:pPr>
            <w:r>
              <w:t>2. worden gecombineerd met andere verlichtingslampen of lichten; en</w:t>
            </w:r>
          </w:p>
          <w:p w14:paraId="030B8A5E" w14:textId="77777777" w:rsidR="00F808A7" w:rsidRPr="00121825" w:rsidRDefault="00F808A7" w:rsidP="00FC02EB">
            <w:pPr>
              <w:pStyle w:val="Styckemedindrag"/>
              <w:rPr>
                <w:szCs w:val="19"/>
              </w:rPr>
            </w:pPr>
            <w:r>
              <w:t>3. wederzijds opgenomen verlichtingslampen of lichten vormen.</w:t>
            </w:r>
          </w:p>
          <w:p w14:paraId="6CC7E9C0" w14:textId="77777777" w:rsidR="00F808A7" w:rsidRPr="00802803" w:rsidRDefault="00F808A7" w:rsidP="00FC02EB">
            <w:pPr>
              <w:pStyle w:val="Styckemedindrag"/>
            </w:pPr>
            <w:r>
              <w:t>De uitstapverlichting dient op het elektrische systeem van het voertuig te zijn aangesloten, zodat deze alleen kan worden verlicht in verband met het openen van de dienstdeuren voor passagiers en niet kan schijnen wanneer het voertuig een snelheid van 5 km/u of hoger heeft bereikt.</w:t>
            </w:r>
          </w:p>
        </w:tc>
      </w:tr>
      <w:tr w:rsidR="00F808A7" w:rsidRPr="00802803" w14:paraId="3C1500AF" w14:textId="77777777" w:rsidTr="007500DF">
        <w:trPr>
          <w:cantSplit/>
          <w:trHeight w:val="523"/>
        </w:trPr>
        <w:tc>
          <w:tcPr>
            <w:tcW w:w="420"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80" w:type="pct"/>
            <w:gridSpan w:val="4"/>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Voertuigen die vanwege hun gebruik zijn uitgerust met apparatuur die de dimlichtkoplampen verbergt, kunnen worden uitgerust met vier dimlichtkoplampen. Op voorwaarde dat de koplampen zodanig zijn aangesloten dat beide paren niet tegelijkertijd kunnen worden ontstoken.</w:t>
            </w:r>
          </w:p>
        </w:tc>
      </w:tr>
      <w:tr w:rsidR="00F808A7" w:rsidRPr="00802803" w14:paraId="6CBFDB22"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lastRenderedPageBreak/>
              <w:t>U5</w:t>
            </w:r>
          </w:p>
        </w:tc>
        <w:tc>
          <w:tcPr>
            <w:tcW w:w="4580" w:type="pct"/>
            <w:gridSpan w:val="4"/>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Auto’s die als taxi worden gebruikt, kunnen worden uitgerust met een lamp die een groen licht naar voren laat zien (bedoeld om aan te geven dat de taxi beschikbaar is).</w:t>
            </w:r>
          </w:p>
        </w:tc>
      </w:tr>
      <w:tr w:rsidR="00F808A7" w:rsidRPr="00802803" w14:paraId="5FDC126B"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t>U6</w:t>
            </w:r>
          </w:p>
        </w:tc>
        <w:tc>
          <w:tcPr>
            <w:tcW w:w="4580" w:type="pct"/>
            <w:gridSpan w:val="4"/>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Politievoertuigen kunnen worden uitgerust met lampen die worden gebruikt voor politiesignaal P11 — naar de kant rijden en stoppen voor het politievoertuig — overeenkomstig hoofdstuk 7, afdeling 2, van de bewegwijzeringsverordening (2007:90) met blauw en rood licht.</w:t>
            </w:r>
          </w:p>
        </w:tc>
      </w:tr>
      <w:tr w:rsidR="00F808A7" w:rsidRPr="00802803" w14:paraId="02683EB3"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80" w:type="pct"/>
            <w:gridSpan w:val="4"/>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Extra reflectoren op een noodvoertuig kunnen wit licht naar achteren weergeven.</w:t>
            </w:r>
          </w:p>
        </w:tc>
      </w:tr>
      <w:tr w:rsidR="00F808A7" w:rsidRPr="00802803" w14:paraId="5C12BB9A"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80" w:type="pct"/>
            <w:gridSpan w:val="4"/>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Een vrachtwagen van categorie N</w:t>
            </w:r>
            <w:r>
              <w:rPr>
                <w:vertAlign w:val="subscript"/>
              </w:rPr>
              <w:t xml:space="preserve">2 </w:t>
            </w:r>
            <w:r>
              <w:t>en N</w:t>
            </w:r>
            <w:r>
              <w:rPr>
                <w:vertAlign w:val="subscript"/>
              </w:rPr>
              <w:t>3</w:t>
            </w:r>
            <w:r>
              <w:t xml:space="preserve"> en een aanhangwagen van categorie O</w:t>
            </w:r>
            <w:r>
              <w:rPr>
                <w:vertAlign w:val="subscript"/>
              </w:rPr>
              <w:t>3</w:t>
            </w:r>
            <w:r>
              <w:t xml:space="preserve"> en O</w:t>
            </w:r>
            <w:r>
              <w:rPr>
                <w:vertAlign w:val="subscript"/>
              </w:rPr>
              <w:t>4</w:t>
            </w:r>
            <w:r>
              <w:t xml:space="preserve"> mogen worden uitgerust met borden die zware of lange voertuigen aangeven. De borden dienen typegoedkeuring te krijgen en te worden geïnstalleerd overeenkomstig ECE-verordening 70.</w:t>
            </w:r>
          </w:p>
        </w:tc>
      </w:tr>
      <w:tr w:rsidR="00F808A7" w:rsidRPr="00802803" w14:paraId="22608A7B"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80" w:type="pct"/>
            <w:gridSpan w:val="4"/>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Bepalingen inzake vrijstellingen voor leerling-automobilistenborden op voertuigen die door rijscholen worden gebruikt, zijn te vinden in afdeling 6 van het reglement van het Zweedse vervoersagentschap (TSFS 2010:81) betreffende de leerling-automobilisten- en rijschoolborden en het toezicht op de rijpraktijk in rijscholen.</w:t>
            </w:r>
          </w:p>
        </w:tc>
      </w:tr>
      <w:tr w:rsidR="00F808A7" w:rsidRPr="00802803" w14:paraId="306614FA"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80" w:type="pct"/>
            <w:gridSpan w:val="4"/>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Op een bergingsvoertuig mag aan weerszijden, aan de achterkant, een extra breedtelamp, een stoplamp en een richtingaanwijzer zijn aangebracht, die grenst aan de achterste cabinewand van het voertuig. De plaatsing van de lampen kan verschillen door de afstand die nodig is voor het voertuig om tijdens herstelwerkzaamheden duidelijk zichtbare verlichting aan de achterkant te hebben.</w:t>
            </w:r>
          </w:p>
        </w:tc>
      </w:tr>
      <w:tr w:rsidR="00F808A7" w:rsidRPr="00802803" w14:paraId="74B83EEC"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80" w:type="pct"/>
            <w:gridSpan w:val="4"/>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Een aanhangwagen met een hoogte tot 1,4 meter hoeft niet te worden uitgerust met markeringslichten. Dit geldt ook voor een auto met een hoogte tot 1,4 meter, berekend van achter tot aan de achterste cabinewand.</w:t>
            </w:r>
          </w:p>
        </w:tc>
      </w:tr>
      <w:tr w:rsidR="00F808A7" w:rsidRPr="00802803" w14:paraId="6E46BD13" w14:textId="77777777" w:rsidTr="007500DF">
        <w:trPr>
          <w:cantSplit/>
          <w:trHeight w:val="182"/>
        </w:trPr>
        <w:tc>
          <w:tcPr>
            <w:tcW w:w="420"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80" w:type="pct"/>
            <w:gridSpan w:val="4"/>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Noodvoertuigen van de politiële autoriteit kunnen worden uitgerust met lampen die continu, laag, blauw licht uitstralen. De lichtsterkte dient zo laag te zijn dat het licht niet kan worden verward met blauw licht van de voertuigalarminrichting. Het licht mag niet verblindend of dimbaar zijn.</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Reflectoren</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6A82FDDB" w:rsidR="00FC02EB" w:rsidRPr="00E62552" w:rsidRDefault="00FC02EB" w:rsidP="00D104F7">
                          <w:pPr>
                            <w:pStyle w:val="FSnr-sidhuvud"/>
                            <w:ind w:left="0" w:right="0"/>
                            <w:rPr>
                              <w:lang w:val="en-US"/>
                            </w:rPr>
                          </w:pPr>
                          <w:r>
                            <w:fldChar w:fldCharType="begin"/>
                          </w:r>
                          <w:r w:rsidRPr="00E62552">
                            <w:rPr>
                              <w:lang w:val="en-US"/>
                            </w:rPr>
                            <w:instrText xml:space="preserve"> STYLEREF  FS-nr  \* MERGEFORMAT </w:instrText>
                          </w:r>
                          <w:r>
                            <w:fldChar w:fldCharType="separate"/>
                          </w:r>
                          <w:r w:rsidR="00F1430D">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6A82FDDB" w:rsidR="00FC02EB" w:rsidRPr="00E62552" w:rsidRDefault="00FC02EB" w:rsidP="00D104F7">
                    <w:pPr>
                      <w:pStyle w:val="FSnr-sidhuvud"/>
                      <w:ind w:left="0" w:right="0"/>
                      <w:rPr>
                        <w:lang w:val="en-US"/>
                      </w:rPr>
                    </w:pPr>
                    <w:r>
                      <w:fldChar w:fldCharType="begin"/>
                    </w:r>
                    <w:r w:rsidRPr="00E62552">
                      <w:rPr>
                        <w:lang w:val="en-US"/>
                      </w:rPr>
                      <w:instrText xml:space="preserve"> STYLEREF  FS-nr  \* MERGEFORMAT </w:instrText>
                    </w:r>
                    <w:r>
                      <w:fldChar w:fldCharType="separate"/>
                    </w:r>
                    <w:r w:rsidR="00F1430D">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rPr>
          <w:i/>
        </w:rPr>
        <w:t xml:space="preserve"> Zie Richtlijn (EU) 2015/1535 van het Europees Parlement en de Raad van 9 september 2015 betreffende een informatieprocedure op het gebied van technische voorschriften en regels betreffende de diensten van de informatiemaatschappij.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F1430D" w:rsidP="00641EF3">
    <w:pPr>
      <w:pStyle w:val="FSnr-sidhuvud"/>
      <w:ind w:left="3345" w:firstLine="1871"/>
    </w:pPr>
    <w:sdt>
      <w:sdtPr>
        <w:alias w:val="Verzameling van wetten"/>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Bijlage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F1430D" w:rsidP="00A41C32">
    <w:pPr>
      <w:pStyle w:val="FSnr-sidhuvud"/>
      <w:jc w:val="right"/>
    </w:pPr>
    <w:sdt>
      <w:sdtPr>
        <w:alias w:val="Verzameling van wetten"/>
        <w:id w:val="1150257239"/>
        <w:text/>
      </w:sdtPr>
      <w:sdtEndPr/>
      <w:sdtContent>
        <w:r w:rsidR="00DA20BB">
          <w:t>TSFS 20</w:t>
        </w:r>
      </w:sdtContent>
    </w:sdt>
    <w:sdt>
      <w:sdtPr>
        <w:alias w:val="Jaar"/>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Nr."/>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0DF"/>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38BA"/>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2552"/>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30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nl-NL"/>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nl-NL"/>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nl-NL"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xmlns="consensis-fs">
  <fs-fields>
    <fs-no-prefix/>
    <fs-year>23</fs-year>
    <fs-no>XX</fs-no>
    <fs-date/>
    <fs-series>WEGVERKEER</fs-series>
    <fs-subseries/>
    <fs-heading/>
  </fs-fields>
</root>
</file>

<file path=customXml/item3.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2.xml><?xml version="1.0" encoding="utf-8"?>
<ds:datastoreItem xmlns:ds="http://schemas.openxmlformats.org/officeDocument/2006/customXml" ds:itemID="{F222B965-9C48-4AC7-962E-E2AF3EEF1550}">
  <ds:schemaRefs>
    <ds:schemaRef ds:uri="consensis-fs"/>
  </ds:schemaRefs>
</ds:datastoreItem>
</file>

<file path=customXml/itemProps3.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4.xml><?xml version="1.0" encoding="utf-8"?>
<ds:datastoreItem xmlns:ds="http://schemas.openxmlformats.org/officeDocument/2006/customXml" ds:itemID="{29A26CBF-49DB-42CB-869A-9ED62029EDF2}">
  <ds:schemaRefs>
    <ds:schemaRef ds:uri="http://schemas.microsoft.com/sharepoint/events"/>
  </ds:schemaRefs>
</ds:datastoreItem>
</file>

<file path=customXml/itemProps5.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customXml/itemProps6.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Föreskrift.dotm</Template>
  <TotalTime>12</TotalTime>
  <Pages>7</Pages>
  <Words>1558</Words>
  <Characters>9187</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8</cp:revision>
  <cp:lastPrinted>2008-12-18T15:33:00Z</cp:lastPrinted>
  <dcterms:created xsi:type="dcterms:W3CDTF">2023-04-19T05:52:00Z</dcterms:created>
  <dcterms:modified xsi:type="dcterms:W3CDTF">2023-04-26T12:25:00Z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