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3EAE78" w14:textId="776B8299" w:rsidR="0056336D" w:rsidRDefault="0056336D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A0611F" w:rsidRPr="00C16AC7" w14:paraId="779E3D90" w14:textId="77777777" w:rsidTr="00E86B51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7AD279F9" w14:textId="542C7984" w:rsidR="00A0611F" w:rsidRPr="00C16AC7" w:rsidRDefault="00A0611F" w:rsidP="00E86B51">
            <w:pPr>
              <w:pStyle w:val="SNREPUBLIQUE"/>
            </w:pPr>
            <w:r>
              <w:t xml:space="preserve">FRANCÚZSKA REPUBLIKA</w:t>
            </w:r>
          </w:p>
        </w:tc>
      </w:tr>
      <w:tr w:rsidR="00A0611F" w:rsidRPr="00C16AC7" w14:paraId="7DEA0AE9" w14:textId="77777777" w:rsidTr="00E86B51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0CACC41D" w14:textId="77777777" w:rsidR="00A0611F" w:rsidRPr="00C16AC7" w:rsidRDefault="00A0611F" w:rsidP="00E86B51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shd w:val="clear" w:color="auto" w:fill="auto"/>
          </w:tcPr>
          <w:p w14:paraId="5AEC3751" w14:textId="77777777" w:rsidR="00A0611F" w:rsidRPr="00C16AC7" w:rsidRDefault="00A0611F" w:rsidP="00E86B51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  <w:shd w:val="clear" w:color="auto" w:fill="auto"/>
          </w:tcPr>
          <w:p w14:paraId="331313C4" w14:textId="77777777" w:rsidR="00A0611F" w:rsidRPr="00C16AC7" w:rsidRDefault="00A0611F" w:rsidP="00E86B51">
            <w:pPr>
              <w:snapToGrid w:val="0"/>
              <w:rPr>
                <w:rFonts w:cs="Tahoma"/>
              </w:rPr>
            </w:pPr>
          </w:p>
        </w:tc>
      </w:tr>
      <w:tr w:rsidR="00A0611F" w:rsidRPr="00C16AC7" w14:paraId="7FC91AA2" w14:textId="77777777" w:rsidTr="00E86B51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16B17C24" w14:textId="77777777" w:rsidR="00A0611F" w:rsidRPr="00C16AC7" w:rsidRDefault="00A0611F" w:rsidP="00E86B51">
            <w:pPr>
              <w:pStyle w:val="SNTimbre"/>
            </w:pPr>
            <w:r>
              <w:t xml:space="preserve">Ministerstvo pre ekologickú transformáciu</w:t>
            </w:r>
          </w:p>
          <w:p w14:paraId="31F42F58" w14:textId="77777777" w:rsidR="00A0611F" w:rsidRPr="00C16AC7" w:rsidRDefault="00A0611F" w:rsidP="00E86B51">
            <w:pPr>
              <w:pStyle w:val="SNTimbre"/>
            </w:pPr>
          </w:p>
        </w:tc>
      </w:tr>
      <w:tr w:rsidR="00A0611F" w:rsidRPr="00C16AC7" w14:paraId="758A20E1" w14:textId="77777777" w:rsidTr="00E86B51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610FA69F" w14:textId="77777777" w:rsidR="00A0611F" w:rsidRPr="00C16AC7" w:rsidRDefault="00A0611F" w:rsidP="00E86B51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3077FFA6" w14:textId="77777777" w:rsidR="00A0611F" w:rsidRPr="00C16AC7" w:rsidRDefault="00A0611F" w:rsidP="00E86B51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06974DA3" w14:textId="77777777" w:rsidR="00A0611F" w:rsidRPr="00C16AC7" w:rsidRDefault="00A0611F" w:rsidP="00E86B51">
            <w:pPr>
              <w:snapToGrid w:val="0"/>
            </w:pPr>
          </w:p>
        </w:tc>
      </w:tr>
      <w:tr w:rsidR="00A0611F" w:rsidRPr="00C16AC7" w14:paraId="25E71669" w14:textId="77777777" w:rsidTr="00E86B51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4F1C608F" w14:textId="77777777" w:rsidR="00A0611F" w:rsidRPr="00C16AC7" w:rsidRDefault="00A0611F" w:rsidP="00E86B51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0EB11B81" w14:textId="77777777" w:rsidR="00A0611F" w:rsidRPr="00C16AC7" w:rsidRDefault="00A0611F" w:rsidP="00E86B51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3B78D744" w14:textId="77777777" w:rsidR="00A0611F" w:rsidRPr="00C16AC7" w:rsidRDefault="00A0611F" w:rsidP="00E86B51">
            <w:pPr>
              <w:snapToGrid w:val="0"/>
            </w:pPr>
          </w:p>
        </w:tc>
      </w:tr>
    </w:tbl>
    <w:p w14:paraId="2D53714B" w14:textId="02565373" w:rsidR="00A0611F" w:rsidRPr="00C16AC7" w:rsidRDefault="00A0611F" w:rsidP="00A0611F">
      <w:pPr>
        <w:pStyle w:val="SNNature"/>
      </w:pPr>
      <w:r>
        <w:t xml:space="preserve">Vyhláška č.</w:t>
      </w:r>
      <w:r>
        <w:br/>
      </w:r>
      <w:r>
        <w:t xml:space="preserve">o informáciách pre spotrebiteľa o environmentálnych aspektoch a vlastnostiach výrobkov vytvárajúcich odpad</w:t>
      </w:r>
      <w:r>
        <w:t xml:space="preserve">  </w:t>
      </w:r>
    </w:p>
    <w:p w14:paraId="752E1818" w14:textId="77777777" w:rsidR="00A0611F" w:rsidRPr="00C16AC7" w:rsidRDefault="00A0611F" w:rsidP="00A0611F">
      <w:pPr>
        <w:pStyle w:val="SNNORCentr"/>
        <w:rPr>
          <w:i/>
        </w:rPr>
      </w:pPr>
      <w:r>
        <w:t xml:space="preserve">NOR:</w:t>
      </w:r>
      <w:r>
        <w:t xml:space="preserve"> </w:t>
      </w:r>
    </w:p>
    <w:p w14:paraId="045F465C" w14:textId="598F1059" w:rsidR="00A0611F" w:rsidRDefault="00A0611F" w:rsidP="00D51CEF">
      <w:pPr>
        <w:pStyle w:val="SNAutorit"/>
        <w:ind w:firstLine="709"/>
        <w:jc w:val="both"/>
        <w:rPr>
          <w:b w:val="0"/>
          <w:i/>
        </w:rPr>
      </w:pPr>
      <w:r>
        <w:rPr>
          <w:i/>
        </w:rPr>
        <w:t xml:space="preserve"> </w:t>
      </w:r>
      <w:r>
        <w:rPr>
          <w:i/>
        </w:rPr>
        <w:t xml:space="preserve">Dotknutá verejnosť: </w:t>
      </w:r>
      <w:r>
        <w:rPr>
          <w:i/>
          <w:b w:val="0"/>
        </w:rPr>
        <w:t xml:space="preserve">výrobcovia, dovozcovia, distribútori alebo iné strany uvádzajúce na trh spotrebné výrobky vytvárajúce odpad vrátane tých, ktorí používajú online webové sídlo, platformu alebo iný distribučný kanál v rámci svojej obchodnej činnosti vo Francúzsku, a spotrebitelia takýchto výrobkov.</w:t>
      </w:r>
    </w:p>
    <w:p w14:paraId="561AF1CA" w14:textId="77777777" w:rsidR="00A0611F" w:rsidRPr="00C16AC7" w:rsidRDefault="00A0611F" w:rsidP="00A0611F">
      <w:pPr>
        <w:pStyle w:val="SNAutorit"/>
        <w:spacing w:before="120"/>
        <w:jc w:val="both"/>
        <w:rPr>
          <w:i/>
        </w:rPr>
      </w:pPr>
      <w:r>
        <w:rPr>
          <w:i/>
        </w:rPr>
        <w:t xml:space="preserve">Vec: </w:t>
      </w:r>
      <w:r>
        <w:rPr>
          <w:i/>
          <w:b w:val="0"/>
        </w:rPr>
        <w:t xml:space="preserve">vykonávanie povinnosti stanovenej v článku L. 541-9-1 environmentálneho zákonníka týkajúcej sa informácií pre spotrebiteľa</w:t>
      </w:r>
      <w:r>
        <w:rPr>
          <w:i/>
        </w:rPr>
        <w:t xml:space="preserve"> </w:t>
      </w:r>
      <w:r>
        <w:rPr>
          <w:i/>
          <w:b w:val="0"/>
        </w:rPr>
        <w:t xml:space="preserve">o environmentálnych aspektoch a vlastnostiach</w:t>
      </w:r>
      <w:r>
        <w:rPr>
          <w:i/>
          <w:b w:val="0"/>
        </w:rPr>
        <w:t xml:space="preserve"> výrobkov vytvárajúcich odpad.</w:t>
      </w:r>
      <w:r>
        <w:rPr>
          <w:i/>
          <w:b w:val="0"/>
        </w:rPr>
        <w:t xml:space="preserve"> </w:t>
      </w:r>
    </w:p>
    <w:p w14:paraId="62BABF54" w14:textId="77777777" w:rsidR="00A0611F" w:rsidRPr="00C16AC7" w:rsidRDefault="00A0611F" w:rsidP="00A0611F">
      <w:pPr>
        <w:pStyle w:val="SNAutorit"/>
        <w:spacing w:before="120"/>
        <w:rPr>
          <w:i/>
        </w:rPr>
      </w:pPr>
      <w:r>
        <w:rPr>
          <w:i/>
        </w:rPr>
        <w:t xml:space="preserve">Nadobudnutie účinnosti: </w:t>
      </w:r>
      <w:r>
        <w:rPr>
          <w:i/>
          <w:b w:val="0"/>
        </w:rPr>
        <w:t xml:space="preserve">text nadobúda účinnosť 1. januára 2022.</w:t>
      </w:r>
    </w:p>
    <w:p w14:paraId="314AD767" w14:textId="5FEC2270" w:rsidR="00A0611F" w:rsidRPr="000A37F2" w:rsidRDefault="00A0611F" w:rsidP="00A0611F">
      <w:pPr>
        <w:pStyle w:val="SNAutorit"/>
        <w:spacing w:before="120"/>
        <w:jc w:val="both"/>
        <w:rPr>
          <w:b w:val="0"/>
        </w:rPr>
      </w:pPr>
      <w:r>
        <w:t xml:space="preserve">Oznámenie: </w:t>
      </w:r>
      <w:r>
        <w:rPr>
          <w:b w:val="0"/>
        </w:rPr>
        <w:t xml:space="preserve">vo vyhláške sa stanovujú podrobné pravidlá uplatňovania článku L. 541-9-1 environmentálneho zákonníka, ktorý poskytuje spotrebiteľom zo strany výrobcov a dovozcov náležité informácie o environmentálnych aspektoch a vlastnostiach výrobkov vytvárajúcich odpad – pojmy vymedzené v tomto texte.</w:t>
      </w:r>
      <w:r>
        <w:rPr>
          <w:b w:val="0"/>
        </w:rPr>
        <w:t xml:space="preserve"> </w:t>
      </w:r>
      <w:r>
        <w:rPr>
          <w:b w:val="0"/>
        </w:rPr>
        <w:t xml:space="preserve">Tieto informácie sa v čase nákupu sprístupnia elektronicky a v prípade potreby v súlade s postupmi stanovenými v nariadení, zobrazením, označením alebo akýmkoľvek iným čitateľným a zrozumiteľným prostriedkom.</w:t>
      </w:r>
      <w:r>
        <w:rPr>
          <w:b w:val="0"/>
        </w:rPr>
        <w:t xml:space="preserve"> </w:t>
      </w:r>
      <w:r>
        <w:rPr>
          <w:b w:val="0"/>
        </w:rPr>
        <w:t xml:space="preserve">Medzi tieto environmentálne aspekty a vlastnosti patrí v závislosti od príslušných kategórií výrobkov začlenenie recyklovaného materiálu, využívanie obnoviteľných zdrojov, udržateľnosť, kompostovateľnosť, opraviteľnosť, možnosti opätovného použitia, recyklovateľnosť, prítomnosť nebezpečných látok, drahých kovov alebo prvkov vzácnych zemín, vysledovateľnosť a prítomnosť plastových mikrovlákien.</w:t>
      </w:r>
      <w:r>
        <w:rPr>
          <w:b w:val="0"/>
        </w:rPr>
        <w:t xml:space="preserve"> </w:t>
      </w:r>
      <w:r>
        <w:rPr>
          <w:b w:val="0"/>
        </w:rPr>
        <w:t xml:space="preserve">Formát na sprístupnenie údajov o týchto environmentálnych aspektoch a vlastnostiach spotrebiteľom musí byť ľahko opakovane použiteľný a využiteľný v automatizovanom systéme spracovania v súhrnnej forme.</w:t>
      </w:r>
      <w:r>
        <w:rPr>
          <w:b w:val="0"/>
        </w:rPr>
        <w:t xml:space="preserve"> </w:t>
      </w:r>
    </w:p>
    <w:p w14:paraId="1F3654C0" w14:textId="77777777" w:rsidR="00A0611F" w:rsidRPr="00C16AC7" w:rsidRDefault="00A0611F" w:rsidP="00A0611F">
      <w:pPr>
        <w:pStyle w:val="SNAutorit"/>
        <w:spacing w:before="120"/>
        <w:jc w:val="both"/>
      </w:pPr>
      <w:r>
        <w:rPr>
          <w:i/>
        </w:rPr>
        <w:t xml:space="preserve">Odkazy: </w:t>
      </w:r>
      <w:r>
        <w:rPr>
          <w:i/>
          <w:b w:val="0"/>
        </w:rPr>
        <w:t xml:space="preserve">táto vyhláška je k dispozícii na webovom sídle Légifrance (</w:t>
      </w:r>
      <w:hyperlink r:id="rId8">
        <w:r>
          <w:rPr>
            <w:rStyle w:val="LienInternet"/>
            <w:b w:val="0"/>
            <w:i/>
            <w:color w:val="auto"/>
          </w:rPr>
          <w:t xml:space="preserve">http://www.legifrance.gouv.fr</w:t>
        </w:r>
      </w:hyperlink>
      <w:r>
        <w:rPr>
          <w:b w:val="0"/>
          <w:i/>
        </w:rPr>
        <w:t xml:space="preserve">).</w:t>
      </w:r>
    </w:p>
    <w:p w14:paraId="025E046C" w14:textId="77777777" w:rsidR="00A0611F" w:rsidRPr="00C16AC7" w:rsidRDefault="00A0611F" w:rsidP="00A0611F">
      <w:pPr>
        <w:pStyle w:val="SNAutorit"/>
        <w:spacing w:before="120"/>
        <w:jc w:val="both"/>
      </w:pPr>
      <w:r>
        <w:br w:type="page"/>
      </w:r>
      <w:r>
        <w:t xml:space="preserve">Predseda vlády,</w:t>
      </w:r>
    </w:p>
    <w:p w14:paraId="6BDC5F53" w14:textId="77777777" w:rsidR="00A0611F" w:rsidRDefault="00A0611F" w:rsidP="00A0611F">
      <w:pPr>
        <w:pStyle w:val="SNConsultation"/>
      </w:pPr>
      <w:r>
        <w:t xml:space="preserve">na základe správy ministra pre ekologickú transformáciu a ministra hospodárstva, financií a obnovy,</w:t>
      </w:r>
    </w:p>
    <w:p w14:paraId="0041E6EC" w14:textId="5BE41CC7" w:rsidR="00A0611F" w:rsidRDefault="00A0611F" w:rsidP="00A0611F">
      <w:pPr>
        <w:pStyle w:val="SNConsultation"/>
      </w:pPr>
      <w:r>
        <w:t xml:space="preserve">so zreteľom na nariadenie Európskeho parlamentu a Rady (ES) č. 1907/2006 z 18. decembra 2006 o registrácii, hodnotení, autorizácii a obmedzovaní chemických látok (REACH) a o zriadení Európskej chemickej agentúry, o zmene a doplnení smernice 1999/45/ES a o zrušení nariadenia Rady (EHS) č. 793/93 a nariadenia Komisie (ES) č. 1488/94, smernice Rady 76/769/EHS a smerníc Komisie 91/155/EHS, 93/67/EHS, 93/105/ES a 2000/21/ES,</w:t>
      </w:r>
    </w:p>
    <w:p w14:paraId="5930E205" w14:textId="701290A8" w:rsidR="00A761D3" w:rsidRPr="00C16AC7" w:rsidRDefault="00A761D3" w:rsidP="00A0611F">
      <w:pPr>
        <w:pStyle w:val="SNConsultation"/>
      </w:pPr>
      <w:r>
        <w:t xml:space="preserve">so zreteľom na smernicu Európskeho parlamentu a Rady 94/62/ES z 20. decembra 1994 (v znení zmien) o obaloch a odpadoch z obalov,</w:t>
      </w:r>
    </w:p>
    <w:p w14:paraId="7B44A833" w14:textId="7A5E5858" w:rsidR="00A0611F" w:rsidRPr="00C16AC7" w:rsidRDefault="00A0611F" w:rsidP="00A0611F">
      <w:pPr>
        <w:pStyle w:val="SNConsultation"/>
      </w:pPr>
      <w:r>
        <w:t xml:space="preserve">so zreteľom na smernicu Európskeho parlamentu a Rady (EÚ) 2018/851 z 30. mája 2018, ktorou sa mení smernica 2008/98/ES o odpade,</w:t>
      </w:r>
    </w:p>
    <w:p w14:paraId="13F59CC6" w14:textId="3A902BF1" w:rsidR="00A0611F" w:rsidRDefault="00A0611F" w:rsidP="00A0611F">
      <w:pPr>
        <w:pStyle w:val="SNConsultation"/>
      </w:pPr>
      <w:r>
        <w:t xml:space="preserve">so zreteľom na smernicu Európskeho parlamentu a Rady (EÚ) 2015/1535 z 9. septembra 2015, ktorou sa stanovuje postup pri poskytovaní informácií v oblasti technických predpisov a pravidiel vzťahujúcich sa na služby informačnej spoločnosti,</w:t>
      </w:r>
    </w:p>
    <w:p w14:paraId="47F284B5" w14:textId="5839C8F9" w:rsidR="008B2B99" w:rsidRDefault="008B2B99" w:rsidP="00A0611F">
      <w:pPr>
        <w:pStyle w:val="SNConsultation"/>
      </w:pPr>
      <w:r>
        <w:t xml:space="preserve">so zreteľom na spotrebiteľský zákonník, najmä na jeho úvodný článok,</w:t>
      </w:r>
    </w:p>
    <w:p w14:paraId="508C1D8A" w14:textId="512931AA" w:rsidR="00A0611F" w:rsidRPr="00C16AC7" w:rsidRDefault="00A0611F" w:rsidP="00A0611F">
      <w:pPr>
        <w:pStyle w:val="SNConsultation"/>
      </w:pPr>
      <w:r>
        <w:t xml:space="preserve">so zreteľom na zákonník o výstavbe a bývaní, najmä na jeho článok L. 111-9-2,</w:t>
      </w:r>
    </w:p>
    <w:p w14:paraId="2A560728" w14:textId="77777777" w:rsidR="00A0611F" w:rsidRDefault="00A0611F" w:rsidP="00A0611F">
      <w:pPr>
        <w:pStyle w:val="SNConsultation"/>
      </w:pPr>
      <w:r>
        <w:t xml:space="preserve">so zreteľom na environmentálny zákonník,</w:t>
      </w:r>
    </w:p>
    <w:p w14:paraId="415D6312" w14:textId="385EEBF1" w:rsidR="00A0611F" w:rsidRDefault="00A0611F" w:rsidP="00A0611F">
      <w:pPr>
        <w:pStyle w:val="SNConsultation"/>
      </w:pPr>
      <w:r>
        <w:t xml:space="preserve">so zreteľom na stanovisko Vysokej rady pre stavebníctvo a energetickú účinnosť vydané [X],</w:t>
      </w:r>
    </w:p>
    <w:p w14:paraId="36AE85B4" w14:textId="77777777" w:rsidR="00A0611F" w:rsidRPr="00C16AC7" w:rsidRDefault="00A0611F" w:rsidP="00A0611F">
      <w:pPr>
        <w:pStyle w:val="SNConsultation"/>
      </w:pPr>
      <w:r>
        <w:t xml:space="preserve">so zreteľom na pripomienky vznesené počas verejnej konzultácie uskutočnenej od XX do XX podľa článku L. 123-19-1 environmentálneho zákonníka,</w:t>
      </w:r>
    </w:p>
    <w:p w14:paraId="604C0DE6" w14:textId="43974623" w:rsidR="00A0611F" w:rsidRPr="00C16AC7" w:rsidRDefault="00A0611F" w:rsidP="00A0611F">
      <w:pPr>
        <w:pStyle w:val="SNConsultation"/>
      </w:pPr>
      <w:r>
        <w:t xml:space="preserve">so zreteľom na oznámenie zaslané Európskej komisii dňa XX podľa smernice (EÚ) 2015/1535 a smernice (EÚ) 94/62/ES,</w:t>
      </w:r>
    </w:p>
    <w:p w14:paraId="60BE23A5" w14:textId="77777777" w:rsidR="00A0611F" w:rsidRDefault="00A0611F" w:rsidP="00A0611F">
      <w:pPr>
        <w:pStyle w:val="SNConsultation"/>
      </w:pPr>
      <w:r>
        <w:t xml:space="preserve">po vypočutí Štátnej rady (sekcie verejných prác),</w:t>
      </w:r>
    </w:p>
    <w:p w14:paraId="56B6EC0E" w14:textId="77777777" w:rsidR="00A0611F" w:rsidRDefault="00A0611F" w:rsidP="00A0611F">
      <w:pPr>
        <w:pStyle w:val="Corpsdetexte"/>
        <w:keepNext/>
        <w:keepLines/>
        <w:jc w:val="center"/>
        <w:rPr>
          <w:b/>
        </w:rPr>
      </w:pPr>
      <w:r>
        <w:rPr>
          <w:b/>
        </w:rPr>
        <w:t xml:space="preserve">týmto vydáva túto vyhlášku:</w:t>
      </w:r>
    </w:p>
    <w:p w14:paraId="428AB153" w14:textId="77777777" w:rsidR="00A0611F" w:rsidRDefault="00A0611F" w:rsidP="00A0611F">
      <w:pPr>
        <w:pStyle w:val="Corpsdetexte"/>
        <w:keepNext/>
        <w:keepLines/>
        <w:jc w:val="center"/>
        <w:rPr>
          <w:b/>
        </w:rPr>
      </w:pPr>
      <w:r>
        <w:rPr>
          <w:b/>
        </w:rPr>
        <w:t xml:space="preserve">Článok 1</w:t>
      </w:r>
    </w:p>
    <w:p w14:paraId="5DC187A1" w14:textId="313CD2F5" w:rsidR="00A0611F" w:rsidRDefault="00A0611F" w:rsidP="00A06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Oddiel 9 kapitoly I hlavy IV knihy V regulačnej časti environmentálneho zákonníka sa dopĺňa pododdielom 3 takto:</w:t>
      </w:r>
    </w:p>
    <w:p w14:paraId="647D1A75" w14:textId="254D6A26" w:rsidR="00A0611F" w:rsidRDefault="00A0611F" w:rsidP="00A06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„Pododdiel 3</w:t>
      </w:r>
    </w:p>
    <w:p w14:paraId="2E6CD4B8" w14:textId="23850E9E" w:rsidR="00A0611F" w:rsidRDefault="00A0611F" w:rsidP="00A06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„Informácie pre spotrebiteľa o environmentálnych aspektoch a vlastnostiach výrobkov vytvárajúcich odpad</w:t>
      </w:r>
    </w:p>
    <w:p w14:paraId="202964FF" w14:textId="77777777" w:rsidR="00A0611F" w:rsidRDefault="00A0611F" w:rsidP="00A06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6F144F6B" w14:textId="2DFFB193" w:rsidR="00A0611F" w:rsidRDefault="00A0611F" w:rsidP="00A0611F">
      <w:pPr>
        <w:pStyle w:val="Corpsdetexte"/>
        <w:keepNext/>
        <w:keepLines/>
      </w:pPr>
      <w:bookmarkStart w:id="1" w:name="_heading=h.gjdgxs"/>
      <w:bookmarkEnd w:id="1"/>
      <w:r>
        <w:t xml:space="preserve">„Článok R. 541-220. – Environmentálne aspekty a vlastnosti výrobkov vytvárajúcich odpad sa chápu ako tie, ktoré sú určené na informovanie spotrebiteľa o podmienkach týkajúcich sa lepšieho predchádzania vzniku odpadu a nakladania s ním.</w:t>
      </w:r>
      <w:r>
        <w:t xml:space="preserve"> </w:t>
      </w:r>
    </w:p>
    <w:p w14:paraId="5F88AAEC" w14:textId="396A898B" w:rsidR="000C090F" w:rsidRDefault="000C090F" w:rsidP="000C090F">
      <w:pPr>
        <w:pStyle w:val="Corpsdetexte"/>
        <w:keepNext/>
        <w:keepLines/>
      </w:pPr>
      <w:r>
        <w:t xml:space="preserve">Informácie o environmentálnych aspektoch a vlastnostiach podľa tohto pododdielu sa týkajú výrobkov uvádzaných na trh, ktoré sú uvedené v článku R. 541-221 a určené pre spotrebiteľa.</w:t>
      </w:r>
      <w:r>
        <w:t xml:space="preserve"> </w:t>
      </w:r>
    </w:p>
    <w:p w14:paraId="286C1C3E" w14:textId="77777777" w:rsidR="000C090F" w:rsidRDefault="000C090F" w:rsidP="000C090F">
      <w:pPr>
        <w:pStyle w:val="Corpsdetexte"/>
        <w:keepNext/>
        <w:keepLines/>
      </w:pPr>
    </w:p>
    <w:p w14:paraId="68C14776" w14:textId="124BA328" w:rsidR="00A0611F" w:rsidRPr="00246797" w:rsidRDefault="00A0611F" w:rsidP="00A0611F">
      <w:pPr>
        <w:pStyle w:val="Corpsdetexte"/>
        <w:keepNext/>
        <w:keepLines/>
      </w:pPr>
      <w:r>
        <w:t xml:space="preserve">„Článok R. 541-221. – I. – Informácie pre spotrebiteľa o </w:t>
      </w:r>
      <w:r>
        <w:rPr>
          <w:b/>
        </w:rPr>
        <w:t xml:space="preserve">opraviteľnosti</w:t>
      </w:r>
      <w:r>
        <w:t xml:space="preserve"> a </w:t>
      </w:r>
      <w:r>
        <w:rPr>
          <w:b/>
        </w:rPr>
        <w:t xml:space="preserve">trvanlivosti</w:t>
      </w:r>
      <w:r>
        <w:t xml:space="preserve"> sa týkajú elektrického alebo elektronického zariadenia, na ktoré sa vzťahuje index opraviteľnosti a index trvanlivosti vymedzený podľa článku L. 541-9-2.</w:t>
      </w:r>
    </w:p>
    <w:p w14:paraId="59DF58F3" w14:textId="60685F35" w:rsidR="00A0611F" w:rsidRDefault="00A0611F" w:rsidP="00A0611F">
      <w:pPr>
        <w:pStyle w:val="Corpsdetexte"/>
        <w:keepNext/>
        <w:keepLines/>
      </w:pPr>
      <w:r>
        <w:t xml:space="preserve">Tieto informácie sú vyjadrené vo forme zobrazenia indexu opraviteľnosti a od 1. januára 2024 indexu trvanlivosti.</w:t>
      </w:r>
    </w:p>
    <w:p w14:paraId="68644F5F" w14:textId="43B22F85" w:rsidR="00A0611F" w:rsidRPr="00613C5F" w:rsidRDefault="00A0611F" w:rsidP="00A0611F">
      <w:pPr>
        <w:pStyle w:val="Corpsdetexte"/>
        <w:keepNext/>
        <w:keepLines/>
        <w:rPr>
          <w:color w:val="000000" w:themeColor="text1"/>
        </w:rPr>
      </w:pPr>
      <w:r>
        <w:t xml:space="preserve">„II. – Informácie pre spotrebiteľa o </w:t>
      </w:r>
      <w:r>
        <w:rPr>
          <w:b/>
        </w:rPr>
        <w:t xml:space="preserve">kompostovateľnosti</w:t>
      </w:r>
      <w:r>
        <w:t xml:space="preserve"> sa týkajú t</w:t>
      </w:r>
      <w:r>
        <w:rPr>
          <w:color w:val="000000" w:themeColor="text1"/>
        </w:rPr>
        <w:t xml:space="preserve">ypov a kategórií kompostovateľných obalov v zmysle štvrtého odseku článku R. 543-226, ako sú vymedzené v nariadení z XX, v ktorom sú uvedené kompostovateľné, metanizovateľné a biologicky rozložiteľné obaly, ktoré sa môžu zbierať spoločne s biologickým odpadom, ktorý bol triedený pri zdroji</w:t>
      </w:r>
      <w:r>
        <w:t xml:space="preserve">.</w:t>
      </w:r>
    </w:p>
    <w:p w14:paraId="6B45DB55" w14:textId="0F71581A" w:rsidR="00A0611F" w:rsidRDefault="00A0611F" w:rsidP="00A0611F">
      <w:pPr>
        <w:pStyle w:val="Corpsdetexte"/>
        <w:keepNext/>
        <w:keepLines/>
        <w:rPr>
          <w:color w:val="000000" w:themeColor="text1"/>
        </w:rPr>
      </w:pPr>
      <w:r>
        <w:rPr>
          <w:color w:val="000000" w:themeColor="text1"/>
        </w:rPr>
        <w:t xml:space="preserve">Tieto informácie sú vyjadrené vo forme textu „kompostovateľné obaly“.</w:t>
      </w:r>
    </w:p>
    <w:p w14:paraId="61E2D05B" w14:textId="651D147C" w:rsidR="008B2B99" w:rsidRPr="00A92A15" w:rsidRDefault="008B2B99" w:rsidP="00A0611F">
      <w:pPr>
        <w:pStyle w:val="Corpsdetexte"/>
        <w:keepNext/>
        <w:keepLines/>
        <w:rPr>
          <w:color w:val="000000" w:themeColor="text1"/>
        </w:rPr>
      </w:pPr>
      <w:r>
        <w:t xml:space="preserve">Plastové výrobky a obaly, ktorých kompostovateľnosť možno dosiahnuť len v priemyselnej jednotke, nesmú byť označené ako „kompostovateľné“.</w:t>
      </w:r>
      <w:r>
        <w:t xml:space="preserve"> </w:t>
      </w:r>
      <w:r>
        <w:t xml:space="preserve">Tie, ktoré sú kompostovateľné v rámci domáceho alebo priemyselného kompostovania, musia byť označené slovami „Nevyhadzujte do prírody“.</w:t>
      </w:r>
    </w:p>
    <w:p w14:paraId="71FC3454" w14:textId="010DA849" w:rsidR="00A0611F" w:rsidRPr="00613C5F" w:rsidRDefault="00A0611F" w:rsidP="00A0611F">
      <w:pPr>
        <w:pStyle w:val="SNConsultation"/>
        <w:ind w:firstLine="0"/>
        <w:rPr>
          <w:color w:val="000000" w:themeColor="text1"/>
        </w:rPr>
      </w:pPr>
      <w:r>
        <w:rPr>
          <w:color w:val="000000" w:themeColor="text1"/>
        </w:rPr>
        <w:t xml:space="preserve">„III. – </w:t>
      </w:r>
      <w:r>
        <w:rPr>
          <w:color w:val="000000" w:themeColor="text1"/>
          <w:b/>
        </w:rPr>
        <w:t xml:space="preserve">Začlenenie recyklovaného materiálu</w:t>
      </w:r>
      <w:r>
        <w:rPr>
          <w:color w:val="000000" w:themeColor="text1"/>
        </w:rPr>
        <w:t xml:space="preserve"> sa meria ako celkový podiel hmotnosti materiálov získaných recykláciou v zmysle článku L. 541-1-1.</w:t>
      </w:r>
    </w:p>
    <w:p w14:paraId="73705C72" w14:textId="19067C16" w:rsidR="00A0611F" w:rsidRDefault="00A0611F" w:rsidP="00A0611F">
      <w:pPr>
        <w:pStyle w:val="SNConsultation"/>
        <w:ind w:firstLine="0"/>
        <w:rPr>
          <w:highlight w:val="yellow"/>
        </w:rPr>
      </w:pPr>
      <w:r>
        <w:t xml:space="preserve">Informácie pre spotrebiteľa o začlenení recyklovaného materiálu sa týkajú kategórií výrobkov uvedených v článku L. 541-10-1 v bode 3 [tlačený papier okrem kníh a papiera na grafické účely], bode 5 [elektrické a elektronické zariadenie], bode 6 [batérie a akumulátory], bode 7 [nádoby a obsah chemických výrobkov], bode 10 [časti nábytku], bode 11 [textilné výrobky] s výnimkou kožených výrobkov, bode 13 [výrobky pre šport a voľný čas], bode 14 [výrobky pre domácich majstrov a záhradné potreby] a bode 15 [vozidlá].</w:t>
      </w:r>
    </w:p>
    <w:p w14:paraId="7A9EF18F" w14:textId="22DE6F1B" w:rsidR="008F2569" w:rsidRDefault="00A0611F" w:rsidP="00A0611F">
      <w:pPr>
        <w:pStyle w:val="SNConsultation"/>
        <w:ind w:firstLine="0"/>
      </w:pPr>
      <w:r>
        <w:t xml:space="preserve">Tieto informácie sú pre tieto výrobky vyjadrené vo forme textu „výrobok obsahujúci najmenej [%] recyklovaných materiálov“.</w:t>
      </w:r>
    </w:p>
    <w:p w14:paraId="058FC329" w14:textId="104883FB" w:rsidR="00BD4A74" w:rsidRDefault="00BD4A74" w:rsidP="00A0611F">
      <w:pPr>
        <w:pStyle w:val="SNConsultation"/>
        <w:ind w:firstLine="0"/>
      </w:pPr>
      <w:r>
        <w:t xml:space="preserve">Informácie pre spotrebiteľa o začlenení recyklovaného materiálu sa týkajú obalov uvedených v článku L. 541-10-1 v bode 1 [obaly používané na uvádzanie na trh výrobkov spotrebúvaných alebo používaných v domácnostiach vrátane tých, ktoré sa spotrebúvajú mimo domova].</w:t>
      </w:r>
      <w:r>
        <w:t xml:space="preserve"> </w:t>
      </w:r>
      <w:r>
        <w:t xml:space="preserve">Tieto informácie sú pre tieto výrobky vyjadrené vo forme textu „obal obsahujúci najmenej [%] recyklovaných materiálov“.</w:t>
      </w:r>
    </w:p>
    <w:p w14:paraId="20E447D6" w14:textId="3CD4EEA1" w:rsidR="00D76667" w:rsidRDefault="00A0611F" w:rsidP="00A0611F">
      <w:pPr>
        <w:pStyle w:val="SNConsultation"/>
        <w:ind w:firstLine="0"/>
      </w:pPr>
      <w:r>
        <w:t xml:space="preserve">„IV.</w:t>
      </w:r>
      <w:r>
        <w:rPr>
          <w:b/>
        </w:rPr>
        <w:t xml:space="preserve"> – </w:t>
      </w:r>
      <w:r>
        <w:t xml:space="preserve">Informácie pre spotrebiteľa o </w:t>
      </w:r>
      <w:r>
        <w:rPr>
          <w:b/>
        </w:rPr>
        <w:t xml:space="preserve">využívaní obnoviteľných zdrojov </w:t>
      </w:r>
      <w:r>
        <w:t xml:space="preserve">sa týkajú stavebných materiálov uvedených v bode 4 článku L. 541-10-1, ktoré sú predmetom dobrovoľného zobrazenia vymedzeného v ods. 5 článku L. 111-9-2 zákonníka o výstavbe a bývaní.</w:t>
      </w:r>
      <w:r>
        <w:t xml:space="preserve"> </w:t>
      </w:r>
    </w:p>
    <w:p w14:paraId="23EA8376" w14:textId="431C9F30" w:rsidR="00A0611F" w:rsidRPr="00A92A15" w:rsidRDefault="00A0611F" w:rsidP="00A0611F">
      <w:pPr>
        <w:pStyle w:val="SNConsultation"/>
        <w:ind w:firstLine="0"/>
      </w:pPr>
      <w:r>
        <w:t xml:space="preserve">Tieto informácie sú vyjadrené za podmienok stanovených v ods. 5 článku L. 111-9-2 zákonníka o výstavbe a bývaní.</w:t>
      </w:r>
      <w:r>
        <w:t xml:space="preserve"> </w:t>
      </w:r>
    </w:p>
    <w:p w14:paraId="76C21909" w14:textId="7AF3A523" w:rsidR="00A0611F" w:rsidRPr="00CE42FD" w:rsidRDefault="00A0611F" w:rsidP="00A0611F">
      <w:pPr>
        <w:pStyle w:val="SNConsultation"/>
        <w:ind w:firstLine="0"/>
      </w:pPr>
      <w:r>
        <w:t xml:space="preserve">„V. –</w:t>
      </w:r>
      <w:r>
        <w:rPr>
          <w:b/>
        </w:rPr>
        <w:t xml:space="preserve"> Možnosti opätovného použitia </w:t>
      </w:r>
      <w:r>
        <w:t xml:space="preserve">znamenajú možnosti výrobku, ktorý sa má navrhnúť, vytvoriť a uviesť na trh, aby sa znova použil na rovnaké použitie, na aké bol navrhnutý, bez toho, aby získal stav odpadu, v súlade s ustanoveniami článku L. 541-1-1.</w:t>
      </w:r>
    </w:p>
    <w:p w14:paraId="0F475FF0" w14:textId="548885AC" w:rsidR="00A0611F" w:rsidRPr="00CE42FD" w:rsidRDefault="00A0611F" w:rsidP="00A0611F">
      <w:pPr>
        <w:pStyle w:val="SNConsultation"/>
        <w:ind w:firstLine="0"/>
      </w:pPr>
      <w:r>
        <w:t xml:space="preserve">Informácie pre spotrebiteľa o možnostiach opätovného použitia sa týkajú obalov uvedených v článku L. 541-10-1 v bode 1 [obaly používané na uvádzanie na trh výrobkov spotrebúvaných alebo používaných v domácnostiach vrátane tých, ktoré sa spotrebúvajú mimo domova].</w:t>
      </w:r>
    </w:p>
    <w:p w14:paraId="403842CB" w14:textId="50DC367E" w:rsidR="00A0611F" w:rsidRPr="00CE42FD" w:rsidRDefault="00A0611F" w:rsidP="00A0611F">
      <w:pPr>
        <w:pStyle w:val="SNConsultation"/>
        <w:ind w:firstLine="0"/>
      </w:pPr>
      <w:r>
        <w:t xml:space="preserve">Tieto informácie sú vyjadrené vo forme textu „opätovne použiteľné obaly“ alebo „opätovne naplniteľné obaly“.</w:t>
      </w:r>
    </w:p>
    <w:p w14:paraId="35CCA859" w14:textId="77777777" w:rsidR="00FE3AAB" w:rsidRPr="00217E2F" w:rsidRDefault="00FE3AAB" w:rsidP="00FE3AAB">
      <w:pPr>
        <w:pStyle w:val="SNConsultation"/>
        <w:ind w:firstLine="0"/>
      </w:pPr>
      <w:r>
        <w:t xml:space="preserve">„VI. –</w:t>
      </w:r>
      <w:r>
        <w:rPr>
          <w:b/>
        </w:rPr>
        <w:t xml:space="preserve"> Recyklovateľnosť </w:t>
      </w:r>
      <w:r>
        <w:t xml:space="preserve">znamená účinnú recyklačnú kapacitu odpadu z rovnakých alebo podobných výrobkov.</w:t>
      </w:r>
      <w:r>
        <w:t xml:space="preserve"> </w:t>
      </w:r>
      <w:r>
        <w:t xml:space="preserve">Recyklovateľnosť sa pri týchto odpadoch charakterizuje:</w:t>
      </w:r>
    </w:p>
    <w:p w14:paraId="07633EFE" w14:textId="77777777" w:rsidR="00FE3AAB" w:rsidRPr="00217E2F" w:rsidRDefault="00FE3AAB" w:rsidP="00FE3AAB">
      <w:pPr>
        <w:pStyle w:val="SNConsultation"/>
        <w:ind w:firstLine="0"/>
      </w:pPr>
      <w:r>
        <w:t xml:space="preserve">(1) schopnosťou efektívneho miestneho zberu, prostredníctvom prístupu obyvateľstva k miestnym zberným miestam,</w:t>
      </w:r>
    </w:p>
    <w:p w14:paraId="057455E4" w14:textId="48F09CE3" w:rsidR="00FE3AAB" w:rsidRPr="00217E2F" w:rsidRDefault="00FE3AAB" w:rsidP="00FE3AAB">
      <w:pPr>
        <w:pStyle w:val="SNConsultation"/>
        <w:ind w:firstLine="0"/>
      </w:pPr>
      <w:r>
        <w:t xml:space="preserve">(2) schopnosťou triediť, t. j. nasmerovať ich do určitých recyklačných kanálov, aby sa mohli recyklovať,</w:t>
      </w:r>
    </w:p>
    <w:p w14:paraId="5B0FC778" w14:textId="77777777" w:rsidR="00FE3AAB" w:rsidRPr="00217E2F" w:rsidRDefault="00FE3AAB" w:rsidP="00FE3AAB">
      <w:pPr>
        <w:pStyle w:val="SNConsultation"/>
        <w:ind w:firstLine="0"/>
      </w:pPr>
      <w:r>
        <w:t xml:space="preserve">(3) absenciou prvkov alebo látok, ktoré narúšajú triedenie, recykláciu alebo obmedzujú používanie recyklovaného materiálu,</w:t>
      </w:r>
    </w:p>
    <w:p w14:paraId="076436EA" w14:textId="77777777" w:rsidR="00FE3AAB" w:rsidRPr="00217E2F" w:rsidRDefault="00FE3AAB" w:rsidP="00FE3AAB">
      <w:pPr>
        <w:pStyle w:val="SNConsultation"/>
        <w:ind w:firstLine="0"/>
      </w:pPr>
      <w:r>
        <w:t xml:space="preserve">(4) rozsahom, v akom recyklovaný materiál vyrobený použitým recyklačným procesom predstavuje viac ako 50 % celkovej hmotnosti zozbieraného odpadu,</w:t>
      </w:r>
    </w:p>
    <w:p w14:paraId="2A9B6D33" w14:textId="77777777" w:rsidR="00FE3AAB" w:rsidRPr="00217E2F" w:rsidRDefault="00FE3AAB" w:rsidP="00FE3AAB">
      <w:pPr>
        <w:pStyle w:val="SNConsultation"/>
        <w:ind w:firstLine="0"/>
      </w:pPr>
      <w:r>
        <w:t xml:space="preserve">(5) schopnosťou recyklovať v priemyselnom meradle a v praxi, najmä prostredníctvom záruky, že kvalita získaného recyklovaného materiálu je dostatočná na zaručenie udržateľnosti odbytu a že recyklačný reťazec vie preukázať dostatočnú schopnosť prevziať výrobky, ktoré sa doň môžu začleniť.</w:t>
      </w:r>
      <w:r>
        <w:t xml:space="preserve"> </w:t>
      </w:r>
    </w:p>
    <w:p w14:paraId="27B90E3A" w14:textId="589EF154" w:rsidR="00FE3AAB" w:rsidRPr="00217E2F" w:rsidRDefault="00FE3AAB" w:rsidP="00FE3AAB">
      <w:pPr>
        <w:pStyle w:val="SNConsultation"/>
        <w:ind w:firstLine="0"/>
      </w:pPr>
      <w:r>
        <w:t xml:space="preserve">Informácie o recyklovateľnosti sa spotrebiteľovi poskytnú slovami „recyklovateľný výrobok“ alebo „recyklovateľný obal“, ak je splnených týchto päť kritérií.</w:t>
      </w:r>
      <w:r>
        <w:t xml:space="preserve"> </w:t>
      </w:r>
      <w:r>
        <w:t xml:space="preserve">Ak recyklovaný materiál vyrobený recyklačnými procesmi predstavuje viac ako 95 % celkovej hmotnosti zozbieraného odpadu, môžu sa uviesť slová „úplne recyklovateľný výrobok“.</w:t>
      </w:r>
    </w:p>
    <w:p w14:paraId="0163929A" w14:textId="262CE4D1" w:rsidR="00FE3AAB" w:rsidRPr="00217E2F" w:rsidRDefault="00FE3AAB" w:rsidP="00FE3AAB">
      <w:pPr>
        <w:pStyle w:val="SNConsultation"/>
        <w:ind w:firstLine="0"/>
      </w:pPr>
      <w:r>
        <w:t xml:space="preserve">Výrobcovi to oznámi organizácia zodpovednosti výrobcov, na ktorú preniesol svoju povinnosť rozšírenej zodpovednosti podľa článku L. 541-10.</w:t>
      </w:r>
      <w:r>
        <w:t xml:space="preserve"> </w:t>
      </w:r>
      <w:r>
        <w:t xml:space="preserve">Ak výrobca zriadi individuálny systém rozšírenej zodpovednosti, určí informácie, za ktoré zodpovedá.</w:t>
      </w:r>
    </w:p>
    <w:p w14:paraId="63FBD504" w14:textId="77777777" w:rsidR="00FE3AAB" w:rsidRPr="00217E2F" w:rsidRDefault="00FE3AAB" w:rsidP="00FE3AAB">
      <w:pPr>
        <w:pStyle w:val="SNConsultation"/>
        <w:ind w:firstLine="0"/>
      </w:pPr>
      <w:r>
        <w:t xml:space="preserve">Ak recyklovateľná kapacita zodpovedá recyklácii materiálov prevažne opätovne začlenených do výrobkov rovnakej povahy, ktoré spĺňajú rovnaké použitie a miesto určenia bez funkčnej straty materiálu, výrobca môže doplniť informácie o recyklovateľnosti slovami „recyklovateľný výrobok s uzavretým cyklom“ alebo „recyklovateľný obal s uzavretým cyklom“.</w:t>
      </w:r>
    </w:p>
    <w:p w14:paraId="7E934972" w14:textId="3D73E894" w:rsidR="00BD4A74" w:rsidRPr="00FE3AAB" w:rsidRDefault="00FE3AAB" w:rsidP="00A0611F">
      <w:pPr>
        <w:pStyle w:val="SNConsultation"/>
        <w:ind w:firstLine="0"/>
      </w:pPr>
      <w:r>
        <w:t xml:space="preserve">Informácie pre spotrebiteľa o recyklovateľnosti sa týkajú kategórií výrobkov uvedených v článku L. 541-10-1 v bode 1 [obaly používané na uvádzanie na trh výrobkov spotrebúvaných alebo používaných v domácnostiach vrátane tých, ktoré sa spotrebúvajú mimo domova], bode 3 [tlačený papier okrem kníh a papiera na grafické účely], bode 4 [stavebné výrobky alebo materiály] bode 5 [elektrické a elektronické zariadenie], bode 6 [batérie a akumulátory], bode 7, pokiaľ ide o nádoby [nádoby na chemické výrobky], bode 10 [časti nábytku], bode 11 [textilné výrobky], bode 12 [hračky okrem hračiek, na ktoré sa vzťahuje zásada rozšírenej zodpovednosti výrobcu v rámci inej kategórie], bode 13 [výrobky pre šport a voľný čas], bode 14 [výrobky pre domácich majstrov a záhradné potreby] a bode 15 [vozidlá].</w:t>
      </w:r>
    </w:p>
    <w:p w14:paraId="0718C702" w14:textId="77777777" w:rsidR="00A0611F" w:rsidRDefault="00A0611F" w:rsidP="00A0611F">
      <w:pPr>
        <w:pStyle w:val="SNConsultation"/>
        <w:ind w:firstLine="0"/>
      </w:pPr>
      <w:r>
        <w:t xml:space="preserve">„VII. –</w:t>
      </w:r>
      <w:r>
        <w:rPr>
          <w:b/>
        </w:rPr>
        <w:t xml:space="preserve"> </w:t>
      </w:r>
      <w:r>
        <w:t xml:space="preserve">Informácie pre spotrebiteľa o</w:t>
      </w:r>
      <w:r>
        <w:rPr>
          <w:b/>
        </w:rPr>
        <w:t xml:space="preserve"> prítomnosti drahých kovov</w:t>
      </w:r>
      <w:r>
        <w:t xml:space="preserve"> sa týkajú nasledujúcich kovov: zlato, striebro, platina a paládium.</w:t>
      </w:r>
      <w:r>
        <w:t xml:space="preserve">  </w:t>
      </w:r>
    </w:p>
    <w:p w14:paraId="5C974967" w14:textId="67EF72F5" w:rsidR="00A0611F" w:rsidRPr="00501103" w:rsidRDefault="00A0611F" w:rsidP="00A0611F">
      <w:pPr>
        <w:pStyle w:val="SNConsultation"/>
        <w:ind w:firstLine="0"/>
        <w:rPr>
          <w:b/>
        </w:rPr>
      </w:pPr>
      <w:r>
        <w:t xml:space="preserve">Informácie o drahých kovoch sú vzhľadom na ich vysokú environmentálnu hodnotu dostupné pre kategórie výrobkov uvedené v článku L. 541-10-1 v bode 5 [elektrické a elektronické zariadenie] a bode 15 [vozidlá].</w:t>
      </w:r>
    </w:p>
    <w:p w14:paraId="32E7DEAB" w14:textId="05780FDA" w:rsidR="00A0611F" w:rsidRDefault="00A0611F" w:rsidP="00A0611F">
      <w:pPr>
        <w:pStyle w:val="SNConsultation"/>
        <w:ind w:firstLine="0"/>
      </w:pPr>
      <w:r>
        <w:t xml:space="preserve">Tieto informácie sú vyjadrené údajom o hmotnosti, ak je väčšia ako 1 miligram, vo forme textu „obsahuje najmenej [X miligramov] drahých kovov“.</w:t>
      </w:r>
    </w:p>
    <w:p w14:paraId="04560F54" w14:textId="77777777" w:rsidR="00A0611F" w:rsidRPr="003C2E20" w:rsidRDefault="00A0611F" w:rsidP="00A0611F">
      <w:pPr>
        <w:pStyle w:val="SNConsultation"/>
        <w:ind w:firstLine="0"/>
      </w:pPr>
      <w:r>
        <w:t xml:space="preserve">„VIII. –</w:t>
      </w:r>
      <w:r>
        <w:rPr>
          <w:b/>
        </w:rPr>
        <w:t xml:space="preserve"> </w:t>
      </w:r>
      <w:r>
        <w:t xml:space="preserve">Informácie pre spotrebiteľa o </w:t>
      </w:r>
      <w:r>
        <w:rPr>
          <w:b/>
        </w:rPr>
        <w:t xml:space="preserve">prítomnosti prvkov vzácnych zemín</w:t>
      </w:r>
      <w:r>
        <w:t xml:space="preserve"> sa týkajú nasledujúcich prvkov: skandium, ytrium, lantán, cér, prazeodým, neodým, prométium, samárium, európium, gadolínium, terbium, dysprózium, holmium, erbium, túlium, yterbium, lutécium.</w:t>
      </w:r>
      <w:r>
        <w:t xml:space="preserve"> </w:t>
      </w:r>
    </w:p>
    <w:p w14:paraId="7496CEBF" w14:textId="4C8FEA67" w:rsidR="00A0611F" w:rsidRDefault="00A0611F" w:rsidP="00A0611F">
      <w:pPr>
        <w:pStyle w:val="SNConsultation"/>
        <w:ind w:firstLine="0"/>
      </w:pPr>
      <w:r>
        <w:t xml:space="preserve">Informácie o prvkoch vzácnych zemín sú vzhľadom na ich vysokú environmentálnu hodnotu dostupné pre kategórie výrobkov uvedené v článku L. 541-10-1 v bode 5 [elektrické a elektronické zariadenie] a bode 15 [vozidlá].</w:t>
      </w:r>
      <w:r>
        <w:t xml:space="preserve"> </w:t>
      </w:r>
    </w:p>
    <w:p w14:paraId="58866F4B" w14:textId="33E3BCAF" w:rsidR="00A0611F" w:rsidRDefault="00A0611F" w:rsidP="00A0611F">
      <w:pPr>
        <w:pStyle w:val="SNConsultation"/>
        <w:ind w:firstLine="0"/>
      </w:pPr>
      <w:r>
        <w:t xml:space="preserve">Tieto informácie sú vyjadrené údajom o hmotnosti, ak je väčšia ako 1 miligram, vo forme textu „obsahuje najmenej [X miligramov] prvkov vzácnych zemín“.</w:t>
      </w:r>
      <w:r>
        <w:t xml:space="preserve">   </w:t>
      </w:r>
    </w:p>
    <w:p w14:paraId="38687E77" w14:textId="77777777" w:rsidR="00A0611F" w:rsidRPr="00A9381C" w:rsidRDefault="00A0611F" w:rsidP="00A0611F">
      <w:pPr>
        <w:pStyle w:val="SNConsultation"/>
        <w:ind w:firstLine="0"/>
      </w:pPr>
      <w:r>
        <w:t xml:space="preserve">„IX. –</w:t>
      </w:r>
      <w:r>
        <w:rPr>
          <w:b/>
        </w:rPr>
        <w:t xml:space="preserve"> </w:t>
      </w:r>
      <w:r>
        <w:t xml:space="preserve">Informácie pre spotrebiteľa o prítomnosti </w:t>
      </w:r>
      <w:r>
        <w:rPr>
          <w:b/>
        </w:rPr>
        <w:t xml:space="preserve">nebezpečnej látky </w:t>
      </w:r>
      <w:r>
        <w:t xml:space="preserve">sa uplatňujú vtedy, ak je prítomná v koncentrácii vyššej ako 0,1 hm. % v látke, zmesi alebo výrobku v zmysle bodov 1, 2 a 3 článku 3 nariadenia Európskeho parlamentu a Rady (ES) č. 1907/2006 z 18. decembra 2006 (REACH) s výnimkou liekov.</w:t>
      </w:r>
      <w:r>
        <w:t xml:space="preserve"> </w:t>
      </w:r>
    </w:p>
    <w:p w14:paraId="1BC87C7D" w14:textId="48203F58" w:rsidR="00A0611F" w:rsidRDefault="00A0611F" w:rsidP="00A0611F">
      <w:pPr>
        <w:pStyle w:val="SNConsultation"/>
        <w:ind w:firstLine="0"/>
      </w:pPr>
      <w:r>
        <w:t xml:space="preserve">V predchádzajúcom odseku sa pod pojmom „nebezpečná látka“ rozumie akákoľvek látka identifikovaná vo vyhláške vydanej podľa ods. I článku L. 541-9-1 o identifikácii nebezpečných látok vo výrobkoch vytvárajúcich odpad.</w:t>
      </w:r>
    </w:p>
    <w:p w14:paraId="6AA4D2A5" w14:textId="77777777" w:rsidR="00BE6889" w:rsidRDefault="00EC0018" w:rsidP="00A0611F">
      <w:pPr>
        <w:pStyle w:val="SNConsultation"/>
        <w:ind w:firstLine="0"/>
      </w:pPr>
      <w:r>
        <w:t xml:space="preserve">Tieto informácie sú vyjadrené vo forme textu „obsahuje nebezpečnú látku“ alebo v prípade, že prítomná nebezpečná látka je látka uvedená v prvom odseku článku R. 541-299, vo forme textu „obsahuje látku vzbudzujúcu veľmi veľké obavy“.</w:t>
      </w:r>
      <w:r>
        <w:t xml:space="preserve"> </w:t>
      </w:r>
      <w:r>
        <w:t xml:space="preserve">Informácie sa doplnia názvom každej prítomnej nebezpečnej látky.</w:t>
      </w:r>
      <w:r>
        <w:t xml:space="preserve"> </w:t>
      </w:r>
      <w:r>
        <w:t xml:space="preserve">Tento spôsob poskytovania informácií sa nevzťahuje na:</w:t>
      </w:r>
    </w:p>
    <w:p w14:paraId="21E4639B" w14:textId="0CCB4572" w:rsidR="00C666A2" w:rsidRDefault="00C666A2" w:rsidP="00A0611F">
      <w:pPr>
        <w:pStyle w:val="SNConsultation"/>
        <w:ind w:firstLine="0"/>
      </w:pPr>
      <w:r>
        <w:t xml:space="preserve">(1) Prítomné látky, ktoré sú tiež na zozname látok s preukázanými a predpokladanými vlastnosťami narúšajúcimi endokrinný systém stanovenom nariadením uvedeným v ods. I článku R. 5232-19 zákonníka o verejnom zdraví, na ktoré sa vzťahujú informácie uvedené v článku R. 5232-20 zákonníka o verejnom zdraví.</w:t>
      </w:r>
    </w:p>
    <w:p w14:paraId="580BC810" w14:textId="47201403" w:rsidR="00C666A2" w:rsidRDefault="00C666A2" w:rsidP="00A0611F">
      <w:pPr>
        <w:pStyle w:val="SNConsultation"/>
        <w:ind w:firstLine="0"/>
      </w:pPr>
      <w:r>
        <w:t xml:space="preserve">(2) Prítomné látky, ktoré sú tiež na zozname látok s podozrením na vlastnosti narúšajúce endokrinný systém stanovenom nariadením uvedeným v ods. II článku R. 5232-19 zákonníka o verejnom zdraví, na ktoré sa vzťahujú informácie uvedené v článku R. 5232-20 zákonníka o verejnom zdraví.</w:t>
      </w:r>
    </w:p>
    <w:p w14:paraId="7C4FB52E" w14:textId="3386A922" w:rsidR="00A0611F" w:rsidRDefault="00A0611F" w:rsidP="00A0611F">
      <w:pPr>
        <w:pStyle w:val="SNConsultation"/>
        <w:ind w:firstLine="0"/>
      </w:pPr>
      <w:r>
        <w:t xml:space="preserve">Informácie sa sprístupnia najneskôr 18 mesiacov po tom, ako bola látka identifikovaná ako nebezpečná látka.</w:t>
      </w:r>
    </w:p>
    <w:p w14:paraId="5791E55D" w14:textId="5013510C" w:rsidR="00CB77AD" w:rsidRDefault="00A0611F" w:rsidP="00A0611F">
      <w:pPr>
        <w:pStyle w:val="SNConsultation"/>
        <w:ind w:firstLine="0"/>
      </w:pPr>
      <w:r>
        <w:t xml:space="preserve">„X. – Informácie pre spotrebiteľa o </w:t>
      </w:r>
      <w:r>
        <w:rPr>
          <w:b/>
        </w:rPr>
        <w:t xml:space="preserve">vysledovateľnosti</w:t>
      </w:r>
      <w:r>
        <w:t xml:space="preserve"> pre výrobky uvedené v článku L. 541-10-1 v bode 11 [textilné výrobky] znamenajú zemepisné označenie krajiny, v ktorej sa prípadne vykonáva každá z týchto operácií:</w:t>
      </w:r>
      <w:r>
        <w:t xml:space="preserve"> </w:t>
      </w:r>
    </w:p>
    <w:p w14:paraId="76495063" w14:textId="10190F15" w:rsidR="00CB77AD" w:rsidRDefault="00CB77AD" w:rsidP="00A0611F">
      <w:pPr>
        <w:pStyle w:val="SNConsultation"/>
        <w:ind w:firstLine="0"/>
      </w:pPr>
      <w:r>
        <w:t xml:space="preserve">(1) pestovanie alebo produkcia vlákna alebo suroviny;</w:t>
      </w:r>
    </w:p>
    <w:p w14:paraId="4FF5616A" w14:textId="1D9D86EF" w:rsidR="00CB77AD" w:rsidRDefault="00CB77AD" w:rsidP="00A0611F">
      <w:pPr>
        <w:pStyle w:val="SNConsultation"/>
        <w:ind w:firstLine="0"/>
      </w:pPr>
      <w:r>
        <w:t xml:space="preserve">(2) spriadanie a tkanie;</w:t>
      </w:r>
      <w:r>
        <w:t xml:space="preserve"> </w:t>
      </w:r>
    </w:p>
    <w:p w14:paraId="49D85F28" w14:textId="2432ECDC" w:rsidR="00CB77AD" w:rsidRDefault="00CB77AD" w:rsidP="00A0611F">
      <w:pPr>
        <w:pStyle w:val="SNConsultation"/>
        <w:ind w:firstLine="0"/>
      </w:pPr>
      <w:r>
        <w:t xml:space="preserve">(3) farbenie a tlač;</w:t>
      </w:r>
      <w:r>
        <w:t xml:space="preserve"> </w:t>
      </w:r>
    </w:p>
    <w:p w14:paraId="52C3722D" w14:textId="77777777" w:rsidR="00814529" w:rsidRDefault="00CB77AD" w:rsidP="00A0611F">
      <w:pPr>
        <w:pStyle w:val="SNConsultation"/>
        <w:ind w:firstLine="0"/>
      </w:pPr>
      <w:r>
        <w:t xml:space="preserve">(4) vyhotovenie.</w:t>
      </w:r>
      <w:r>
        <w:t xml:space="preserve"> </w:t>
      </w:r>
    </w:p>
    <w:p w14:paraId="7CF39C3B" w14:textId="205DCF5E" w:rsidR="00CD3824" w:rsidRDefault="00F851F6" w:rsidP="00A0611F">
      <w:pPr>
        <w:pStyle w:val="SNConsultation"/>
        <w:ind w:firstLine="0"/>
      </w:pPr>
      <w:r>
        <w:t xml:space="preserve"> </w:t>
      </w:r>
      <w:r>
        <w:t xml:space="preserve">V prípade obuvi uvedenej v článku L. 541-10-1 v bode 11 [textilné výrobky] ide o tieto operácie:</w:t>
      </w:r>
    </w:p>
    <w:p w14:paraId="77FBC51D" w14:textId="49E90FBB" w:rsidR="00CD3824" w:rsidRDefault="00CD3824" w:rsidP="00A0611F">
      <w:pPr>
        <w:pStyle w:val="SNConsultation"/>
        <w:ind w:firstLine="0"/>
      </w:pPr>
      <w:r>
        <w:t xml:space="preserve">(1) produkcia suroviny;</w:t>
      </w:r>
      <w:r>
        <w:t xml:space="preserve"> </w:t>
      </w:r>
    </w:p>
    <w:p w14:paraId="0BEF1ADE" w14:textId="0D0D56D2" w:rsidR="00CD3824" w:rsidRDefault="00CD3824" w:rsidP="00A0611F">
      <w:pPr>
        <w:pStyle w:val="SNConsultation"/>
        <w:ind w:firstLine="0"/>
      </w:pPr>
      <w:r>
        <w:t xml:space="preserve">(2) rezanie;</w:t>
      </w:r>
      <w:r>
        <w:t xml:space="preserve"> </w:t>
      </w:r>
    </w:p>
    <w:p w14:paraId="2953264B" w14:textId="53C8809E" w:rsidR="00CD3824" w:rsidRDefault="00CD3824" w:rsidP="00A0611F">
      <w:pPr>
        <w:pStyle w:val="SNConsultation"/>
        <w:ind w:firstLine="0"/>
      </w:pPr>
      <w:r>
        <w:t xml:space="preserve">(3) šitie;</w:t>
      </w:r>
      <w:r>
        <w:t xml:space="preserve"> </w:t>
      </w:r>
    </w:p>
    <w:p w14:paraId="7C244636" w14:textId="3365746B" w:rsidR="00CD3824" w:rsidRDefault="00CD3824" w:rsidP="00A0611F">
      <w:pPr>
        <w:pStyle w:val="SNConsultation"/>
        <w:ind w:firstLine="0"/>
      </w:pPr>
      <w:r>
        <w:t xml:space="preserve">(4) zostavenie;</w:t>
      </w:r>
    </w:p>
    <w:p w14:paraId="61219F8D" w14:textId="562FFA45" w:rsidR="00CD3824" w:rsidRPr="00517BD3" w:rsidRDefault="00CD3824" w:rsidP="00A0611F">
      <w:pPr>
        <w:pStyle w:val="SNConsultation"/>
        <w:ind w:firstLine="0"/>
      </w:pPr>
      <w:r>
        <w:t xml:space="preserve">(5) konečná úprava.</w:t>
      </w:r>
    </w:p>
    <w:p w14:paraId="618969FF" w14:textId="09A11B43" w:rsidR="00A0611F" w:rsidRPr="00517BD3" w:rsidRDefault="00F851F6" w:rsidP="00A0611F">
      <w:pPr>
        <w:pStyle w:val="snconsultation0"/>
        <w:spacing w:before="120" w:beforeAutospacing="0" w:after="120" w:afterAutospacing="0"/>
        <w:jc w:val="both"/>
        <w:rPr>
          <w:rFonts w:eastAsia="Lucida Sans Unicode"/>
        </w:rPr>
      </w:pPr>
      <w:r>
        <w:t xml:space="preserve">Tieto informácie sú vyjadrené v prípade každej fázy vo forme odkazu na krajinu, v ktorej boli vykonané.</w:t>
      </w:r>
    </w:p>
    <w:p w14:paraId="6FB44E46" w14:textId="4024711A" w:rsidR="00A0611F" w:rsidRDefault="00A0611F" w:rsidP="00A0611F">
      <w:pPr>
        <w:pStyle w:val="snconsultation0"/>
        <w:spacing w:before="120" w:beforeAutospacing="0" w:after="120" w:afterAutospacing="0"/>
        <w:jc w:val="both"/>
        <w:rPr>
          <w:rFonts w:eastAsia="Lucida Sans Unicode"/>
        </w:rPr>
      </w:pPr>
      <w:r>
        <w:t xml:space="preserve">„XI. – Informácie pre spotrebiteľa o </w:t>
      </w:r>
      <w:r>
        <w:rPr>
          <w:b/>
        </w:rPr>
        <w:t xml:space="preserve">prítomnosti</w:t>
      </w:r>
      <w:r>
        <w:t xml:space="preserve"> </w:t>
      </w:r>
      <w:r>
        <w:rPr>
          <w:b/>
        </w:rPr>
        <w:t xml:space="preserve">plastových mikrovlákien</w:t>
      </w:r>
      <w:r>
        <w:t xml:space="preserve"> vo výrobkoch uvedených v článku L. 541-10-1 v bode 11 [textilné výrobky] sa chápu ako hmotnostný podiel syntetických vlákien vo výrobku.</w:t>
      </w:r>
      <w:r>
        <w:t xml:space="preserve"> </w:t>
      </w:r>
      <w:r>
        <w:t xml:space="preserve">Tieto informácie sa poskytnú, ak podiel syntetických vlákien presahuje 50 %.</w:t>
      </w:r>
    </w:p>
    <w:p w14:paraId="732BD02F" w14:textId="77777777" w:rsidR="00A0611F" w:rsidRDefault="00A0611F" w:rsidP="00A0611F">
      <w:pPr>
        <w:pStyle w:val="snconsultation0"/>
        <w:spacing w:before="120" w:beforeAutospacing="0" w:after="120" w:afterAutospacing="0"/>
        <w:jc w:val="both"/>
        <w:rPr>
          <w:rFonts w:eastAsia="Lucida Sans Unicode"/>
        </w:rPr>
      </w:pPr>
      <w:r>
        <w:t xml:space="preserve">Vyjadrujú sa vo forme textu „počas prania dochádza k uvoľňovaniu plastových mikrovlákien do životného prostredia“.</w:t>
      </w:r>
    </w:p>
    <w:p w14:paraId="72DE858B" w14:textId="77777777" w:rsidR="00A0611F" w:rsidRDefault="00A0611F" w:rsidP="00A0611F">
      <w:pPr>
        <w:pStyle w:val="snconsultation0"/>
        <w:spacing w:before="120" w:beforeAutospacing="0" w:after="120" w:afterAutospacing="0"/>
        <w:jc w:val="both"/>
        <w:rPr>
          <w:rFonts w:eastAsia="Lucida Sans Unicode"/>
          <w:lang w:eastAsia="zh-CN"/>
        </w:rPr>
      </w:pPr>
    </w:p>
    <w:p w14:paraId="5DB62A0B" w14:textId="07051B30" w:rsidR="00A0611F" w:rsidRDefault="00D75CCE" w:rsidP="00A0611F">
      <w:pPr>
        <w:pStyle w:val="SNConsultation"/>
        <w:ind w:firstLine="0"/>
      </w:pPr>
      <w:r>
        <w:t xml:space="preserve">„Článok R. 541-222. – Výrobca, dovozca alebo iná strana, ktorá uvádza na trh výrobky uvedené v článku R. 541-211, poskytuje informácie o environmentálnych aspektoch a vlastnostiach týchto výrobkov alebo kategórií výrobkov, ako aj informácie o prémiách a sankciách uvedených v článku L. 541-10-3, ktoré výrobca zaplatil na základe kritérií environmentálneho správania.</w:t>
      </w:r>
      <w:r>
        <w:t xml:space="preserve"> </w:t>
      </w:r>
      <w:r>
        <w:t xml:space="preserve">Tieto informácie sa sprístupnia v bezpapierovom formáte, ktorý je v čase nákupu k dispozícii bezplatne a dá sa opätovne použiť tak, aby sa umožnil súhrn.</w:t>
      </w:r>
      <w:r>
        <w:t xml:space="preserve"> </w:t>
      </w:r>
      <w:r>
        <w:t xml:space="preserve">Na tento účel výrobca alebo dovozca sprístupní informácie na vyhradenej webovej stránke s aplikačným programovacím rozhraním.</w:t>
      </w:r>
      <w:r>
        <w:t xml:space="preserve"> </w:t>
      </w:r>
    </w:p>
    <w:p w14:paraId="1621FB5C" w14:textId="235E6D7F" w:rsidR="00531CE4" w:rsidRDefault="00D6632A" w:rsidP="00A0611F">
      <w:pPr>
        <w:pStyle w:val="SNConsultation"/>
        <w:ind w:firstLine="0"/>
      </w:pPr>
      <w:r>
        <w:t xml:space="preserve">V prípade látok uvedených v odseku IX článku R. 541-221 sa takéto informácie môžu alternatívne poskytnúť prostredníctvom aplikácie určenej nariadením ministra životného prostredia.</w:t>
      </w:r>
      <w:r>
        <w:t xml:space="preserve"> </w:t>
      </w:r>
      <w:r>
        <w:t xml:space="preserve">V prípade, že sa informácie poskytujú prostredníctvom takejto aplikácie, ak sa má vytvoriť osobitná webová stránka pre aspoň jednu ďalšiu vlastnosť alebo environmentálny aspekt, je potrebné uviesť, že informácie o nebezpečných látkach možno získať prostredníctvom aplikácie.</w:t>
      </w:r>
      <w:r>
        <w:t xml:space="preserve"> </w:t>
      </w:r>
      <w:r>
        <w:t xml:space="preserve">Na vyhradenej webovej stránke by sa mal objaviť priamy odkaz na aplikáciu.</w:t>
      </w:r>
      <w:r>
        <w:t xml:space="preserve"> </w:t>
      </w:r>
      <w:r>
        <w:t xml:space="preserve">Ďalšie spôsoby zobrazenia, či už fyzické alebo bezpapierové, ktoré sú viditeľné v čase nákupu, môžu byť definované na základe nariadenia ministra životného prostredia na jednej strane podľa environmentálnych aspektov a vlastností a na druhej strane podľa výrobkov a kategórií výrobkov uvedených v článku R. 541-221, ako aj informácií o prémiách a sankciách uvedených v článku L. 541-10-3.</w:t>
      </w:r>
      <w:r>
        <w:t xml:space="preserve"> </w:t>
      </w:r>
      <w:r>
        <w:t xml:space="preserve">V takom prípade výrobca alebo dovozca bezplatne oznámi predávajúcemu informácie potrebné na takéto zobrazenie.</w:t>
      </w:r>
      <w:r>
        <w:t xml:space="preserve"> </w:t>
      </w:r>
    </w:p>
    <w:p w14:paraId="3FB9FCF6" w14:textId="549CAE16" w:rsidR="00D6632A" w:rsidRDefault="00D6632A" w:rsidP="00D6632A">
      <w:pPr>
        <w:pStyle w:val="SNConsultation"/>
        <w:ind w:firstLine="0"/>
      </w:pPr>
      <w:r>
        <w:t xml:space="preserve">Informácie musia byť k dispozícii dva roky od uvedenia poslednej jednotky príslušného výrobku na trh.</w:t>
      </w:r>
      <w:r>
        <w:t xml:space="preserve"> </w:t>
      </w:r>
    </w:p>
    <w:p w14:paraId="7F312AF1" w14:textId="5365C9F9" w:rsidR="00A0611F" w:rsidRDefault="00A0611F" w:rsidP="00A0611F">
      <w:pPr>
        <w:pStyle w:val="SNConsultation"/>
        <w:ind w:firstLine="0"/>
      </w:pPr>
      <w:r>
        <w:t xml:space="preserve">Akékoľvek dobrovoľné fyzické zobrazenie týkajúce sa týchto environmentálnych aspektov a vlastností musí byť v súlade s definíciami stanovenými v oddiele R. 541-221.</w:t>
      </w:r>
      <w:r>
        <w:t xml:space="preserve"> </w:t>
      </w:r>
    </w:p>
    <w:p w14:paraId="1C4965C0" w14:textId="432B6E2B" w:rsidR="00A0611F" w:rsidRDefault="00A0611F" w:rsidP="00A0611F">
      <w:pPr>
        <w:pStyle w:val="SNConsultation"/>
        <w:ind w:firstLine="0"/>
      </w:pPr>
      <w:r>
        <w:t xml:space="preserve">Informačné postupy stanovené v tomto článku sa nevzťahujú na environmentálne aspekty a vlastnosti definované v odsekoch I a IV článku R. 541-221.</w:t>
      </w:r>
    </w:p>
    <w:p w14:paraId="46D13684" w14:textId="77777777" w:rsidR="00A0611F" w:rsidRDefault="00A0611F" w:rsidP="00A0611F">
      <w:pPr>
        <w:pStyle w:val="SNConsultation"/>
        <w:ind w:firstLine="0"/>
      </w:pPr>
    </w:p>
    <w:p w14:paraId="6922BEF3" w14:textId="6308F134" w:rsidR="00350FE8" w:rsidRDefault="00D75CCE" w:rsidP="00A0611F">
      <w:pPr>
        <w:pStyle w:val="Corpsdetexte"/>
        <w:keepNext/>
        <w:keepLines/>
      </w:pPr>
      <w:r>
        <w:t xml:space="preserve">„Článok R. 541-223. – Povinnosti informovať spotrebiteľa stanovené v článkoch R. 541-221 a R. 541-222 sa vzťahujú na výrobcov a dovozcov, ktorí deklarujú ročný obrat vyšší ako 50 miliónov EUR v prípade výrobkov uvedených v článku R. 541-211, ktoré uvádzajú na vnútroštátny trh.</w:t>
      </w:r>
    </w:p>
    <w:p w14:paraId="46A735A9" w14:textId="43A51871" w:rsidR="00350FE8" w:rsidRDefault="00350FE8" w:rsidP="00350FE8">
      <w:pPr>
        <w:pStyle w:val="Corpsdetexte"/>
        <w:keepNext/>
      </w:pPr>
      <w:r>
        <w:t xml:space="preserve">Od 1. januára 2024 sa povinnosti informovať spotrebiteľa stanovené v článkoch R. 541-221 a R. 541-222 budú vzťahovať na výrobcov a dovozcov, ktorí deklarujú ročný obrat vyšší ako 20 miliónov EUR v prípade výrobkov uvedených v článku R. 541-211, ktoré uvádzajú na vnútroštátny trh.</w:t>
      </w:r>
    </w:p>
    <w:p w14:paraId="750470DA" w14:textId="77777777" w:rsidR="00350FE8" w:rsidRDefault="00350FE8" w:rsidP="00A0611F">
      <w:pPr>
        <w:pStyle w:val="Corpsdetexte"/>
        <w:keepNext/>
        <w:keepLines/>
        <w:rPr>
          <w:lang w:val="fr-FR"/>
        </w:rPr>
      </w:pPr>
    </w:p>
    <w:p w14:paraId="606FF564" w14:textId="53BBF7C4" w:rsidR="00C15919" w:rsidRPr="00130204" w:rsidRDefault="00D75CCE" w:rsidP="00A0611F">
      <w:pPr>
        <w:pStyle w:val="Corpsdetexte"/>
        <w:keepNext/>
        <w:keepLines/>
        <w:rPr>
          <w:rFonts w:eastAsia="Lucida Sans Unicode"/>
        </w:rPr>
      </w:pPr>
      <w:r>
        <w:t xml:space="preserve">„Článok R. 541-224. – Na výrobku alebo obale je zakázané uvádzať slová „biologicky rozložiteľné“, „šetrné k životnému prostrediu“ alebo akékoľvek iné ekvivalentné tvrdenie.</w:t>
      </w:r>
      <w:r>
        <w:t xml:space="preserve">  </w:t>
      </w:r>
    </w:p>
    <w:p w14:paraId="249D5C7C" w14:textId="77777777" w:rsidR="00A0611F" w:rsidRDefault="00A0611F" w:rsidP="00A0611F">
      <w:pPr>
        <w:pStyle w:val="Corpsdetexte"/>
        <w:keepNext/>
        <w:keepLines/>
        <w:rPr>
          <w:lang w:val="fr-FR"/>
        </w:rPr>
      </w:pPr>
    </w:p>
    <w:p w14:paraId="43F1BFFD" w14:textId="77777777" w:rsidR="00A0611F" w:rsidRPr="00C16AC7" w:rsidRDefault="00A0611F" w:rsidP="00A0611F">
      <w:pPr>
        <w:pStyle w:val="Corpsdetexte"/>
        <w:keepNext/>
        <w:keepLines/>
        <w:jc w:val="center"/>
        <w:rPr>
          <w:b/>
        </w:rPr>
      </w:pPr>
      <w:r>
        <w:rPr>
          <w:b/>
          <w:b/>
          <w:bCs/>
        </w:rPr>
        <w:t xml:space="preserve">Článok 2</w:t>
      </w:r>
      <w:r>
        <w:rPr>
          <w:b/>
        </w:rPr>
        <w:t xml:space="preserve"> – Nadobudnutie účinnosti</w:t>
      </w:r>
    </w:p>
    <w:p w14:paraId="2C5F1691" w14:textId="4F965230" w:rsidR="00A0611F" w:rsidRDefault="00A0611F" w:rsidP="00A0611F">
      <w:pPr>
        <w:pStyle w:val="Corpsdetexte"/>
        <w:keepNext/>
        <w:keepLines/>
      </w:pPr>
      <w:r>
        <w:t xml:space="preserve">Ustanovenia tejto vyhlášky nadobúdajú účinnosť od 1. januára 2022.</w:t>
      </w:r>
    </w:p>
    <w:p w14:paraId="09FC613F" w14:textId="77777777" w:rsidR="00A0611F" w:rsidRPr="00D52AA5" w:rsidRDefault="00A0611F" w:rsidP="00A0611F">
      <w:pPr>
        <w:pStyle w:val="Corpsdetexte"/>
        <w:keepNext/>
        <w:keepLines/>
        <w:rPr>
          <w:lang w:val="fr-FR"/>
        </w:rPr>
      </w:pPr>
    </w:p>
    <w:p w14:paraId="322B518E" w14:textId="77777777" w:rsidR="00A0611F" w:rsidRPr="00C16AC7" w:rsidRDefault="00A0611F" w:rsidP="00A0611F">
      <w:pPr>
        <w:pStyle w:val="SNArticle"/>
        <w:spacing w:before="240"/>
        <w:rPr>
          <w:bCs w:val="0"/>
        </w:rPr>
      </w:pPr>
      <w:r>
        <w:t xml:space="preserve">Článok 3 – Vykonávanie</w:t>
      </w:r>
    </w:p>
    <w:p w14:paraId="42E479BF" w14:textId="77777777" w:rsidR="00A0611F" w:rsidRDefault="00A0611F" w:rsidP="00A0611F">
      <w:pPr>
        <w:pStyle w:val="SNArticle"/>
        <w:spacing w:before="240"/>
        <w:jc w:val="both"/>
        <w:rPr>
          <w:b w:val="0"/>
        </w:rPr>
      </w:pPr>
      <w:r>
        <w:rPr>
          <w:b w:val="0"/>
        </w:rPr>
        <w:t xml:space="preserve">Za vykonávanie tejto vyhlášky, ktorá bude uverejnená v </w:t>
      </w:r>
      <w:r>
        <w:rPr>
          <w:b w:val="0"/>
          <w:i/>
          <w:iCs/>
        </w:rPr>
        <w:t xml:space="preserve">Úradnom vestníku Francúzskej republiky</w:t>
      </w:r>
      <w:r>
        <w:rPr>
          <w:b w:val="0"/>
        </w:rPr>
        <w:t xml:space="preserve">, zodpovedá ministerka pre ekologickú transformáciu a minister hospodárstva, financií a obnovy, každý v rozsahu svojich právomocí.</w:t>
      </w:r>
      <w:r>
        <w:rPr>
          <w:b w:val="0"/>
        </w:rPr>
        <w:t xml:space="preserve"> </w:t>
      </w:r>
    </w:p>
    <w:p w14:paraId="521F60F6" w14:textId="77777777" w:rsidR="00A0611F" w:rsidRDefault="00A0611F" w:rsidP="00A0611F">
      <w:pPr>
        <w:pStyle w:val="SNArticle"/>
        <w:spacing w:before="240"/>
        <w:jc w:val="both"/>
        <w:rPr>
          <w:b w:val="0"/>
        </w:rPr>
      </w:pPr>
    </w:p>
    <w:p w14:paraId="49C8F301" w14:textId="72015A28" w:rsidR="009A124C" w:rsidRDefault="00F6536A" w:rsidP="00F834A5">
      <w:pPr>
        <w:suppressAutoHyphens w:val="0"/>
      </w:pPr>
      <w:r>
        <w:br w:type="page"/>
      </w:r>
      <w:r>
        <w:t xml:space="preserve">Podpísané dňa [dátum]</w:t>
      </w:r>
    </w:p>
    <w:p w14:paraId="7A812575" w14:textId="77777777" w:rsidR="003B3353" w:rsidRPr="00C16AC7" w:rsidRDefault="003B3353" w:rsidP="003B3353">
      <w:pPr>
        <w:pStyle w:val="SNDate"/>
        <w:spacing w:before="0" w:after="0"/>
        <w:ind w:firstLine="0"/>
      </w:pPr>
    </w:p>
    <w:p w14:paraId="274CBA4C" w14:textId="77777777" w:rsidR="003B3353" w:rsidRDefault="005A5DF2" w:rsidP="003B3353">
      <w:pPr>
        <w:pStyle w:val="SNDate"/>
        <w:spacing w:before="0" w:after="0"/>
        <w:ind w:firstLine="0"/>
        <w:jc w:val="left"/>
      </w:pPr>
      <w:r>
        <w:t xml:space="preserve">Za predsedu vlády:</w:t>
      </w:r>
    </w:p>
    <w:p w14:paraId="2A6EC749" w14:textId="5F63F38B" w:rsidR="003B3353" w:rsidRDefault="003B3353" w:rsidP="003B3353">
      <w:pPr>
        <w:pStyle w:val="SNDate"/>
        <w:spacing w:before="0" w:after="0"/>
        <w:ind w:firstLine="0"/>
        <w:jc w:val="left"/>
      </w:pPr>
      <w:r>
        <w:t xml:space="preserve">Jean Castex</w:t>
      </w:r>
      <w:r>
        <w:br/>
      </w:r>
      <w:r>
        <w:br/>
      </w:r>
      <w:r>
        <w:t xml:space="preserve">Ministerka životného prostredia,</w:t>
      </w:r>
      <w:r>
        <w:br/>
      </w:r>
      <w:r>
        <w:t xml:space="preserve">Barbara POMPILI</w:t>
      </w:r>
    </w:p>
    <w:p w14:paraId="3BC92D43" w14:textId="77777777" w:rsidR="00D52AA5" w:rsidRDefault="004A0F51" w:rsidP="003B3353">
      <w:pPr>
        <w:pStyle w:val="SNDate"/>
        <w:spacing w:before="0" w:after="0"/>
        <w:ind w:firstLine="0"/>
        <w:jc w:val="right"/>
      </w:pPr>
      <w:r>
        <w:t xml:space="preserve">Minister hospodárstva, financií a obnovy,</w:t>
      </w:r>
    </w:p>
    <w:p w14:paraId="2766AF55" w14:textId="7002707B" w:rsidR="00FF3312" w:rsidRDefault="00F35D14" w:rsidP="003B3353">
      <w:pPr>
        <w:pStyle w:val="SNDate"/>
        <w:spacing w:before="0" w:after="0"/>
        <w:ind w:firstLine="0"/>
        <w:jc w:val="right"/>
      </w:pPr>
      <w:r>
        <w:t xml:space="preserve">Bruno LE MAIRE</w:t>
      </w:r>
    </w:p>
    <w:p w14:paraId="6E0D18CA" w14:textId="77777777" w:rsidR="00F6272E" w:rsidRDefault="00F6272E" w:rsidP="003B3353">
      <w:pPr>
        <w:suppressAutoHyphens w:val="0"/>
      </w:pPr>
    </w:p>
    <w:p w14:paraId="2AA9E840" w14:textId="03816832" w:rsidR="000D0435" w:rsidRDefault="000D0435">
      <w:pPr>
        <w:suppressAutoHyphens w:val="0"/>
      </w:pPr>
    </w:p>
    <w:sectPr w:rsidR="000D0435" w:rsidSect="003B3353">
      <w:footerReference w:type="default" r:id="rId9"/>
      <w:pgSz w:w="11906" w:h="16838"/>
      <w:pgMar w:top="1440" w:right="1080" w:bottom="1440" w:left="1080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B45FB" w14:textId="77777777" w:rsidR="0002121C" w:rsidRDefault="0002121C">
      <w:r>
        <w:separator/>
      </w:r>
    </w:p>
  </w:endnote>
  <w:endnote w:type="continuationSeparator" w:id="0">
    <w:p w14:paraId="6C19FFB8" w14:textId="77777777" w:rsidR="0002121C" w:rsidRDefault="0002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T Std">
    <w:altName w:val="Times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231255"/>
      <w:docPartObj>
        <w:docPartGallery w:val="Page Numbers (Bottom of Page)"/>
        <w:docPartUnique/>
      </w:docPartObj>
    </w:sdtPr>
    <w:sdtEndPr/>
    <w:sdtContent>
      <w:p w14:paraId="309B78E2" w14:textId="4152C99E" w:rsidR="00A6698F" w:rsidRDefault="00A6698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2C5" w:rsidRPr="004902C5">
          <w:t>8</w:t>
        </w:r>
        <w:r>
          <w:fldChar w:fldCharType="end"/>
        </w:r>
      </w:p>
    </w:sdtContent>
  </w:sdt>
  <w:p w14:paraId="14D5D221" w14:textId="17EE6B6A" w:rsidR="00D13111" w:rsidRDefault="00D131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56F68" w14:textId="77777777" w:rsidR="0002121C" w:rsidRDefault="0002121C">
      <w:r>
        <w:separator/>
      </w:r>
    </w:p>
  </w:footnote>
  <w:footnote w:type="continuationSeparator" w:id="0">
    <w:p w14:paraId="352A95D0" w14:textId="77777777" w:rsidR="0002121C" w:rsidRDefault="0002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633B"/>
    <w:multiLevelType w:val="hybridMultilevel"/>
    <w:tmpl w:val="1DE05C5C"/>
    <w:lvl w:ilvl="0" w:tplc="97D095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A89"/>
    <w:multiLevelType w:val="hybridMultilevel"/>
    <w:tmpl w:val="4F943AAA"/>
    <w:lvl w:ilvl="0" w:tplc="A52039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A484F"/>
    <w:multiLevelType w:val="hybridMultilevel"/>
    <w:tmpl w:val="0FE8B6C4"/>
    <w:lvl w:ilvl="0" w:tplc="30B01BF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179F"/>
    <w:multiLevelType w:val="hybridMultilevel"/>
    <w:tmpl w:val="66E25180"/>
    <w:lvl w:ilvl="0" w:tplc="250A52BC">
      <w:start w:val="1"/>
      <w:numFmt w:val="upperRoman"/>
      <w:lvlText w:val="%1."/>
      <w:lvlJc w:val="left"/>
      <w:pPr>
        <w:ind w:left="770" w:hanging="720"/>
      </w:pPr>
      <w:rPr>
        <w:rFonts w:cs="Times LT Std" w:hint="default"/>
      </w:rPr>
    </w:lvl>
    <w:lvl w:ilvl="1" w:tplc="040C0019" w:tentative="1">
      <w:start w:val="1"/>
      <w:numFmt w:val="lowerLetter"/>
      <w:lvlText w:val="%2."/>
      <w:lvlJc w:val="left"/>
      <w:pPr>
        <w:ind w:left="1130" w:hanging="360"/>
      </w:pPr>
    </w:lvl>
    <w:lvl w:ilvl="2" w:tplc="040C001B" w:tentative="1">
      <w:start w:val="1"/>
      <w:numFmt w:val="lowerRoman"/>
      <w:lvlText w:val="%3."/>
      <w:lvlJc w:val="right"/>
      <w:pPr>
        <w:ind w:left="1850" w:hanging="180"/>
      </w:pPr>
    </w:lvl>
    <w:lvl w:ilvl="3" w:tplc="040C000F" w:tentative="1">
      <w:start w:val="1"/>
      <w:numFmt w:val="decimal"/>
      <w:lvlText w:val="%4."/>
      <w:lvlJc w:val="left"/>
      <w:pPr>
        <w:ind w:left="2570" w:hanging="360"/>
      </w:pPr>
    </w:lvl>
    <w:lvl w:ilvl="4" w:tplc="040C0019" w:tentative="1">
      <w:start w:val="1"/>
      <w:numFmt w:val="lowerLetter"/>
      <w:lvlText w:val="%5."/>
      <w:lvlJc w:val="left"/>
      <w:pPr>
        <w:ind w:left="3290" w:hanging="360"/>
      </w:pPr>
    </w:lvl>
    <w:lvl w:ilvl="5" w:tplc="040C001B" w:tentative="1">
      <w:start w:val="1"/>
      <w:numFmt w:val="lowerRoman"/>
      <w:lvlText w:val="%6."/>
      <w:lvlJc w:val="right"/>
      <w:pPr>
        <w:ind w:left="4010" w:hanging="180"/>
      </w:pPr>
    </w:lvl>
    <w:lvl w:ilvl="6" w:tplc="040C000F" w:tentative="1">
      <w:start w:val="1"/>
      <w:numFmt w:val="decimal"/>
      <w:lvlText w:val="%7."/>
      <w:lvlJc w:val="left"/>
      <w:pPr>
        <w:ind w:left="4730" w:hanging="360"/>
      </w:pPr>
    </w:lvl>
    <w:lvl w:ilvl="7" w:tplc="040C0019" w:tentative="1">
      <w:start w:val="1"/>
      <w:numFmt w:val="lowerLetter"/>
      <w:lvlText w:val="%8."/>
      <w:lvlJc w:val="left"/>
      <w:pPr>
        <w:ind w:left="5450" w:hanging="360"/>
      </w:pPr>
    </w:lvl>
    <w:lvl w:ilvl="8" w:tplc="04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12335244"/>
    <w:multiLevelType w:val="hybridMultilevel"/>
    <w:tmpl w:val="5A5833F2"/>
    <w:lvl w:ilvl="0" w:tplc="A52039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0409"/>
    <w:multiLevelType w:val="hybridMultilevel"/>
    <w:tmpl w:val="D34EEAB0"/>
    <w:lvl w:ilvl="0" w:tplc="A52039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C5F94"/>
    <w:multiLevelType w:val="multilevel"/>
    <w:tmpl w:val="07CA34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65576E"/>
    <w:multiLevelType w:val="hybridMultilevel"/>
    <w:tmpl w:val="A4724692"/>
    <w:lvl w:ilvl="0" w:tplc="15C22576"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29604D9"/>
    <w:multiLevelType w:val="hybridMultilevel"/>
    <w:tmpl w:val="5C965D80"/>
    <w:lvl w:ilvl="0" w:tplc="530EA7F0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047BC"/>
    <w:multiLevelType w:val="hybridMultilevel"/>
    <w:tmpl w:val="40D6B79E"/>
    <w:lvl w:ilvl="0" w:tplc="530EA7F0">
      <w:start w:val="3"/>
      <w:numFmt w:val="bullet"/>
      <w:lvlText w:val="-"/>
      <w:lvlJc w:val="left"/>
      <w:pPr>
        <w:ind w:left="360" w:firstLine="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70B4"/>
    <w:multiLevelType w:val="hybridMultilevel"/>
    <w:tmpl w:val="14EA9AB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74A5C"/>
    <w:multiLevelType w:val="hybridMultilevel"/>
    <w:tmpl w:val="980EB580"/>
    <w:lvl w:ilvl="0" w:tplc="FFB2E3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A21BE"/>
    <w:multiLevelType w:val="multilevel"/>
    <w:tmpl w:val="6A96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582044"/>
    <w:multiLevelType w:val="multilevel"/>
    <w:tmpl w:val="335E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F92E3D"/>
    <w:multiLevelType w:val="hybridMultilevel"/>
    <w:tmpl w:val="23D88FFE"/>
    <w:lvl w:ilvl="0" w:tplc="A52039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C1E84"/>
    <w:multiLevelType w:val="hybridMultilevel"/>
    <w:tmpl w:val="E9BA39CC"/>
    <w:lvl w:ilvl="0" w:tplc="55D2B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208A1"/>
    <w:multiLevelType w:val="hybridMultilevel"/>
    <w:tmpl w:val="9B164052"/>
    <w:lvl w:ilvl="0" w:tplc="C52E1C42">
      <w:start w:val="3"/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A768D"/>
    <w:multiLevelType w:val="hybridMultilevel"/>
    <w:tmpl w:val="FAF2B910"/>
    <w:lvl w:ilvl="0" w:tplc="747C5A3A">
      <w:start w:val="178"/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22CF2"/>
    <w:multiLevelType w:val="hybridMultilevel"/>
    <w:tmpl w:val="651C43C4"/>
    <w:lvl w:ilvl="0" w:tplc="3CE20EA0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91AE6"/>
    <w:multiLevelType w:val="multilevel"/>
    <w:tmpl w:val="3D2A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A21C6E"/>
    <w:multiLevelType w:val="hybridMultilevel"/>
    <w:tmpl w:val="47946C42"/>
    <w:lvl w:ilvl="0" w:tplc="83BAE13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948DB"/>
    <w:multiLevelType w:val="hybridMultilevel"/>
    <w:tmpl w:val="37F89ACE"/>
    <w:lvl w:ilvl="0" w:tplc="4CEC6AB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232A7"/>
    <w:multiLevelType w:val="hybridMultilevel"/>
    <w:tmpl w:val="DD98A3F6"/>
    <w:lvl w:ilvl="0" w:tplc="D5FCD20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C5E8D"/>
    <w:multiLevelType w:val="hybridMultilevel"/>
    <w:tmpl w:val="391EA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6A59"/>
    <w:multiLevelType w:val="hybridMultilevel"/>
    <w:tmpl w:val="14E86500"/>
    <w:lvl w:ilvl="0" w:tplc="EEE2199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D62BD"/>
    <w:multiLevelType w:val="multilevel"/>
    <w:tmpl w:val="61986348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7A3492"/>
    <w:multiLevelType w:val="hybridMultilevel"/>
    <w:tmpl w:val="1C125838"/>
    <w:lvl w:ilvl="0" w:tplc="A52039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5203C"/>
    <w:multiLevelType w:val="multilevel"/>
    <w:tmpl w:val="AD201516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5803C24"/>
    <w:multiLevelType w:val="hybridMultilevel"/>
    <w:tmpl w:val="E20C7D8C"/>
    <w:lvl w:ilvl="0" w:tplc="A52039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D3E1A"/>
    <w:multiLevelType w:val="hybridMultilevel"/>
    <w:tmpl w:val="59AEF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25AE9"/>
    <w:multiLevelType w:val="hybridMultilevel"/>
    <w:tmpl w:val="0A76965C"/>
    <w:lvl w:ilvl="0" w:tplc="20E8B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91383"/>
    <w:multiLevelType w:val="hybridMultilevel"/>
    <w:tmpl w:val="5F6E8FAA"/>
    <w:lvl w:ilvl="0" w:tplc="A52039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13D26"/>
    <w:multiLevelType w:val="multilevel"/>
    <w:tmpl w:val="5CA8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32"/>
  </w:num>
  <w:num w:numId="7">
    <w:abstractNumId w:val="24"/>
  </w:num>
  <w:num w:numId="8">
    <w:abstractNumId w:val="22"/>
  </w:num>
  <w:num w:numId="9">
    <w:abstractNumId w:val="16"/>
  </w:num>
  <w:num w:numId="10">
    <w:abstractNumId w:val="4"/>
  </w:num>
  <w:num w:numId="11">
    <w:abstractNumId w:val="12"/>
  </w:num>
  <w:num w:numId="12">
    <w:abstractNumId w:val="18"/>
  </w:num>
  <w:num w:numId="13">
    <w:abstractNumId w:val="9"/>
  </w:num>
  <w:num w:numId="14">
    <w:abstractNumId w:val="8"/>
  </w:num>
  <w:num w:numId="15">
    <w:abstractNumId w:val="26"/>
  </w:num>
  <w:num w:numId="16">
    <w:abstractNumId w:val="5"/>
  </w:num>
  <w:num w:numId="17">
    <w:abstractNumId w:val="28"/>
  </w:num>
  <w:num w:numId="18">
    <w:abstractNumId w:val="23"/>
  </w:num>
  <w:num w:numId="19">
    <w:abstractNumId w:val="29"/>
  </w:num>
  <w:num w:numId="20">
    <w:abstractNumId w:val="14"/>
  </w:num>
  <w:num w:numId="21">
    <w:abstractNumId w:val="1"/>
  </w:num>
  <w:num w:numId="22">
    <w:abstractNumId w:val="17"/>
  </w:num>
  <w:num w:numId="23">
    <w:abstractNumId w:val="13"/>
  </w:num>
  <w:num w:numId="24">
    <w:abstractNumId w:val="19"/>
  </w:num>
  <w:num w:numId="25">
    <w:abstractNumId w:val="31"/>
  </w:num>
  <w:num w:numId="26">
    <w:abstractNumId w:val="25"/>
  </w:num>
  <w:num w:numId="27">
    <w:abstractNumId w:val="20"/>
  </w:num>
  <w:num w:numId="28">
    <w:abstractNumId w:val="11"/>
  </w:num>
  <w:num w:numId="29">
    <w:abstractNumId w:val="10"/>
  </w:num>
  <w:num w:numId="30">
    <w:abstractNumId w:val="15"/>
  </w:num>
  <w:num w:numId="31">
    <w:abstractNumId w:val="21"/>
  </w:num>
  <w:num w:numId="32">
    <w:abstractNumId w:val="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dirty" w:grammar="dirty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4C"/>
    <w:rsid w:val="000000B8"/>
    <w:rsid w:val="000029F1"/>
    <w:rsid w:val="0000467E"/>
    <w:rsid w:val="00006763"/>
    <w:rsid w:val="0001208B"/>
    <w:rsid w:val="00012B2A"/>
    <w:rsid w:val="00014570"/>
    <w:rsid w:val="00014DD9"/>
    <w:rsid w:val="00014E0B"/>
    <w:rsid w:val="00017815"/>
    <w:rsid w:val="0002121C"/>
    <w:rsid w:val="000214ED"/>
    <w:rsid w:val="00021518"/>
    <w:rsid w:val="000244A4"/>
    <w:rsid w:val="00031601"/>
    <w:rsid w:val="00034021"/>
    <w:rsid w:val="000366AF"/>
    <w:rsid w:val="00040974"/>
    <w:rsid w:val="00040D14"/>
    <w:rsid w:val="00042A22"/>
    <w:rsid w:val="0004418F"/>
    <w:rsid w:val="00044BD2"/>
    <w:rsid w:val="000452EB"/>
    <w:rsid w:val="000455D7"/>
    <w:rsid w:val="00047B30"/>
    <w:rsid w:val="000511DD"/>
    <w:rsid w:val="00052E67"/>
    <w:rsid w:val="00056BA9"/>
    <w:rsid w:val="00064339"/>
    <w:rsid w:val="00065814"/>
    <w:rsid w:val="00067CF1"/>
    <w:rsid w:val="00070B3B"/>
    <w:rsid w:val="00073188"/>
    <w:rsid w:val="0007383E"/>
    <w:rsid w:val="00074679"/>
    <w:rsid w:val="0007715C"/>
    <w:rsid w:val="00083E60"/>
    <w:rsid w:val="000845C2"/>
    <w:rsid w:val="00090D07"/>
    <w:rsid w:val="00093C6B"/>
    <w:rsid w:val="000A26C0"/>
    <w:rsid w:val="000A37F2"/>
    <w:rsid w:val="000A405A"/>
    <w:rsid w:val="000A5EE2"/>
    <w:rsid w:val="000B1542"/>
    <w:rsid w:val="000B16AD"/>
    <w:rsid w:val="000B281E"/>
    <w:rsid w:val="000B29C9"/>
    <w:rsid w:val="000B740A"/>
    <w:rsid w:val="000C090F"/>
    <w:rsid w:val="000C0D91"/>
    <w:rsid w:val="000C399B"/>
    <w:rsid w:val="000C70C2"/>
    <w:rsid w:val="000D0435"/>
    <w:rsid w:val="000D3FA8"/>
    <w:rsid w:val="000D4577"/>
    <w:rsid w:val="000E02EB"/>
    <w:rsid w:val="000E3122"/>
    <w:rsid w:val="000F0888"/>
    <w:rsid w:val="000F120D"/>
    <w:rsid w:val="000F22BE"/>
    <w:rsid w:val="000F4F0F"/>
    <w:rsid w:val="000F502F"/>
    <w:rsid w:val="001017E4"/>
    <w:rsid w:val="00101AEB"/>
    <w:rsid w:val="0010308D"/>
    <w:rsid w:val="00103CF6"/>
    <w:rsid w:val="0010592D"/>
    <w:rsid w:val="00105CA6"/>
    <w:rsid w:val="001140D5"/>
    <w:rsid w:val="001148F1"/>
    <w:rsid w:val="00120E3F"/>
    <w:rsid w:val="001223B5"/>
    <w:rsid w:val="00126E15"/>
    <w:rsid w:val="00130204"/>
    <w:rsid w:val="0013146B"/>
    <w:rsid w:val="00134E29"/>
    <w:rsid w:val="00140866"/>
    <w:rsid w:val="00141BB3"/>
    <w:rsid w:val="0014431A"/>
    <w:rsid w:val="0014539B"/>
    <w:rsid w:val="001517BD"/>
    <w:rsid w:val="0015356C"/>
    <w:rsid w:val="001549C3"/>
    <w:rsid w:val="001570C9"/>
    <w:rsid w:val="001605B3"/>
    <w:rsid w:val="001610D5"/>
    <w:rsid w:val="00161495"/>
    <w:rsid w:val="00163010"/>
    <w:rsid w:val="00167095"/>
    <w:rsid w:val="0017591E"/>
    <w:rsid w:val="00180301"/>
    <w:rsid w:val="00181E54"/>
    <w:rsid w:val="00182A3A"/>
    <w:rsid w:val="001839C8"/>
    <w:rsid w:val="00184383"/>
    <w:rsid w:val="00186299"/>
    <w:rsid w:val="0018777F"/>
    <w:rsid w:val="00193D65"/>
    <w:rsid w:val="00194ABF"/>
    <w:rsid w:val="001A261E"/>
    <w:rsid w:val="001A72DA"/>
    <w:rsid w:val="001B1359"/>
    <w:rsid w:val="001B55C3"/>
    <w:rsid w:val="001B5BAE"/>
    <w:rsid w:val="001B5CBF"/>
    <w:rsid w:val="001B75FC"/>
    <w:rsid w:val="001C3A24"/>
    <w:rsid w:val="001C40F2"/>
    <w:rsid w:val="001C5BEE"/>
    <w:rsid w:val="001D5FB4"/>
    <w:rsid w:val="001D61CF"/>
    <w:rsid w:val="001E2532"/>
    <w:rsid w:val="001E2A72"/>
    <w:rsid w:val="001E335E"/>
    <w:rsid w:val="001E4715"/>
    <w:rsid w:val="001F0053"/>
    <w:rsid w:val="001F1200"/>
    <w:rsid w:val="001F2519"/>
    <w:rsid w:val="001F5614"/>
    <w:rsid w:val="00201787"/>
    <w:rsid w:val="00203E46"/>
    <w:rsid w:val="002067EC"/>
    <w:rsid w:val="002073DA"/>
    <w:rsid w:val="002079C7"/>
    <w:rsid w:val="00215482"/>
    <w:rsid w:val="002170E6"/>
    <w:rsid w:val="00217E2F"/>
    <w:rsid w:val="002220DE"/>
    <w:rsid w:val="00223E09"/>
    <w:rsid w:val="0022492F"/>
    <w:rsid w:val="00224A9A"/>
    <w:rsid w:val="002260AC"/>
    <w:rsid w:val="00227BC9"/>
    <w:rsid w:val="00230831"/>
    <w:rsid w:val="00231C47"/>
    <w:rsid w:val="0023700E"/>
    <w:rsid w:val="00237535"/>
    <w:rsid w:val="002430D3"/>
    <w:rsid w:val="002460F9"/>
    <w:rsid w:val="00246797"/>
    <w:rsid w:val="002535B7"/>
    <w:rsid w:val="00256747"/>
    <w:rsid w:val="00271C17"/>
    <w:rsid w:val="00272DC3"/>
    <w:rsid w:val="002731A9"/>
    <w:rsid w:val="002731EF"/>
    <w:rsid w:val="00275404"/>
    <w:rsid w:val="00275B56"/>
    <w:rsid w:val="00282EAE"/>
    <w:rsid w:val="002871A7"/>
    <w:rsid w:val="002903D5"/>
    <w:rsid w:val="002915F2"/>
    <w:rsid w:val="00291A0B"/>
    <w:rsid w:val="00295D03"/>
    <w:rsid w:val="00296852"/>
    <w:rsid w:val="002A1D87"/>
    <w:rsid w:val="002A3561"/>
    <w:rsid w:val="002A3909"/>
    <w:rsid w:val="002A4DAB"/>
    <w:rsid w:val="002B330D"/>
    <w:rsid w:val="002B363C"/>
    <w:rsid w:val="002B6530"/>
    <w:rsid w:val="002B66D8"/>
    <w:rsid w:val="002C0C41"/>
    <w:rsid w:val="002C1EEE"/>
    <w:rsid w:val="002C1F33"/>
    <w:rsid w:val="002C7C36"/>
    <w:rsid w:val="002D6B74"/>
    <w:rsid w:val="002E09DD"/>
    <w:rsid w:val="002E1D14"/>
    <w:rsid w:val="002E2946"/>
    <w:rsid w:val="002E39DA"/>
    <w:rsid w:val="002E51D9"/>
    <w:rsid w:val="002E55AF"/>
    <w:rsid w:val="002E57B2"/>
    <w:rsid w:val="002E7128"/>
    <w:rsid w:val="002F2FA7"/>
    <w:rsid w:val="002F4E83"/>
    <w:rsid w:val="002F580A"/>
    <w:rsid w:val="003075B5"/>
    <w:rsid w:val="00310081"/>
    <w:rsid w:val="00310B80"/>
    <w:rsid w:val="00311180"/>
    <w:rsid w:val="00311C97"/>
    <w:rsid w:val="00311EB6"/>
    <w:rsid w:val="00312D09"/>
    <w:rsid w:val="00312E95"/>
    <w:rsid w:val="00314946"/>
    <w:rsid w:val="003212CF"/>
    <w:rsid w:val="003214F2"/>
    <w:rsid w:val="00322858"/>
    <w:rsid w:val="00323A3F"/>
    <w:rsid w:val="00325082"/>
    <w:rsid w:val="003256D3"/>
    <w:rsid w:val="00330D1C"/>
    <w:rsid w:val="00333C9A"/>
    <w:rsid w:val="00333CC4"/>
    <w:rsid w:val="003344FD"/>
    <w:rsid w:val="00334870"/>
    <w:rsid w:val="00334F16"/>
    <w:rsid w:val="003367BD"/>
    <w:rsid w:val="003410B1"/>
    <w:rsid w:val="003474CD"/>
    <w:rsid w:val="003503E2"/>
    <w:rsid w:val="00350FE8"/>
    <w:rsid w:val="00354B47"/>
    <w:rsid w:val="003571C3"/>
    <w:rsid w:val="00365128"/>
    <w:rsid w:val="003717E3"/>
    <w:rsid w:val="003719E8"/>
    <w:rsid w:val="003726DA"/>
    <w:rsid w:val="0037436B"/>
    <w:rsid w:val="003756E4"/>
    <w:rsid w:val="00376681"/>
    <w:rsid w:val="003803EE"/>
    <w:rsid w:val="003812D3"/>
    <w:rsid w:val="003903ED"/>
    <w:rsid w:val="0039122E"/>
    <w:rsid w:val="003A1E4F"/>
    <w:rsid w:val="003A4931"/>
    <w:rsid w:val="003A4FDB"/>
    <w:rsid w:val="003A6282"/>
    <w:rsid w:val="003B3353"/>
    <w:rsid w:val="003B4AAD"/>
    <w:rsid w:val="003B51A4"/>
    <w:rsid w:val="003B5E3E"/>
    <w:rsid w:val="003C1315"/>
    <w:rsid w:val="003C1B21"/>
    <w:rsid w:val="003C1E05"/>
    <w:rsid w:val="003C2E20"/>
    <w:rsid w:val="003C3740"/>
    <w:rsid w:val="003D09E5"/>
    <w:rsid w:val="003D327E"/>
    <w:rsid w:val="003D34F5"/>
    <w:rsid w:val="003D46AC"/>
    <w:rsid w:val="003D4EE8"/>
    <w:rsid w:val="003D6CAC"/>
    <w:rsid w:val="003E5023"/>
    <w:rsid w:val="003F00B8"/>
    <w:rsid w:val="003F093C"/>
    <w:rsid w:val="003F138C"/>
    <w:rsid w:val="003F7B2A"/>
    <w:rsid w:val="003F7E34"/>
    <w:rsid w:val="004030E9"/>
    <w:rsid w:val="00403736"/>
    <w:rsid w:val="00406976"/>
    <w:rsid w:val="004079B1"/>
    <w:rsid w:val="0041062E"/>
    <w:rsid w:val="00410AF3"/>
    <w:rsid w:val="00412CF8"/>
    <w:rsid w:val="00415238"/>
    <w:rsid w:val="00417BE0"/>
    <w:rsid w:val="004217F3"/>
    <w:rsid w:val="00423886"/>
    <w:rsid w:val="004249EE"/>
    <w:rsid w:val="00425012"/>
    <w:rsid w:val="00426148"/>
    <w:rsid w:val="00426439"/>
    <w:rsid w:val="00427BE9"/>
    <w:rsid w:val="00432896"/>
    <w:rsid w:val="00433207"/>
    <w:rsid w:val="00433B33"/>
    <w:rsid w:val="00441FEC"/>
    <w:rsid w:val="00444515"/>
    <w:rsid w:val="0044526B"/>
    <w:rsid w:val="00454872"/>
    <w:rsid w:val="00454C45"/>
    <w:rsid w:val="00464C0D"/>
    <w:rsid w:val="00467E8A"/>
    <w:rsid w:val="00480306"/>
    <w:rsid w:val="004902C5"/>
    <w:rsid w:val="00490E31"/>
    <w:rsid w:val="00492727"/>
    <w:rsid w:val="004972D7"/>
    <w:rsid w:val="00497820"/>
    <w:rsid w:val="004A0F51"/>
    <w:rsid w:val="004B071C"/>
    <w:rsid w:val="004B0AAA"/>
    <w:rsid w:val="004B0B51"/>
    <w:rsid w:val="004B3D39"/>
    <w:rsid w:val="004B7335"/>
    <w:rsid w:val="004C2787"/>
    <w:rsid w:val="004C4235"/>
    <w:rsid w:val="004D012A"/>
    <w:rsid w:val="004D2865"/>
    <w:rsid w:val="004D4113"/>
    <w:rsid w:val="004D461F"/>
    <w:rsid w:val="004D5172"/>
    <w:rsid w:val="004D75F4"/>
    <w:rsid w:val="004E28B3"/>
    <w:rsid w:val="004E33CF"/>
    <w:rsid w:val="004E383B"/>
    <w:rsid w:val="004F0556"/>
    <w:rsid w:val="004F1523"/>
    <w:rsid w:val="004F1DDA"/>
    <w:rsid w:val="004F466A"/>
    <w:rsid w:val="004F603F"/>
    <w:rsid w:val="00501103"/>
    <w:rsid w:val="00504089"/>
    <w:rsid w:val="0050673D"/>
    <w:rsid w:val="00506997"/>
    <w:rsid w:val="00510B00"/>
    <w:rsid w:val="00512432"/>
    <w:rsid w:val="0051574D"/>
    <w:rsid w:val="00515C4A"/>
    <w:rsid w:val="00517BD3"/>
    <w:rsid w:val="00517D96"/>
    <w:rsid w:val="00520FCE"/>
    <w:rsid w:val="00522CB0"/>
    <w:rsid w:val="005242A7"/>
    <w:rsid w:val="00524AC1"/>
    <w:rsid w:val="00531CE4"/>
    <w:rsid w:val="00535809"/>
    <w:rsid w:val="0053597D"/>
    <w:rsid w:val="005365E3"/>
    <w:rsid w:val="00536FC6"/>
    <w:rsid w:val="005372ED"/>
    <w:rsid w:val="00540943"/>
    <w:rsid w:val="005437E3"/>
    <w:rsid w:val="005445F5"/>
    <w:rsid w:val="005478EC"/>
    <w:rsid w:val="0055037D"/>
    <w:rsid w:val="00550811"/>
    <w:rsid w:val="00552112"/>
    <w:rsid w:val="0055374F"/>
    <w:rsid w:val="00555A1B"/>
    <w:rsid w:val="00561E3E"/>
    <w:rsid w:val="0056336D"/>
    <w:rsid w:val="00563D13"/>
    <w:rsid w:val="0057270C"/>
    <w:rsid w:val="00573F4F"/>
    <w:rsid w:val="00581241"/>
    <w:rsid w:val="00582840"/>
    <w:rsid w:val="00583438"/>
    <w:rsid w:val="005906F1"/>
    <w:rsid w:val="00593728"/>
    <w:rsid w:val="00593E59"/>
    <w:rsid w:val="005943FE"/>
    <w:rsid w:val="005A2457"/>
    <w:rsid w:val="005A3198"/>
    <w:rsid w:val="005A5DF2"/>
    <w:rsid w:val="005A68A6"/>
    <w:rsid w:val="005B4F6E"/>
    <w:rsid w:val="005B5DF0"/>
    <w:rsid w:val="005B6F77"/>
    <w:rsid w:val="005C004F"/>
    <w:rsid w:val="005C5E92"/>
    <w:rsid w:val="005D02B0"/>
    <w:rsid w:val="005D0F58"/>
    <w:rsid w:val="005D1FFD"/>
    <w:rsid w:val="005D3ABB"/>
    <w:rsid w:val="005D492E"/>
    <w:rsid w:val="005D49A0"/>
    <w:rsid w:val="005D5494"/>
    <w:rsid w:val="005D6F2F"/>
    <w:rsid w:val="005E3BA9"/>
    <w:rsid w:val="005E4AF1"/>
    <w:rsid w:val="005E4BEC"/>
    <w:rsid w:val="005E5532"/>
    <w:rsid w:val="005E7AA1"/>
    <w:rsid w:val="005F6702"/>
    <w:rsid w:val="0060308F"/>
    <w:rsid w:val="00603810"/>
    <w:rsid w:val="00604680"/>
    <w:rsid w:val="006058C2"/>
    <w:rsid w:val="00612621"/>
    <w:rsid w:val="00613C5F"/>
    <w:rsid w:val="00617683"/>
    <w:rsid w:val="00621280"/>
    <w:rsid w:val="00627D9A"/>
    <w:rsid w:val="006317EB"/>
    <w:rsid w:val="00632CB6"/>
    <w:rsid w:val="00633FAC"/>
    <w:rsid w:val="00646700"/>
    <w:rsid w:val="00646EE2"/>
    <w:rsid w:val="00650C04"/>
    <w:rsid w:val="00651C6B"/>
    <w:rsid w:val="00652440"/>
    <w:rsid w:val="006543F2"/>
    <w:rsid w:val="00655F02"/>
    <w:rsid w:val="0065721E"/>
    <w:rsid w:val="006601B7"/>
    <w:rsid w:val="0066237A"/>
    <w:rsid w:val="00663704"/>
    <w:rsid w:val="00664921"/>
    <w:rsid w:val="0066492E"/>
    <w:rsid w:val="00665988"/>
    <w:rsid w:val="006676CC"/>
    <w:rsid w:val="006707D9"/>
    <w:rsid w:val="00676242"/>
    <w:rsid w:val="006765FA"/>
    <w:rsid w:val="00677E40"/>
    <w:rsid w:val="0068278F"/>
    <w:rsid w:val="006858EC"/>
    <w:rsid w:val="006859A8"/>
    <w:rsid w:val="0068765D"/>
    <w:rsid w:val="00690902"/>
    <w:rsid w:val="00690BD3"/>
    <w:rsid w:val="006948E7"/>
    <w:rsid w:val="00697095"/>
    <w:rsid w:val="006A0266"/>
    <w:rsid w:val="006A10A1"/>
    <w:rsid w:val="006A190D"/>
    <w:rsid w:val="006A246C"/>
    <w:rsid w:val="006A368F"/>
    <w:rsid w:val="006A4E12"/>
    <w:rsid w:val="006A63CA"/>
    <w:rsid w:val="006A687C"/>
    <w:rsid w:val="006B0E3B"/>
    <w:rsid w:val="006B6AEF"/>
    <w:rsid w:val="006B6BE3"/>
    <w:rsid w:val="006B7EC9"/>
    <w:rsid w:val="006C3BF5"/>
    <w:rsid w:val="006D50A1"/>
    <w:rsid w:val="006D5156"/>
    <w:rsid w:val="006D5379"/>
    <w:rsid w:val="006D634E"/>
    <w:rsid w:val="006E29B7"/>
    <w:rsid w:val="006E3B6D"/>
    <w:rsid w:val="006E54CE"/>
    <w:rsid w:val="006F2B33"/>
    <w:rsid w:val="006F368A"/>
    <w:rsid w:val="006F7A16"/>
    <w:rsid w:val="006F7A19"/>
    <w:rsid w:val="00700040"/>
    <w:rsid w:val="0070073A"/>
    <w:rsid w:val="00701EAE"/>
    <w:rsid w:val="00703093"/>
    <w:rsid w:val="00704CC6"/>
    <w:rsid w:val="007064D1"/>
    <w:rsid w:val="00706F0D"/>
    <w:rsid w:val="0071196E"/>
    <w:rsid w:val="00714120"/>
    <w:rsid w:val="007142D1"/>
    <w:rsid w:val="00717452"/>
    <w:rsid w:val="00717FB9"/>
    <w:rsid w:val="00723891"/>
    <w:rsid w:val="00726E7E"/>
    <w:rsid w:val="00730780"/>
    <w:rsid w:val="0073125E"/>
    <w:rsid w:val="00731493"/>
    <w:rsid w:val="007316B1"/>
    <w:rsid w:val="007326D5"/>
    <w:rsid w:val="00732C8E"/>
    <w:rsid w:val="007336AE"/>
    <w:rsid w:val="00733822"/>
    <w:rsid w:val="00737A13"/>
    <w:rsid w:val="00741B83"/>
    <w:rsid w:val="007421E3"/>
    <w:rsid w:val="007449C3"/>
    <w:rsid w:val="00746071"/>
    <w:rsid w:val="0074629E"/>
    <w:rsid w:val="00746796"/>
    <w:rsid w:val="00747838"/>
    <w:rsid w:val="00753C79"/>
    <w:rsid w:val="007556C0"/>
    <w:rsid w:val="00756303"/>
    <w:rsid w:val="00757BDF"/>
    <w:rsid w:val="007604BE"/>
    <w:rsid w:val="00762D07"/>
    <w:rsid w:val="00763E18"/>
    <w:rsid w:val="00765601"/>
    <w:rsid w:val="00767947"/>
    <w:rsid w:val="00770008"/>
    <w:rsid w:val="00772B17"/>
    <w:rsid w:val="00773D27"/>
    <w:rsid w:val="00775028"/>
    <w:rsid w:val="007750BF"/>
    <w:rsid w:val="00777E2C"/>
    <w:rsid w:val="007839B6"/>
    <w:rsid w:val="007854ED"/>
    <w:rsid w:val="007875B7"/>
    <w:rsid w:val="007929C5"/>
    <w:rsid w:val="00793864"/>
    <w:rsid w:val="007956AB"/>
    <w:rsid w:val="0079648B"/>
    <w:rsid w:val="007B2245"/>
    <w:rsid w:val="007B27ED"/>
    <w:rsid w:val="007B4ED5"/>
    <w:rsid w:val="007B59B5"/>
    <w:rsid w:val="007B5B2C"/>
    <w:rsid w:val="007B5D03"/>
    <w:rsid w:val="007C14CD"/>
    <w:rsid w:val="007C4093"/>
    <w:rsid w:val="007C5D74"/>
    <w:rsid w:val="007C6D81"/>
    <w:rsid w:val="007D09FC"/>
    <w:rsid w:val="007D20D6"/>
    <w:rsid w:val="007D3ADF"/>
    <w:rsid w:val="007D5C6A"/>
    <w:rsid w:val="007E0128"/>
    <w:rsid w:val="007E1168"/>
    <w:rsid w:val="007E11E0"/>
    <w:rsid w:val="007E4E30"/>
    <w:rsid w:val="007E565F"/>
    <w:rsid w:val="007E5770"/>
    <w:rsid w:val="007E5C52"/>
    <w:rsid w:val="007F531E"/>
    <w:rsid w:val="007F5E88"/>
    <w:rsid w:val="007F7DB6"/>
    <w:rsid w:val="00807D0F"/>
    <w:rsid w:val="00814529"/>
    <w:rsid w:val="00822FDA"/>
    <w:rsid w:val="00824E4E"/>
    <w:rsid w:val="008270A9"/>
    <w:rsid w:val="00832CAE"/>
    <w:rsid w:val="00833D0E"/>
    <w:rsid w:val="008355C0"/>
    <w:rsid w:val="00837C62"/>
    <w:rsid w:val="0084095E"/>
    <w:rsid w:val="00844574"/>
    <w:rsid w:val="0084702B"/>
    <w:rsid w:val="00847EEF"/>
    <w:rsid w:val="008527EA"/>
    <w:rsid w:val="008533F9"/>
    <w:rsid w:val="00857AD6"/>
    <w:rsid w:val="008627B3"/>
    <w:rsid w:val="008656BF"/>
    <w:rsid w:val="00865DC6"/>
    <w:rsid w:val="008730B6"/>
    <w:rsid w:val="00874AD8"/>
    <w:rsid w:val="00875056"/>
    <w:rsid w:val="00875201"/>
    <w:rsid w:val="00876224"/>
    <w:rsid w:val="0088130A"/>
    <w:rsid w:val="008815B2"/>
    <w:rsid w:val="00882C15"/>
    <w:rsid w:val="00883C8A"/>
    <w:rsid w:val="008866D5"/>
    <w:rsid w:val="00886D25"/>
    <w:rsid w:val="008956BD"/>
    <w:rsid w:val="0089579C"/>
    <w:rsid w:val="00896B2B"/>
    <w:rsid w:val="008A2329"/>
    <w:rsid w:val="008A3881"/>
    <w:rsid w:val="008A3DB7"/>
    <w:rsid w:val="008A459D"/>
    <w:rsid w:val="008A6FF3"/>
    <w:rsid w:val="008B09F2"/>
    <w:rsid w:val="008B2ADF"/>
    <w:rsid w:val="008B2B99"/>
    <w:rsid w:val="008B6D21"/>
    <w:rsid w:val="008B7B94"/>
    <w:rsid w:val="008C0291"/>
    <w:rsid w:val="008C575D"/>
    <w:rsid w:val="008D0331"/>
    <w:rsid w:val="008D18A8"/>
    <w:rsid w:val="008D2015"/>
    <w:rsid w:val="008D26A8"/>
    <w:rsid w:val="008D516E"/>
    <w:rsid w:val="008E1F77"/>
    <w:rsid w:val="008E4334"/>
    <w:rsid w:val="008E4DDA"/>
    <w:rsid w:val="008F2569"/>
    <w:rsid w:val="008F7598"/>
    <w:rsid w:val="00901301"/>
    <w:rsid w:val="00901FBA"/>
    <w:rsid w:val="00902FFD"/>
    <w:rsid w:val="00905425"/>
    <w:rsid w:val="00906567"/>
    <w:rsid w:val="00913CB3"/>
    <w:rsid w:val="0091484E"/>
    <w:rsid w:val="00921907"/>
    <w:rsid w:val="00924CEB"/>
    <w:rsid w:val="00924E0A"/>
    <w:rsid w:val="00931025"/>
    <w:rsid w:val="00931271"/>
    <w:rsid w:val="0093385A"/>
    <w:rsid w:val="009407A2"/>
    <w:rsid w:val="009504E1"/>
    <w:rsid w:val="00950F19"/>
    <w:rsid w:val="00955026"/>
    <w:rsid w:val="00961D0B"/>
    <w:rsid w:val="00964A4F"/>
    <w:rsid w:val="00966D04"/>
    <w:rsid w:val="00967ADC"/>
    <w:rsid w:val="0097129D"/>
    <w:rsid w:val="00972633"/>
    <w:rsid w:val="0097732B"/>
    <w:rsid w:val="00980712"/>
    <w:rsid w:val="00981584"/>
    <w:rsid w:val="00985902"/>
    <w:rsid w:val="00990EAB"/>
    <w:rsid w:val="009919AE"/>
    <w:rsid w:val="00996D63"/>
    <w:rsid w:val="009A0249"/>
    <w:rsid w:val="009A04AC"/>
    <w:rsid w:val="009A124C"/>
    <w:rsid w:val="009A2136"/>
    <w:rsid w:val="009A4E68"/>
    <w:rsid w:val="009A5CC3"/>
    <w:rsid w:val="009B3309"/>
    <w:rsid w:val="009C624B"/>
    <w:rsid w:val="009D2F8E"/>
    <w:rsid w:val="009D644B"/>
    <w:rsid w:val="009E115F"/>
    <w:rsid w:val="009E2CCE"/>
    <w:rsid w:val="009E4F34"/>
    <w:rsid w:val="009E5205"/>
    <w:rsid w:val="009F032C"/>
    <w:rsid w:val="009F181E"/>
    <w:rsid w:val="009F3EB1"/>
    <w:rsid w:val="009F7450"/>
    <w:rsid w:val="00A013DA"/>
    <w:rsid w:val="00A02922"/>
    <w:rsid w:val="00A02B0D"/>
    <w:rsid w:val="00A03E4E"/>
    <w:rsid w:val="00A0611F"/>
    <w:rsid w:val="00A07E9B"/>
    <w:rsid w:val="00A1133C"/>
    <w:rsid w:val="00A12F93"/>
    <w:rsid w:val="00A13D53"/>
    <w:rsid w:val="00A14365"/>
    <w:rsid w:val="00A214AB"/>
    <w:rsid w:val="00A215FF"/>
    <w:rsid w:val="00A22C24"/>
    <w:rsid w:val="00A2359B"/>
    <w:rsid w:val="00A248C8"/>
    <w:rsid w:val="00A270A5"/>
    <w:rsid w:val="00A33D44"/>
    <w:rsid w:val="00A41772"/>
    <w:rsid w:val="00A424A9"/>
    <w:rsid w:val="00A46876"/>
    <w:rsid w:val="00A4690E"/>
    <w:rsid w:val="00A47F2D"/>
    <w:rsid w:val="00A5401B"/>
    <w:rsid w:val="00A5473E"/>
    <w:rsid w:val="00A5496C"/>
    <w:rsid w:val="00A56182"/>
    <w:rsid w:val="00A64571"/>
    <w:rsid w:val="00A6638C"/>
    <w:rsid w:val="00A6698F"/>
    <w:rsid w:val="00A7588B"/>
    <w:rsid w:val="00A761D3"/>
    <w:rsid w:val="00A76B4C"/>
    <w:rsid w:val="00A80B02"/>
    <w:rsid w:val="00A8648D"/>
    <w:rsid w:val="00A86D7B"/>
    <w:rsid w:val="00A87BDC"/>
    <w:rsid w:val="00A9381C"/>
    <w:rsid w:val="00AA19AE"/>
    <w:rsid w:val="00AA1B8E"/>
    <w:rsid w:val="00AA2F1D"/>
    <w:rsid w:val="00AA564A"/>
    <w:rsid w:val="00AA6F71"/>
    <w:rsid w:val="00AB13CE"/>
    <w:rsid w:val="00AB1DDA"/>
    <w:rsid w:val="00AB56BD"/>
    <w:rsid w:val="00AB61D9"/>
    <w:rsid w:val="00AB6336"/>
    <w:rsid w:val="00AB71AA"/>
    <w:rsid w:val="00AC2A3E"/>
    <w:rsid w:val="00AC30B0"/>
    <w:rsid w:val="00AC4234"/>
    <w:rsid w:val="00AD0AD2"/>
    <w:rsid w:val="00AD33E9"/>
    <w:rsid w:val="00AD3AD6"/>
    <w:rsid w:val="00AD4F7B"/>
    <w:rsid w:val="00AD7B88"/>
    <w:rsid w:val="00AE2599"/>
    <w:rsid w:val="00AE29C6"/>
    <w:rsid w:val="00AE45AF"/>
    <w:rsid w:val="00AE572A"/>
    <w:rsid w:val="00AF2EEE"/>
    <w:rsid w:val="00B0755A"/>
    <w:rsid w:val="00B1144A"/>
    <w:rsid w:val="00B13D27"/>
    <w:rsid w:val="00B14A40"/>
    <w:rsid w:val="00B159B9"/>
    <w:rsid w:val="00B212C7"/>
    <w:rsid w:val="00B301EA"/>
    <w:rsid w:val="00B32B36"/>
    <w:rsid w:val="00B361CB"/>
    <w:rsid w:val="00B36811"/>
    <w:rsid w:val="00B43FA2"/>
    <w:rsid w:val="00B44993"/>
    <w:rsid w:val="00B45948"/>
    <w:rsid w:val="00B47B4E"/>
    <w:rsid w:val="00B501E3"/>
    <w:rsid w:val="00B504E7"/>
    <w:rsid w:val="00B52A51"/>
    <w:rsid w:val="00B53166"/>
    <w:rsid w:val="00B54C40"/>
    <w:rsid w:val="00B55322"/>
    <w:rsid w:val="00B55440"/>
    <w:rsid w:val="00B55B63"/>
    <w:rsid w:val="00B5669B"/>
    <w:rsid w:val="00B62CEB"/>
    <w:rsid w:val="00B63DD9"/>
    <w:rsid w:val="00B63FA8"/>
    <w:rsid w:val="00B7102B"/>
    <w:rsid w:val="00B71DFA"/>
    <w:rsid w:val="00B72598"/>
    <w:rsid w:val="00B72D88"/>
    <w:rsid w:val="00B73372"/>
    <w:rsid w:val="00B759ED"/>
    <w:rsid w:val="00B82A54"/>
    <w:rsid w:val="00B83416"/>
    <w:rsid w:val="00B83783"/>
    <w:rsid w:val="00B83808"/>
    <w:rsid w:val="00B92316"/>
    <w:rsid w:val="00B950A8"/>
    <w:rsid w:val="00B968F1"/>
    <w:rsid w:val="00B96ED1"/>
    <w:rsid w:val="00BA1465"/>
    <w:rsid w:val="00BA6100"/>
    <w:rsid w:val="00BA6A82"/>
    <w:rsid w:val="00BB0E27"/>
    <w:rsid w:val="00BB30E5"/>
    <w:rsid w:val="00BB5A98"/>
    <w:rsid w:val="00BC09D5"/>
    <w:rsid w:val="00BC1F94"/>
    <w:rsid w:val="00BC28CC"/>
    <w:rsid w:val="00BC3F85"/>
    <w:rsid w:val="00BC64DA"/>
    <w:rsid w:val="00BC7ED9"/>
    <w:rsid w:val="00BD057C"/>
    <w:rsid w:val="00BD2926"/>
    <w:rsid w:val="00BD2EC9"/>
    <w:rsid w:val="00BD4A74"/>
    <w:rsid w:val="00BD58F8"/>
    <w:rsid w:val="00BE0037"/>
    <w:rsid w:val="00BE56BD"/>
    <w:rsid w:val="00BE6889"/>
    <w:rsid w:val="00BF0177"/>
    <w:rsid w:val="00BF26E6"/>
    <w:rsid w:val="00BF3CAD"/>
    <w:rsid w:val="00BF6073"/>
    <w:rsid w:val="00C00249"/>
    <w:rsid w:val="00C0367C"/>
    <w:rsid w:val="00C10326"/>
    <w:rsid w:val="00C115F8"/>
    <w:rsid w:val="00C11905"/>
    <w:rsid w:val="00C137BB"/>
    <w:rsid w:val="00C146CB"/>
    <w:rsid w:val="00C15919"/>
    <w:rsid w:val="00C16AC7"/>
    <w:rsid w:val="00C16B4B"/>
    <w:rsid w:val="00C224BD"/>
    <w:rsid w:val="00C2272B"/>
    <w:rsid w:val="00C2579B"/>
    <w:rsid w:val="00C26397"/>
    <w:rsid w:val="00C26A26"/>
    <w:rsid w:val="00C31410"/>
    <w:rsid w:val="00C31CF7"/>
    <w:rsid w:val="00C326CD"/>
    <w:rsid w:val="00C33289"/>
    <w:rsid w:val="00C42297"/>
    <w:rsid w:val="00C441FC"/>
    <w:rsid w:val="00C52011"/>
    <w:rsid w:val="00C533C4"/>
    <w:rsid w:val="00C54A5C"/>
    <w:rsid w:val="00C5655C"/>
    <w:rsid w:val="00C56C54"/>
    <w:rsid w:val="00C578B8"/>
    <w:rsid w:val="00C60A70"/>
    <w:rsid w:val="00C63411"/>
    <w:rsid w:val="00C666A2"/>
    <w:rsid w:val="00C66A34"/>
    <w:rsid w:val="00C67C3E"/>
    <w:rsid w:val="00C81BAE"/>
    <w:rsid w:val="00C831E1"/>
    <w:rsid w:val="00C84051"/>
    <w:rsid w:val="00C852C7"/>
    <w:rsid w:val="00C85F7D"/>
    <w:rsid w:val="00C9038B"/>
    <w:rsid w:val="00C952B9"/>
    <w:rsid w:val="00CA195E"/>
    <w:rsid w:val="00CA3FE6"/>
    <w:rsid w:val="00CA5118"/>
    <w:rsid w:val="00CA536B"/>
    <w:rsid w:val="00CA5D9A"/>
    <w:rsid w:val="00CA7794"/>
    <w:rsid w:val="00CB3E63"/>
    <w:rsid w:val="00CB54BC"/>
    <w:rsid w:val="00CB77AD"/>
    <w:rsid w:val="00CC3388"/>
    <w:rsid w:val="00CC6F7E"/>
    <w:rsid w:val="00CC7908"/>
    <w:rsid w:val="00CD299F"/>
    <w:rsid w:val="00CD3824"/>
    <w:rsid w:val="00CD388F"/>
    <w:rsid w:val="00CE3FE6"/>
    <w:rsid w:val="00CE42FD"/>
    <w:rsid w:val="00CE7A31"/>
    <w:rsid w:val="00CF1D9A"/>
    <w:rsid w:val="00CF2B2F"/>
    <w:rsid w:val="00CF4C3D"/>
    <w:rsid w:val="00D022E5"/>
    <w:rsid w:val="00D04E30"/>
    <w:rsid w:val="00D13111"/>
    <w:rsid w:val="00D174F1"/>
    <w:rsid w:val="00D225F1"/>
    <w:rsid w:val="00D2294E"/>
    <w:rsid w:val="00D22B55"/>
    <w:rsid w:val="00D240BE"/>
    <w:rsid w:val="00D258DB"/>
    <w:rsid w:val="00D27621"/>
    <w:rsid w:val="00D27C7C"/>
    <w:rsid w:val="00D27D18"/>
    <w:rsid w:val="00D316EE"/>
    <w:rsid w:val="00D32960"/>
    <w:rsid w:val="00D32A97"/>
    <w:rsid w:val="00D33290"/>
    <w:rsid w:val="00D37D2E"/>
    <w:rsid w:val="00D474BF"/>
    <w:rsid w:val="00D504CE"/>
    <w:rsid w:val="00D51CEF"/>
    <w:rsid w:val="00D52AA5"/>
    <w:rsid w:val="00D55CFC"/>
    <w:rsid w:val="00D57007"/>
    <w:rsid w:val="00D57F0F"/>
    <w:rsid w:val="00D60561"/>
    <w:rsid w:val="00D61153"/>
    <w:rsid w:val="00D6325C"/>
    <w:rsid w:val="00D63AE4"/>
    <w:rsid w:val="00D64128"/>
    <w:rsid w:val="00D65E99"/>
    <w:rsid w:val="00D6632A"/>
    <w:rsid w:val="00D667D2"/>
    <w:rsid w:val="00D66F17"/>
    <w:rsid w:val="00D700F5"/>
    <w:rsid w:val="00D726C9"/>
    <w:rsid w:val="00D75CCE"/>
    <w:rsid w:val="00D76667"/>
    <w:rsid w:val="00D80081"/>
    <w:rsid w:val="00D82FA7"/>
    <w:rsid w:val="00D86436"/>
    <w:rsid w:val="00D870C8"/>
    <w:rsid w:val="00D90FF4"/>
    <w:rsid w:val="00D9173E"/>
    <w:rsid w:val="00D9205E"/>
    <w:rsid w:val="00D92208"/>
    <w:rsid w:val="00D94B56"/>
    <w:rsid w:val="00D973A3"/>
    <w:rsid w:val="00DA7668"/>
    <w:rsid w:val="00DB0AE0"/>
    <w:rsid w:val="00DB7CEA"/>
    <w:rsid w:val="00DC00BE"/>
    <w:rsid w:val="00DC0EAD"/>
    <w:rsid w:val="00DC1928"/>
    <w:rsid w:val="00DC37D8"/>
    <w:rsid w:val="00DC4095"/>
    <w:rsid w:val="00DC4876"/>
    <w:rsid w:val="00DC529C"/>
    <w:rsid w:val="00DD0ADA"/>
    <w:rsid w:val="00DD29AD"/>
    <w:rsid w:val="00DD3266"/>
    <w:rsid w:val="00DD38A6"/>
    <w:rsid w:val="00DD3F13"/>
    <w:rsid w:val="00DD4472"/>
    <w:rsid w:val="00DD6CDE"/>
    <w:rsid w:val="00DE0050"/>
    <w:rsid w:val="00DE2F76"/>
    <w:rsid w:val="00DE3065"/>
    <w:rsid w:val="00DE63F6"/>
    <w:rsid w:val="00DF00BA"/>
    <w:rsid w:val="00DF50B1"/>
    <w:rsid w:val="00E052C6"/>
    <w:rsid w:val="00E1267F"/>
    <w:rsid w:val="00E16E11"/>
    <w:rsid w:val="00E203C6"/>
    <w:rsid w:val="00E21079"/>
    <w:rsid w:val="00E22BC3"/>
    <w:rsid w:val="00E2377F"/>
    <w:rsid w:val="00E246B0"/>
    <w:rsid w:val="00E252B0"/>
    <w:rsid w:val="00E25AFD"/>
    <w:rsid w:val="00E31778"/>
    <w:rsid w:val="00E4448D"/>
    <w:rsid w:val="00E5016D"/>
    <w:rsid w:val="00E536D5"/>
    <w:rsid w:val="00E54E86"/>
    <w:rsid w:val="00E60A87"/>
    <w:rsid w:val="00E64AE0"/>
    <w:rsid w:val="00E72CF1"/>
    <w:rsid w:val="00E751D6"/>
    <w:rsid w:val="00E75BF4"/>
    <w:rsid w:val="00E76E3D"/>
    <w:rsid w:val="00E817F2"/>
    <w:rsid w:val="00E82AB6"/>
    <w:rsid w:val="00E84CFD"/>
    <w:rsid w:val="00E97859"/>
    <w:rsid w:val="00EA0A0D"/>
    <w:rsid w:val="00EA2156"/>
    <w:rsid w:val="00EA489D"/>
    <w:rsid w:val="00EA76A6"/>
    <w:rsid w:val="00EB21F9"/>
    <w:rsid w:val="00EB420B"/>
    <w:rsid w:val="00EB4AC5"/>
    <w:rsid w:val="00EB71C2"/>
    <w:rsid w:val="00EB7DC6"/>
    <w:rsid w:val="00EC0018"/>
    <w:rsid w:val="00EC0EF7"/>
    <w:rsid w:val="00EC0FD9"/>
    <w:rsid w:val="00EC54D0"/>
    <w:rsid w:val="00ED1C84"/>
    <w:rsid w:val="00ED21B1"/>
    <w:rsid w:val="00ED2552"/>
    <w:rsid w:val="00ED357B"/>
    <w:rsid w:val="00ED3A76"/>
    <w:rsid w:val="00EE525A"/>
    <w:rsid w:val="00EF0CBC"/>
    <w:rsid w:val="00EF2F5B"/>
    <w:rsid w:val="00EF398D"/>
    <w:rsid w:val="00EF728F"/>
    <w:rsid w:val="00F058F0"/>
    <w:rsid w:val="00F07A6B"/>
    <w:rsid w:val="00F11ACC"/>
    <w:rsid w:val="00F30DAA"/>
    <w:rsid w:val="00F34889"/>
    <w:rsid w:val="00F35D14"/>
    <w:rsid w:val="00F421AB"/>
    <w:rsid w:val="00F4275E"/>
    <w:rsid w:val="00F43CE0"/>
    <w:rsid w:val="00F47797"/>
    <w:rsid w:val="00F51E2C"/>
    <w:rsid w:val="00F536B1"/>
    <w:rsid w:val="00F5549E"/>
    <w:rsid w:val="00F6272E"/>
    <w:rsid w:val="00F62C4C"/>
    <w:rsid w:val="00F63F11"/>
    <w:rsid w:val="00F6510D"/>
    <w:rsid w:val="00F6536A"/>
    <w:rsid w:val="00F71252"/>
    <w:rsid w:val="00F7176F"/>
    <w:rsid w:val="00F73346"/>
    <w:rsid w:val="00F74EB8"/>
    <w:rsid w:val="00F76157"/>
    <w:rsid w:val="00F80468"/>
    <w:rsid w:val="00F834A5"/>
    <w:rsid w:val="00F836E7"/>
    <w:rsid w:val="00F851F6"/>
    <w:rsid w:val="00F90B28"/>
    <w:rsid w:val="00F90F03"/>
    <w:rsid w:val="00F91D40"/>
    <w:rsid w:val="00F94845"/>
    <w:rsid w:val="00F970AA"/>
    <w:rsid w:val="00FA254D"/>
    <w:rsid w:val="00FA2745"/>
    <w:rsid w:val="00FA35CA"/>
    <w:rsid w:val="00FA4E49"/>
    <w:rsid w:val="00FA59A1"/>
    <w:rsid w:val="00FA7EEA"/>
    <w:rsid w:val="00FB4090"/>
    <w:rsid w:val="00FB52BB"/>
    <w:rsid w:val="00FB6C80"/>
    <w:rsid w:val="00FC0042"/>
    <w:rsid w:val="00FC0FA4"/>
    <w:rsid w:val="00FC4C9B"/>
    <w:rsid w:val="00FC7E8D"/>
    <w:rsid w:val="00FD23B6"/>
    <w:rsid w:val="00FD48EF"/>
    <w:rsid w:val="00FE3AAB"/>
    <w:rsid w:val="00FE4E94"/>
    <w:rsid w:val="00FF3312"/>
    <w:rsid w:val="00FF4939"/>
    <w:rsid w:val="00FF493B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AAE78F"/>
  <w15:docId w15:val="{69D0C48B-FDBE-45B2-AC5E-18043B4F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b/>
      <w:bCs/>
      <w:caps/>
      <w:lang w:val="sk-SK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360"/>
      <w:jc w:val="center"/>
      <w:outlineLvl w:val="1"/>
    </w:pPr>
    <w:rPr>
      <w:b/>
      <w:bCs/>
      <w:iCs/>
      <w:smallCaps/>
      <w:lang w:val="sk-SK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360"/>
      <w:jc w:val="center"/>
      <w:outlineLvl w:val="2"/>
    </w:pPr>
    <w:rPr>
      <w:b/>
      <w:szCs w:val="26"/>
      <w:lang w:val="sk-S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ans" w:hAnsi="Liberation Sans" w:cs="Liberation Sans"/>
    </w:rPr>
  </w:style>
  <w:style w:type="character" w:customStyle="1" w:styleId="WW8Num3z0">
    <w:name w:val="WW8Num3z0"/>
    <w:qFormat/>
    <w:rPr>
      <w:rFonts w:ascii="Liberation Sans" w:hAnsi="Liberation Sans" w:cs="Liberation Sans"/>
    </w:rPr>
  </w:style>
  <w:style w:type="character" w:customStyle="1" w:styleId="Policepardfaut5">
    <w:name w:val="Police par défaut5"/>
    <w:qFormat/>
  </w:style>
  <w:style w:type="character" w:customStyle="1" w:styleId="Policepardfaut4">
    <w:name w:val="Police par défaut4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Arial Unicode MS" w:hAnsi="Times New Roman" w:cs="Times New Roman"/>
      <w:color w:val="FF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Times New Roman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sk-SK" w:bidi="ar-SA"/>
    </w:rPr>
  </w:style>
  <w:style w:type="character" w:customStyle="1" w:styleId="SNDateCar">
    <w:name w:val="SNDate Car"/>
    <w:qFormat/>
    <w:rPr>
      <w:sz w:val="24"/>
      <w:szCs w:val="24"/>
      <w:lang w:val="sk-SK" w:bidi="ar-SA"/>
    </w:rPr>
  </w:style>
  <w:style w:type="character" w:customStyle="1" w:styleId="SNArticleCar">
    <w:name w:val="SNArticle Car"/>
    <w:qFormat/>
    <w:rPr>
      <w:b/>
      <w:bCs/>
      <w:sz w:val="24"/>
      <w:szCs w:val="24"/>
      <w:lang w:val="sk-SK"/>
    </w:rPr>
  </w:style>
  <w:style w:type="character" w:customStyle="1" w:styleId="SNenProjet">
    <w:name w:val="SNenProjet"/>
    <w:basedOn w:val="Policepardfaut1"/>
    <w:qFormat/>
  </w:style>
  <w:style w:type="character" w:customStyle="1" w:styleId="CarCar5">
    <w:name w:val="Car Car5"/>
    <w:qFormat/>
    <w:rPr>
      <w:b/>
      <w:sz w:val="24"/>
      <w:szCs w:val="26"/>
      <w:lang w:val="sk-SK"/>
    </w:rPr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arCar3">
    <w:name w:val="Car Car3"/>
    <w:basedOn w:val="Policepardfaut1"/>
    <w:qFormat/>
  </w:style>
  <w:style w:type="character" w:customStyle="1" w:styleId="CarCar2">
    <w:name w:val="Car Car2"/>
    <w:qFormat/>
    <w:rPr>
      <w:b/>
      <w:bCs/>
    </w:rPr>
  </w:style>
  <w:style w:type="character" w:customStyle="1" w:styleId="CarCar4">
    <w:name w:val="Car Car4"/>
    <w:qFormat/>
    <w:rPr>
      <w:sz w:val="24"/>
      <w:szCs w:val="24"/>
    </w:rPr>
  </w:style>
  <w:style w:type="character" w:customStyle="1" w:styleId="CarCar7">
    <w:name w:val="Car Car7"/>
    <w:qFormat/>
    <w:rPr>
      <w:rFonts w:cs="Arial"/>
      <w:b/>
      <w:bCs/>
      <w:caps/>
      <w:sz w:val="24"/>
      <w:szCs w:val="24"/>
    </w:rPr>
  </w:style>
  <w:style w:type="character" w:customStyle="1" w:styleId="CarCar6">
    <w:name w:val="Car Car6"/>
    <w:qFormat/>
    <w:rPr>
      <w:b/>
      <w:bCs/>
      <w:iCs/>
      <w:smallCaps/>
      <w:sz w:val="24"/>
      <w:szCs w:val="24"/>
      <w:lang w:val="sk-SK"/>
    </w:rPr>
  </w:style>
  <w:style w:type="character" w:customStyle="1" w:styleId="CarCar1">
    <w:name w:val="Car Car1"/>
    <w:qFormat/>
    <w:rPr>
      <w:sz w:val="24"/>
      <w:szCs w:val="24"/>
    </w:rPr>
  </w:style>
  <w:style w:type="character" w:customStyle="1" w:styleId="CarCar">
    <w:name w:val="Car Car"/>
    <w:qFormat/>
    <w:rPr>
      <w:sz w:val="24"/>
      <w:szCs w:val="24"/>
    </w:rPr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surlignage">
    <w:name w:val="surlignage"/>
    <w:qFormat/>
  </w:style>
  <w:style w:type="character" w:styleId="Lienhypertextesuivivisit">
    <w:name w:val="FollowedHyperlink"/>
    <w:qFormat/>
    <w:rPr>
      <w:color w:val="800080"/>
      <w:u w:val="single"/>
    </w:rPr>
  </w:style>
  <w:style w:type="character" w:styleId="lev">
    <w:name w:val="Strong"/>
    <w:qFormat/>
    <w:rPr>
      <w:b/>
      <w:bCs/>
    </w:rPr>
  </w:style>
  <w:style w:type="character" w:customStyle="1" w:styleId="tm2code">
    <w:name w:val="tm2code"/>
    <w:basedOn w:val="Policepardfaut1"/>
    <w:qFormat/>
  </w:style>
  <w:style w:type="character" w:customStyle="1" w:styleId="tm3code">
    <w:name w:val="tm3code"/>
    <w:basedOn w:val="Policepardfaut1"/>
    <w:qFormat/>
  </w:style>
  <w:style w:type="character" w:customStyle="1" w:styleId="tm4code">
    <w:name w:val="tm4code"/>
    <w:basedOn w:val="Policepardfaut1"/>
    <w:qFormat/>
  </w:style>
  <w:style w:type="character" w:customStyle="1" w:styleId="citation">
    <w:name w:val="citation"/>
    <w:basedOn w:val="Policepardfaut1"/>
    <w:qFormat/>
  </w:style>
  <w:style w:type="character" w:customStyle="1" w:styleId="WW8Num11z5">
    <w:name w:val="WW8Num11z5"/>
    <w:qFormat/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styleId="Accentuation">
    <w:name w:val="Emphasis"/>
    <w:uiPriority w:val="20"/>
    <w:qFormat/>
    <w:rPr>
      <w:i/>
      <w:iCs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CommentaireCar">
    <w:name w:val="Commentaire Car"/>
    <w:qFormat/>
    <w:rPr>
      <w:lang w:eastAsia="zh-CN"/>
    </w:rPr>
  </w:style>
  <w:style w:type="character" w:customStyle="1" w:styleId="tm5code">
    <w:name w:val="tm5code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stddocNumber">
    <w:name w:val="std_docNumber"/>
    <w:qFormat/>
    <w:rsid w:val="00C16C8D"/>
    <w:rPr>
      <w:rFonts w:ascii="Arial" w:hAnsi="Arial"/>
      <w:shd w:val="clear" w:color="auto" w:fill="F2DBDB"/>
    </w:rPr>
  </w:style>
  <w:style w:type="character" w:customStyle="1" w:styleId="stdpublisher">
    <w:name w:val="std_publisher"/>
    <w:qFormat/>
    <w:rsid w:val="00C16C8D"/>
    <w:rPr>
      <w:rFonts w:ascii="Arial" w:hAnsi="Arial"/>
      <w:shd w:val="clear" w:color="auto" w:fill="C6D9F1"/>
    </w:rPr>
  </w:style>
  <w:style w:type="character" w:customStyle="1" w:styleId="TabletitleChar">
    <w:name w:val="Table title Char"/>
    <w:link w:val="Tabletitle"/>
    <w:qFormat/>
    <w:rsid w:val="00C16C8D"/>
    <w:rPr>
      <w:rFonts w:ascii="Arial" w:eastAsia="Calibri" w:hAnsi="Arial"/>
      <w:b/>
      <w:szCs w:val="24"/>
      <w:lang w:val="sk-SK" w:eastAsia="en-US"/>
    </w:rPr>
  </w:style>
  <w:style w:type="character" w:customStyle="1" w:styleId="TablebodyChar">
    <w:name w:val="Table body Char"/>
    <w:link w:val="Tablebody"/>
    <w:qFormat/>
    <w:rsid w:val="00C16C8D"/>
    <w:rPr>
      <w:rFonts w:ascii="Arial" w:eastAsia="Calibri" w:hAnsi="Arial"/>
      <w:szCs w:val="22"/>
      <w:lang w:val="sk-SK" w:eastAsia="en-US"/>
    </w:rPr>
  </w:style>
  <w:style w:type="character" w:customStyle="1" w:styleId="TableheaderChar">
    <w:name w:val="Table header Char"/>
    <w:link w:val="Tableheader"/>
    <w:qFormat/>
    <w:rsid w:val="00C16C8D"/>
    <w:rPr>
      <w:rFonts w:ascii="Arial" w:eastAsia="Calibri" w:hAnsi="Arial"/>
      <w:szCs w:val="22"/>
      <w:lang w:val="sk-SK" w:eastAsia="en-US"/>
    </w:rPr>
  </w:style>
  <w:style w:type="character" w:customStyle="1" w:styleId="ListLabel1">
    <w:name w:val="ListLabel 1"/>
    <w:qFormat/>
    <w:rPr>
      <w:rFonts w:cs="Liberation Sans"/>
    </w:rPr>
  </w:style>
  <w:style w:type="character" w:customStyle="1" w:styleId="ListLabel2">
    <w:name w:val="ListLabel 2"/>
    <w:qFormat/>
    <w:rPr>
      <w:rFonts w:cs="Liberation Sans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eastAsia="Times New Roman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  <w:jc w:val="both"/>
    </w:pPr>
    <w:rPr>
      <w:lang w:val="sk-SK"/>
    </w:r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5">
    <w:name w:val="Titre5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4">
    <w:name w:val="Titre4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0">
    <w:name w:val="Titre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0">
    <w:name w:val="Titre2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10">
    <w:name w:val="Titre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pPr>
      <w:suppressAutoHyphens/>
      <w:jc w:val="center"/>
    </w:pPr>
    <w:rPr>
      <w:bCs/>
      <w:sz w:val="24"/>
      <w:lang w:eastAsia="zh-CN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qFormat/>
    <w:pPr>
      <w:spacing w:before="120" w:after="1680"/>
      <w:ind w:left="720" w:right="-6" w:firstLine="1080"/>
      <w:jc w:val="right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qFormat/>
    <w:pPr>
      <w:spacing w:before="280" w:after="280"/>
      <w:ind w:firstLine="720"/>
      <w:jc w:val="both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360" w:after="240"/>
      <w:jc w:val="center"/>
    </w:pPr>
    <w:rPr>
      <w:b/>
      <w:bCs/>
      <w:lang w:val="sk-SK"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Titre1"/>
    <w:qFormat/>
    <w:pPr>
      <w:numPr>
        <w:numId w:val="0"/>
      </w:numPr>
      <w:spacing w:before="0" w:after="120"/>
    </w:pPr>
    <w:rPr>
      <w:b w:val="0"/>
    </w:rPr>
  </w:style>
  <w:style w:type="paragraph" w:customStyle="1" w:styleId="Titre2objet">
    <w:name w:val="Titre 2 objet"/>
    <w:basedOn w:val="Titre2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customStyle="1" w:styleId="titre3objet">
    <w:name w:val="titre 3 objet"/>
    <w:basedOn w:val="Titre3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Objetducommentaire">
    <w:name w:val="annotation subject"/>
    <w:basedOn w:val="Commentaire1"/>
    <w:next w:val="Commentaire1"/>
    <w:qFormat/>
    <w:rPr>
      <w:b/>
      <w:bCs/>
      <w:lang w:val="sk-SK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lang w:val="sk-SK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sk-SK"/>
    </w:rPr>
  </w:style>
  <w:style w:type="paragraph" w:customStyle="1" w:styleId="PointDouble2">
    <w:name w:val="PointDouble 2"/>
    <w:basedOn w:val="Normal"/>
    <w:qFormat/>
    <w:pPr>
      <w:tabs>
        <w:tab w:val="left" w:pos="1984"/>
      </w:tabs>
      <w:spacing w:before="120" w:after="120" w:line="360" w:lineRule="auto"/>
      <w:ind w:left="2551" w:hanging="1134"/>
    </w:pPr>
  </w:style>
  <w:style w:type="paragraph" w:customStyle="1" w:styleId="Tiret0">
    <w:name w:val="Tiret 0"/>
    <w:basedOn w:val="Normal"/>
    <w:qFormat/>
    <w:pPr>
      <w:spacing w:before="120" w:after="120" w:line="360" w:lineRule="auto"/>
    </w:pPr>
  </w:style>
  <w:style w:type="paragraph" w:customStyle="1" w:styleId="Tiret1">
    <w:name w:val="Tiret 1"/>
    <w:basedOn w:val="Normal"/>
    <w:qFormat/>
    <w:pPr>
      <w:spacing w:before="120" w:after="120" w:line="360" w:lineRule="auto"/>
    </w:pPr>
  </w:style>
  <w:style w:type="paragraph" w:customStyle="1" w:styleId="Text1">
    <w:name w:val="Text 1"/>
    <w:basedOn w:val="Normal"/>
    <w:qFormat/>
    <w:pPr>
      <w:spacing w:before="120" w:after="120" w:line="360" w:lineRule="auto"/>
      <w:ind w:left="850"/>
    </w:pPr>
  </w:style>
  <w:style w:type="paragraph" w:customStyle="1" w:styleId="Point0">
    <w:name w:val="Point 0"/>
    <w:basedOn w:val="Normal"/>
    <w:qFormat/>
    <w:pPr>
      <w:spacing w:before="120" w:after="120" w:line="360" w:lineRule="auto"/>
      <w:ind w:left="850" w:hanging="850"/>
    </w:pPr>
  </w:style>
  <w:style w:type="paragraph" w:customStyle="1" w:styleId="Point1">
    <w:name w:val="Point 1"/>
    <w:basedOn w:val="Normal"/>
    <w:qFormat/>
    <w:pPr>
      <w:spacing w:before="120" w:after="120" w:line="360" w:lineRule="auto"/>
      <w:ind w:left="1417" w:hanging="567"/>
    </w:pPr>
  </w:style>
  <w:style w:type="paragraph" w:customStyle="1" w:styleId="ManualNumPar1">
    <w:name w:val="Manual NumPar 1"/>
    <w:basedOn w:val="Normal"/>
    <w:qFormat/>
    <w:pPr>
      <w:spacing w:before="120" w:after="120" w:line="360" w:lineRule="auto"/>
      <w:ind w:left="850" w:hanging="850"/>
    </w:pPr>
  </w:style>
  <w:style w:type="paragraph" w:styleId="Rvision">
    <w:name w:val="Revision"/>
    <w:qFormat/>
    <w:pPr>
      <w:suppressAutoHyphens/>
    </w:pPr>
    <w:rPr>
      <w:sz w:val="24"/>
      <w:szCs w:val="24"/>
      <w:lang w:eastAsia="zh-CN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/>
    </w:rPr>
  </w:style>
  <w:style w:type="paragraph" w:styleId="Notedebasdepage">
    <w:name w:val="footnote text"/>
    <w:basedOn w:val="Normal"/>
    <w:qFormat/>
    <w:rPr>
      <w:sz w:val="2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customStyle="1" w:styleId="western">
    <w:name w:val="western"/>
    <w:basedOn w:val="Normal"/>
    <w:qFormat/>
    <w:pPr>
      <w:suppressAutoHyphens w:val="0"/>
      <w:spacing w:before="280" w:after="119"/>
      <w:jc w:val="both"/>
    </w:pPr>
    <w:rPr>
      <w:color w:val="000000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1775C"/>
    <w:pPr>
      <w:ind w:left="720"/>
      <w:contextualSpacing/>
    </w:pPr>
  </w:style>
  <w:style w:type="paragraph" w:customStyle="1" w:styleId="Tabletitle">
    <w:name w:val="Table title"/>
    <w:basedOn w:val="Normal"/>
    <w:link w:val="TabletitleChar"/>
    <w:qFormat/>
    <w:rsid w:val="00C16C8D"/>
    <w:pPr>
      <w:keepNext/>
      <w:spacing w:before="120" w:after="120" w:line="240" w:lineRule="atLeast"/>
      <w:jc w:val="center"/>
      <w:outlineLvl w:val="0"/>
    </w:pPr>
    <w:rPr>
      <w:rFonts w:ascii="Arial" w:eastAsia="Calibri" w:hAnsi="Arial"/>
      <w:b/>
      <w:sz w:val="20"/>
      <w:lang w:val="sk-SK" w:eastAsia="en-US"/>
    </w:rPr>
  </w:style>
  <w:style w:type="paragraph" w:customStyle="1" w:styleId="Tablebody">
    <w:name w:val="Table body"/>
    <w:basedOn w:val="Normal"/>
    <w:link w:val="TablebodyChar"/>
    <w:qFormat/>
    <w:rsid w:val="00C16C8D"/>
    <w:pPr>
      <w:suppressAutoHyphens w:val="0"/>
      <w:spacing w:before="60" w:after="60" w:line="210" w:lineRule="atLeast"/>
    </w:pPr>
    <w:rPr>
      <w:rFonts w:ascii="Arial" w:eastAsia="Calibri" w:hAnsi="Arial"/>
      <w:sz w:val="20"/>
      <w:szCs w:val="22"/>
      <w:lang w:val="sk-SK" w:eastAsia="en-US"/>
    </w:rPr>
  </w:style>
  <w:style w:type="paragraph" w:customStyle="1" w:styleId="Tableheader">
    <w:name w:val="Table header"/>
    <w:basedOn w:val="Tablebody"/>
    <w:link w:val="TableheaderChar"/>
    <w:qFormat/>
    <w:rsid w:val="00C16C8D"/>
  </w:style>
  <w:style w:type="paragraph" w:customStyle="1" w:styleId="CM1">
    <w:name w:val="CM1"/>
    <w:basedOn w:val="Default"/>
    <w:next w:val="Default"/>
    <w:uiPriority w:val="99"/>
    <w:qFormat/>
    <w:rsid w:val="009A03FA"/>
    <w:pPr>
      <w:suppressAutoHyphens w:val="0"/>
    </w:pPr>
    <w:rPr>
      <w:rFonts w:ascii="EUAlbertina" w:hAnsi="EUAlbertina"/>
      <w:color w:val="00000A"/>
      <w:lang w:eastAsia="fr-FR"/>
    </w:rPr>
  </w:style>
  <w:style w:type="paragraph" w:customStyle="1" w:styleId="CM3">
    <w:name w:val="CM3"/>
    <w:basedOn w:val="Default"/>
    <w:next w:val="Default"/>
    <w:uiPriority w:val="99"/>
    <w:qFormat/>
    <w:rsid w:val="009A03FA"/>
    <w:pPr>
      <w:suppressAutoHyphens w:val="0"/>
    </w:pPr>
    <w:rPr>
      <w:rFonts w:ascii="EUAlbertina" w:hAnsi="EUAlbertina"/>
      <w:color w:val="00000A"/>
      <w:lang w:eastAsia="fr-FR"/>
    </w:rPr>
  </w:style>
  <w:style w:type="paragraph" w:customStyle="1" w:styleId="CM4">
    <w:name w:val="CM4"/>
    <w:basedOn w:val="Default"/>
    <w:next w:val="Default"/>
    <w:uiPriority w:val="99"/>
    <w:qFormat/>
    <w:rsid w:val="009A03FA"/>
    <w:pPr>
      <w:suppressAutoHyphens w:val="0"/>
    </w:pPr>
    <w:rPr>
      <w:rFonts w:ascii="EUAlbertina" w:hAnsi="EUAlbertina"/>
      <w:color w:val="00000A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80B02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unhideWhenUsed/>
    <w:rsid w:val="00A80B02"/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sid w:val="00A80B02"/>
    <w:rPr>
      <w:lang w:eastAsia="zh-CN"/>
    </w:rPr>
  </w:style>
  <w:style w:type="character" w:customStyle="1" w:styleId="highlight">
    <w:name w:val="highlight"/>
    <w:basedOn w:val="Policepardfaut"/>
    <w:rsid w:val="00EB71C2"/>
  </w:style>
  <w:style w:type="character" w:customStyle="1" w:styleId="PieddepageCar">
    <w:name w:val="Pied de page Car"/>
    <w:basedOn w:val="Policepardfaut"/>
    <w:link w:val="Pieddepage"/>
    <w:uiPriority w:val="99"/>
    <w:rsid w:val="00A6698F"/>
    <w:rPr>
      <w:sz w:val="24"/>
      <w:szCs w:val="24"/>
      <w:lang w:val="sk-SK" w:eastAsia="zh-CN"/>
    </w:rPr>
  </w:style>
  <w:style w:type="character" w:styleId="Lienhypertexte">
    <w:name w:val="Hyperlink"/>
    <w:basedOn w:val="Policepardfaut"/>
    <w:uiPriority w:val="99"/>
    <w:semiHidden/>
    <w:unhideWhenUsed/>
    <w:rsid w:val="00D60561"/>
    <w:rPr>
      <w:color w:val="0000FF"/>
      <w:u w:val="single"/>
    </w:rPr>
  </w:style>
  <w:style w:type="character" w:customStyle="1" w:styleId="super">
    <w:name w:val="super"/>
    <w:basedOn w:val="Policepardfaut"/>
    <w:rsid w:val="00ED3A76"/>
  </w:style>
  <w:style w:type="character" w:customStyle="1" w:styleId="st">
    <w:name w:val="st"/>
    <w:basedOn w:val="Policepardfaut"/>
    <w:rsid w:val="00014DD9"/>
  </w:style>
  <w:style w:type="paragraph" w:customStyle="1" w:styleId="snconsultation0">
    <w:name w:val="snconsultation"/>
    <w:basedOn w:val="Normal"/>
    <w:rsid w:val="00D240BE"/>
    <w:pPr>
      <w:suppressAutoHyphens w:val="0"/>
      <w:spacing w:before="100" w:beforeAutospacing="1" w:after="100" w:afterAutospacing="1"/>
    </w:pPr>
    <w:rPr>
      <w:lang w:eastAsia="fr-FR"/>
    </w:rPr>
  </w:style>
  <w:style w:type="table" w:styleId="Grilledutableau">
    <w:name w:val="Table Grid"/>
    <w:basedOn w:val="TableauNormal"/>
    <w:uiPriority w:val="39"/>
    <w:rsid w:val="00B8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Policepardfaut"/>
    <w:rsid w:val="00F65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8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6CBB6-6979-46B0-A70E-D3E217E5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3034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Hewlett-Packard Company</Company>
  <LinksUpToDate>false</LinksUpToDate>
  <CharactersWithSpaces>19685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GC</dc:creator>
  <dc:description/>
  <cp:lastModifiedBy>MOIZO Juliette</cp:lastModifiedBy>
  <cp:revision>10</cp:revision>
  <cp:lastPrinted>2021-04-29T14:31:00Z</cp:lastPrinted>
  <dcterms:created xsi:type="dcterms:W3CDTF">2021-09-29T20:01:00Z</dcterms:created>
  <dcterms:modified xsi:type="dcterms:W3CDTF">2021-10-01T16:20:00Z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