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AA74"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n.º 2022-748, de 29 de abril de 2022, sobre información al consumidor sobre las cualidades y características medioambientales de los productos generadores de residuos</w:t>
      </w:r>
    </w:p>
    <w:p w14:paraId="65A70B51"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NOR: TRED2203154D</w:t>
      </w:r>
      <w:r>
        <w:rPr>
          <w:rFonts w:ascii="Times New Roman" w:hAnsi="Times New Roman"/>
          <w:sz w:val="24"/>
        </w:rPr>
        <w:br/>
        <w:t>ELI: https://www.legifrance.gouv.fr/eli/decret/2022/4/29/TRED2203154D/jo/texte Alias: https://www.legifrance.gouv.fr/eli/decret/2022/4/29/2022-748/jo/texte</w:t>
      </w:r>
      <w:r>
        <w:rPr>
          <w:rFonts w:ascii="Times New Roman" w:hAnsi="Times New Roman"/>
          <w:sz w:val="24"/>
        </w:rPr>
        <w:br/>
        <w:t>Boletín Oficial de la República Francesa n.º°0101 de 30 de abril de 2022</w:t>
      </w:r>
      <w:r>
        <w:rPr>
          <w:rFonts w:ascii="Times New Roman" w:hAnsi="Times New Roman"/>
          <w:sz w:val="24"/>
        </w:rPr>
        <w:br/>
        <w:t>Texto n.º 4</w:t>
      </w:r>
    </w:p>
    <w:p w14:paraId="546A00D6"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Personas a las que afecta: productores, importadores, distribuidores u otras partes que comercialicen productos generadores de residuos destinados a los consumidores, incluidos los que utilizan un sitio web, una plataforma o cualquier otro canal de distribución en línea como parte de su actividad comercial en Francia, y los consumidores de estos productos. </w:t>
      </w:r>
      <w:r>
        <w:rPr>
          <w:rFonts w:ascii="Times New Roman" w:hAnsi="Times New Roman"/>
          <w:sz w:val="24"/>
        </w:rPr>
        <w:br/>
        <w:t xml:space="preserve">Objeto: aplicación de la obligación establecida en el artículo L. 541-9-1 del Código de Medio Ambiente relativo a la información al consumidor sobre las cualidades y características medioambientales de los productos generadores de residuos. </w:t>
      </w:r>
      <w:r>
        <w:rPr>
          <w:rFonts w:ascii="Times New Roman" w:hAnsi="Times New Roman"/>
          <w:sz w:val="24"/>
        </w:rPr>
        <w:br/>
        <w:t xml:space="preserve">Entrada en vigor: el artículo R. 541-223 entrará en vigor el día siguiente a la publicación del presente Decreto. Los productos o envases a los que se aplique se beneficiarán de un período de eliminación de existencias hasta el 1 de enero de 2023, siempre que hayan sido fabricados o importados antes de la fecha de publicación del presente Decreto. Los artículos R. 541-220 a R. 541-222 entrarán en vigor a partir del 1 de enero de 2023, de forma progresiva, por empresa. </w:t>
      </w:r>
      <w:r>
        <w:rPr>
          <w:rFonts w:ascii="Times New Roman" w:hAnsi="Times New Roman"/>
          <w:sz w:val="24"/>
        </w:rPr>
        <w:br/>
        <w:t xml:space="preserve">Nota explicativa: el Decreto define los términos de aplicación del artículo L. 541-9-1 del Código de Medio Ambiente, que prevé la debida información al consumidor, por parte de productores e importadores, sobre las cualidades y características medioambientales de los productos generadores de residuos, conceptos que se definen en este texto. Los productores e importadores que declaren un volumen de negocios anual superior a 10 millones EUR para los productos contemplados en el artículo R. 541-221 que comercialicen en el mercado nacional y que sean responsables anualmente de la comercialización de más de 10 000 unidades de dichos productos estarán sujetos a la obligación de información. Esta información se facilitará por vía electrónica y, en su caso, de conformidad con los procedimientos establecidos por orden; presentación, etiquetado o cualquier otro dispositivo legible y comprensible en el momento de la compra. Estas cualidades y características medioambientales incluyen, en función de las categorías de productos de que se trate, la incorporación de materiales reciclados, el uso de recursos renovables, la sostenibilidad, la </w:t>
      </w:r>
      <w:proofErr w:type="spellStart"/>
      <w:r>
        <w:rPr>
          <w:rFonts w:ascii="Times New Roman" w:hAnsi="Times New Roman"/>
          <w:sz w:val="24"/>
        </w:rPr>
        <w:t>compostabilidad</w:t>
      </w:r>
      <w:proofErr w:type="spellEnd"/>
      <w:r>
        <w:rPr>
          <w:rFonts w:ascii="Times New Roman" w:hAnsi="Times New Roman"/>
          <w:sz w:val="24"/>
        </w:rPr>
        <w:t xml:space="preserve">, la </w:t>
      </w:r>
      <w:proofErr w:type="spellStart"/>
      <w:r>
        <w:rPr>
          <w:rFonts w:ascii="Times New Roman" w:hAnsi="Times New Roman"/>
          <w:sz w:val="24"/>
        </w:rPr>
        <w:t>reparabilidad</w:t>
      </w:r>
      <w:proofErr w:type="spellEnd"/>
      <w:r>
        <w:rPr>
          <w:rFonts w:ascii="Times New Roman" w:hAnsi="Times New Roman"/>
          <w:sz w:val="24"/>
        </w:rPr>
        <w:t xml:space="preserve">, las posibilidades de reutilización, la reciclabilidad, la presencia de sustancias peligrosas, metales preciosos o metales de tierras raras, la trazabilidad y la presencia de microfibras de plástico. El formato de la puesta a disposición para los consumidores de datos sobre estas cualidades y características medioambientales debe ser fácilmente reutilizable y utilizable mediante un sistema de tratamiento automatizado en forma agregada. </w:t>
      </w:r>
      <w:r>
        <w:rPr>
          <w:rFonts w:ascii="Times New Roman" w:hAnsi="Times New Roman"/>
          <w:sz w:val="24"/>
        </w:rPr>
        <w:br/>
        <w:t xml:space="preserve">Referencias: el presente Decreto, así como el Código de Medio Ambiente al que modifica, puede consultarse en el sitio web de </w:t>
      </w:r>
      <w:proofErr w:type="spellStart"/>
      <w:r>
        <w:rPr>
          <w:rFonts w:ascii="Times New Roman" w:hAnsi="Times New Roman"/>
          <w:sz w:val="24"/>
        </w:rPr>
        <w:t>Légifrance</w:t>
      </w:r>
      <w:proofErr w:type="spellEnd"/>
      <w:r>
        <w:rPr>
          <w:rFonts w:ascii="Times New Roman" w:hAnsi="Times New Roman"/>
          <w:sz w:val="24"/>
        </w:rPr>
        <w:t xml:space="preserve"> (http://www.legifrance.gouv.fr). </w:t>
      </w:r>
    </w:p>
    <w:p w14:paraId="01AEE67D"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El Primer Ministro,</w:t>
      </w:r>
      <w:r>
        <w:rPr>
          <w:rFonts w:ascii="Times New Roman" w:hAnsi="Times New Roman"/>
          <w:sz w:val="24"/>
        </w:rPr>
        <w:br/>
        <w:t>Sobre el informe del Ministro de la Transición Ecológica y del Ministro de Economía, Hacienda y Recuperación;</w:t>
      </w:r>
      <w:r>
        <w:rPr>
          <w:rFonts w:ascii="Times New Roman" w:hAnsi="Times New Roman"/>
          <w:sz w:val="24"/>
        </w:rPr>
        <w:br/>
        <w:t>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r>
        <w:rPr>
          <w:rFonts w:ascii="Times New Roman" w:hAnsi="Times New Roman"/>
          <w:sz w:val="24"/>
        </w:rPr>
        <w:br/>
        <w:t>Visto el Reglamento (CE) n.º1272/2008 del Parlamento Europeo y del Consejo, de 16 de diciembre de 2008, sobre clasificación, etiquetado y envasado de sustancias y mezclas, y por el que se modifican y derogan las Directivas 67/548/CEE y 1999/45/CE y se modifica el Reglamento (CE) n.º 1907/2006;</w:t>
      </w:r>
      <w:r>
        <w:rPr>
          <w:rFonts w:ascii="Times New Roman" w:hAnsi="Times New Roman"/>
          <w:sz w:val="24"/>
        </w:rPr>
        <w:br/>
        <w:t>Vista la Directiva 94/62/CE del Parlamento Europeo y del Consejo, de 20 de diciembre de 1994, relativa a los envases y residuos de envases;</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w:t>
      </w:r>
      <w:r>
        <w:rPr>
          <w:rFonts w:ascii="Times New Roman" w:hAnsi="Times New Roman"/>
          <w:sz w:val="24"/>
        </w:rPr>
        <w:br/>
        <w:t>Visto el Código de la construcción y la vivienda, en particular los artículos L. 171-2 y R. 171-17;</w:t>
      </w:r>
      <w:r>
        <w:rPr>
          <w:rFonts w:ascii="Times New Roman" w:hAnsi="Times New Roman"/>
          <w:sz w:val="24"/>
        </w:rPr>
        <w:br/>
        <w:t>Visto el Código de Medio Ambiente, en particular los artículos L. 541-1-1, L. 541-9-1, L. 541-9-2, L. 541-10, L. 541-10-1, L. 541-10-3 y R. 543-226;</w:t>
      </w:r>
      <w:r>
        <w:rPr>
          <w:rFonts w:ascii="Times New Roman" w:hAnsi="Times New Roman"/>
          <w:sz w:val="24"/>
        </w:rPr>
        <w:br/>
        <w:t>Visto el Código de Salud Pública, en particular los artículos R. 5232-19 y R. 5232-20;</w:t>
      </w:r>
      <w:r>
        <w:rPr>
          <w:rFonts w:ascii="Times New Roman" w:hAnsi="Times New Roman"/>
          <w:sz w:val="24"/>
        </w:rPr>
        <w:br/>
        <w:t xml:space="preserve">Vista la Ley </w:t>
      </w:r>
      <w:proofErr w:type="spellStart"/>
      <w:r>
        <w:rPr>
          <w:rFonts w:ascii="Times New Roman" w:hAnsi="Times New Roman"/>
          <w:sz w:val="24"/>
        </w:rPr>
        <w:t>n°</w:t>
      </w:r>
      <w:proofErr w:type="spellEnd"/>
      <w:r>
        <w:rPr>
          <w:rFonts w:ascii="Times New Roman" w:hAnsi="Times New Roman"/>
          <w:sz w:val="24"/>
        </w:rPr>
        <w:t xml:space="preserve"> 2020-105, de 10 de febrero de 2020, relativa a la lucha contra los residuos y la economía circular, en particular los artículos 13 y 130;</w:t>
      </w:r>
      <w:r>
        <w:rPr>
          <w:rFonts w:ascii="Times New Roman" w:hAnsi="Times New Roman"/>
          <w:sz w:val="24"/>
        </w:rPr>
        <w:br/>
        <w:t>Vista la notificación n.º 2021/644/F enviada a la Comisión Europea el 4 de octubre de 2021 de conformidad con la Directiva 94/62/CE y la Directiva (UE) 2015/1535 y la respuesta de 5 de enero de 2022;</w:t>
      </w:r>
      <w:r>
        <w:rPr>
          <w:rFonts w:ascii="Times New Roman" w:hAnsi="Times New Roman"/>
          <w:sz w:val="24"/>
        </w:rPr>
        <w:br/>
        <w:t>Vistas las observaciones formuladas durante la consulta pública realizada entre el 12 de octubre y el 17 de noviembre de 2021, de conformidad con el artículo L. 123-19-1 del Código de Medio Ambiente;</w:t>
      </w:r>
      <w:r>
        <w:rPr>
          <w:rFonts w:ascii="Times New Roman" w:hAnsi="Times New Roman"/>
          <w:sz w:val="24"/>
        </w:rPr>
        <w:br/>
        <w:t>Previa consulta al Consejo de Estado (sección de obras públicas),</w:t>
      </w:r>
      <w:r>
        <w:rPr>
          <w:rFonts w:ascii="Times New Roman" w:hAnsi="Times New Roman"/>
          <w:sz w:val="24"/>
        </w:rPr>
        <w:br/>
        <w:t>Decreta:</w:t>
      </w:r>
    </w:p>
    <w:p w14:paraId="2DCD0D99"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1</w:t>
      </w:r>
    </w:p>
    <w:p w14:paraId="2E8F654D"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sección 9 del capítulo I del título IV del libro V de la parte reglamentaria del Código de Medio Ambiente se completa con una subsección 3 como sigue:</w:t>
      </w:r>
    </w:p>
    <w:p w14:paraId="4E2E06BA"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 Subsección</w:t>
      </w:r>
      <w:proofErr w:type="gramEnd"/>
      <w:r>
        <w:rPr>
          <w:rFonts w:ascii="Times New Roman" w:hAnsi="Times New Roman"/>
          <w:sz w:val="24"/>
        </w:rPr>
        <w:t> 3</w:t>
      </w:r>
      <w:r>
        <w:rPr>
          <w:rFonts w:ascii="Times New Roman" w:hAnsi="Times New Roman"/>
          <w:sz w:val="24"/>
        </w:rPr>
        <w:br/>
        <w:t>Información al consumidor sobre las cualidades y características medioambientales de los productos generadores de residuos</w:t>
      </w:r>
    </w:p>
    <w:p w14:paraId="56C4D98C"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Artículo R. 541-220. - Las cualidades y características medioambientales de los </w:t>
      </w:r>
      <w:r>
        <w:rPr>
          <w:rFonts w:ascii="Times New Roman" w:hAnsi="Times New Roman"/>
          <w:sz w:val="24"/>
        </w:rPr>
        <w:lastRenderedPageBreak/>
        <w:t>productos generadores de residuos a que se refiere el artículo L. 541-9-1 se entenderán como aquellas destinadas a informar al consumidor de las condiciones relativas a una mejor prevención y gestión de residuos.</w:t>
      </w:r>
      <w:r>
        <w:rPr>
          <w:rFonts w:ascii="Times New Roman" w:hAnsi="Times New Roman"/>
          <w:sz w:val="24"/>
        </w:rPr>
        <w:br/>
        <w:t xml:space="preserve"> La información sobre las cualidades y características medioambientales, en el sentido del artículo L. 541-9-1 y en las condiciones establecidas en la presente subsección, abarca los nuevos productos comercializados en el mercado destinados al consumidor a que se refiere el artículo R. 541-221.</w:t>
      </w:r>
      <w:r>
        <w:rPr>
          <w:rFonts w:ascii="Times New Roman" w:hAnsi="Times New Roman"/>
          <w:sz w:val="24"/>
        </w:rPr>
        <w:br/>
        <w:t xml:space="preserve"> Los productores, importadores o cualquier otra entidad comercializadora que declaren, para los productos contemplados en el artículo R. 541-221 que comercialicen en el mercado nacional, que tienen un volumen de negocios superior a 10 millones EUR y que son responsables anualmente de la comercialización en el mercado nacional de al menos 10 000 unidades de dichos productos, estarán sujetos a la obligación de información.</w:t>
      </w:r>
    </w:p>
    <w:p w14:paraId="58DAB0BE"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Artículo R. 541-221. - La información al consumidor sobre la </w:t>
      </w:r>
      <w:proofErr w:type="spellStart"/>
      <w:r>
        <w:rPr>
          <w:rFonts w:ascii="Times New Roman" w:hAnsi="Times New Roman"/>
          <w:sz w:val="24"/>
        </w:rPr>
        <w:t>reparabilidad</w:t>
      </w:r>
      <w:proofErr w:type="spellEnd"/>
      <w:r>
        <w:rPr>
          <w:rFonts w:ascii="Times New Roman" w:hAnsi="Times New Roman"/>
          <w:sz w:val="24"/>
        </w:rPr>
        <w:t xml:space="preserve"> o la durabilidad se refiere a los aparatos eléctricos o electrónicos a los que se aplica el índice de </w:t>
      </w:r>
      <w:proofErr w:type="spellStart"/>
      <w:r>
        <w:rPr>
          <w:rFonts w:ascii="Times New Roman" w:hAnsi="Times New Roman"/>
          <w:sz w:val="24"/>
        </w:rPr>
        <w:t>reparabilidad</w:t>
      </w:r>
      <w:proofErr w:type="spellEnd"/>
      <w:r>
        <w:rPr>
          <w:rFonts w:ascii="Times New Roman" w:hAnsi="Times New Roman"/>
          <w:sz w:val="24"/>
        </w:rPr>
        <w:t xml:space="preserve"> o el índice de durabilidad definidos en virtud del artículo L. 541-9-2.</w:t>
      </w:r>
      <w:r>
        <w:rPr>
          <w:rFonts w:ascii="Times New Roman" w:hAnsi="Times New Roman"/>
          <w:sz w:val="24"/>
        </w:rPr>
        <w:br/>
        <w:t xml:space="preserve"> Esta información se materializa en forma de visualización de un índice de </w:t>
      </w:r>
      <w:proofErr w:type="spellStart"/>
      <w:r>
        <w:rPr>
          <w:rFonts w:ascii="Times New Roman" w:hAnsi="Times New Roman"/>
          <w:sz w:val="24"/>
        </w:rPr>
        <w:t>reparabilidad</w:t>
      </w:r>
      <w:proofErr w:type="spellEnd"/>
      <w:r>
        <w:rPr>
          <w:rFonts w:ascii="Times New Roman" w:hAnsi="Times New Roman"/>
          <w:sz w:val="24"/>
        </w:rPr>
        <w:t xml:space="preserve"> o, a partir del 1 de enero de 2024, de un índice de durabilidad, de conformidad con lo dispuesto en los artículos R. 541-210 a R. 541-214.</w:t>
      </w:r>
      <w:r>
        <w:rPr>
          <w:rFonts w:ascii="Times New Roman" w:hAnsi="Times New Roman"/>
          <w:sz w:val="24"/>
        </w:rPr>
        <w:br/>
        <w:t xml:space="preserve"> II.-Los tipos y las categorías de envases que aparecen en la lista mencionada en el artículo R. 543-226, párrafo cuarto, entran en el ámbito de la información al consumidor sobre </w:t>
      </w:r>
      <w:proofErr w:type="spellStart"/>
      <w:r>
        <w:rPr>
          <w:rFonts w:ascii="Times New Roman" w:hAnsi="Times New Roman"/>
          <w:sz w:val="24"/>
        </w:rPr>
        <w:t>compostabilidad</w:t>
      </w:r>
      <w:proofErr w:type="spellEnd"/>
      <w:r>
        <w:rPr>
          <w:rFonts w:ascii="Times New Roman" w:hAnsi="Times New Roman"/>
          <w:sz w:val="24"/>
        </w:rPr>
        <w:t>.</w:t>
      </w:r>
      <w:r>
        <w:rPr>
          <w:rFonts w:ascii="Times New Roman" w:hAnsi="Times New Roman"/>
          <w:sz w:val="24"/>
        </w:rPr>
        <w:br/>
        <w:t xml:space="preserve"> Esta información se expresará con la indicación “envase </w:t>
      </w:r>
      <w:proofErr w:type="spellStart"/>
      <w:r>
        <w:rPr>
          <w:rFonts w:ascii="Times New Roman" w:hAnsi="Times New Roman"/>
          <w:sz w:val="24"/>
        </w:rPr>
        <w:t>compostable</w:t>
      </w:r>
      <w:proofErr w:type="spellEnd"/>
      <w:r>
        <w:rPr>
          <w:rFonts w:ascii="Times New Roman" w:hAnsi="Times New Roman"/>
          <w:sz w:val="24"/>
        </w:rPr>
        <w:t>”.</w:t>
      </w:r>
      <w:r>
        <w:rPr>
          <w:rFonts w:ascii="Times New Roman" w:hAnsi="Times New Roman"/>
          <w:sz w:val="24"/>
        </w:rPr>
        <w:br/>
        <w:t xml:space="preserve">III.-La incorporación de material reciclado se medirá como la proporción global de la masa de materiales derivados del reciclado en el sentido del artículo L. 541-1-1. </w:t>
      </w:r>
      <w:r>
        <w:rPr>
          <w:rFonts w:ascii="Times New Roman" w:hAnsi="Times New Roman"/>
          <w:sz w:val="24"/>
        </w:rPr>
        <w:br/>
        <w:t xml:space="preserve"> La información al consumidor sobre la incorporación de material reciclado se refiere a las categorías de productos mencionadas en los puntos 3, 5, 6, 7, 10 y 11, con excepción de los artículos de cuero, 13, 14 y 15, del artículo L. 541-10-1.</w:t>
      </w:r>
      <w:r>
        <w:rPr>
          <w:rFonts w:ascii="Times New Roman" w:hAnsi="Times New Roman"/>
          <w:sz w:val="24"/>
        </w:rPr>
        <w:br/>
        <w:t xml:space="preserve"> La información relativa a estos productos se expresará mediante la indicación “producto que contiene al menos el [%] de materiales reciclados”.</w:t>
      </w:r>
      <w:r>
        <w:rPr>
          <w:rFonts w:ascii="Times New Roman" w:hAnsi="Times New Roman"/>
          <w:sz w:val="24"/>
        </w:rPr>
        <w:br/>
        <w:t xml:space="preserve"> La información al consumidor sobre la incorporación de material reciclado también incluye los envases mencionados en el artículo L. 541-10-1, punto 1.</w:t>
      </w:r>
      <w:r>
        <w:rPr>
          <w:rFonts w:ascii="Times New Roman" w:hAnsi="Times New Roman"/>
          <w:sz w:val="24"/>
        </w:rPr>
        <w:br/>
        <w:t xml:space="preserve"> La información relativa a estos productos se expresará mediante la indicación “envase que contiene al menos el [%] de materiales reciclados”.</w:t>
      </w:r>
      <w:r>
        <w:rPr>
          <w:rFonts w:ascii="Times New Roman" w:hAnsi="Times New Roman"/>
          <w:sz w:val="24"/>
        </w:rPr>
        <w:br/>
        <w:t xml:space="preserve"> IV.-La información al consumidor sobre el uso de recursos renovables incluye los productos o materiales de construcción mencionados en el artículo L. 541-10-1, punto 4, y sujetos a una declaración ambiental en las condiciones establecidas en el artículo R. 171-17 del Código de la construcción y la vivienda.</w:t>
      </w:r>
      <w:r>
        <w:rPr>
          <w:rFonts w:ascii="Times New Roman" w:hAnsi="Times New Roman"/>
          <w:sz w:val="24"/>
        </w:rPr>
        <w:br/>
        <w:t xml:space="preserve"> Esta información se pone a su disposición en las condiciones y según las modalidades previstas en la subsección 1 de la sección 3 del capítulo I del título VII del libro I de la parte reglamentaria del Código de la construcción y la vivienda.</w:t>
      </w:r>
      <w:r>
        <w:rPr>
          <w:rFonts w:ascii="Times New Roman" w:hAnsi="Times New Roman"/>
          <w:sz w:val="24"/>
        </w:rPr>
        <w:br/>
        <w:t xml:space="preserve"> V.-Los envases a que se refiere el artículo L. 541-10-1, punto 1, entran en el ámbito de la información de los consumidores sobre las posibilidades de reutilización.</w:t>
      </w:r>
      <w:r>
        <w:rPr>
          <w:rFonts w:ascii="Times New Roman" w:hAnsi="Times New Roman"/>
          <w:sz w:val="24"/>
        </w:rPr>
        <w:br/>
        <w:t xml:space="preserve"> Las posibilidades de reutilización se entienden como las posibilidades de que un envase cumpla las condiciones mencionadas en el artículo R. 541-350, punto 3, para ser calificado como envase reutilizado.</w:t>
      </w:r>
      <w:r>
        <w:rPr>
          <w:rFonts w:ascii="Times New Roman" w:hAnsi="Times New Roman"/>
          <w:sz w:val="24"/>
        </w:rPr>
        <w:br/>
        <w:t xml:space="preserve"> Esta información se expresará mediante la indicación “envase reutilizable” o “envase recargable”.</w:t>
      </w:r>
      <w:r>
        <w:rPr>
          <w:rFonts w:ascii="Times New Roman" w:hAnsi="Times New Roman"/>
          <w:sz w:val="24"/>
        </w:rPr>
        <w:br/>
        <w:t xml:space="preserve">VI.-Reciclabilidad significa la capacidad efectiva de reciclado de residuos procedentes de </w:t>
      </w:r>
      <w:r>
        <w:rPr>
          <w:rFonts w:ascii="Times New Roman" w:hAnsi="Times New Roman"/>
          <w:sz w:val="24"/>
        </w:rPr>
        <w:lastRenderedPageBreak/>
        <w:t>productos idénticos o similares.  La reciclabilidad de estos residuos se caracteriza por:</w:t>
      </w:r>
      <w:r>
        <w:rPr>
          <w:rFonts w:ascii="Times New Roman" w:hAnsi="Times New Roman"/>
          <w:sz w:val="24"/>
        </w:rPr>
        <w:br/>
        <w:t>1) la capacidad de ser recogidos de manera eficiente a nivel local, a través del acceso de la población a los puntos de recogida más cercanos;</w:t>
      </w:r>
      <w:r>
        <w:rPr>
          <w:rFonts w:ascii="Times New Roman" w:hAnsi="Times New Roman"/>
          <w:sz w:val="24"/>
        </w:rPr>
        <w:br/>
        <w:t>2) la capacidad de clasificación, es decir, dirigirse a determinados canales de reciclaje para ser reciclados;</w:t>
      </w:r>
      <w:r>
        <w:rPr>
          <w:rFonts w:ascii="Times New Roman" w:hAnsi="Times New Roman"/>
          <w:sz w:val="24"/>
        </w:rPr>
        <w:br/>
        <w:t>3) la ausencia de elementos o sustancias que interrumpan la clasificación, el reciclaje o la limitación del uso de material reciclado;</w:t>
      </w:r>
      <w:r>
        <w:rPr>
          <w:rFonts w:ascii="Times New Roman" w:hAnsi="Times New Roman"/>
          <w:sz w:val="24"/>
        </w:rPr>
        <w:br/>
        <w:t>4) la medida en la que el material reciclado producido por los procesos de reciclaje implementados representa más del 50 % del grueso de los residuos recogidos;</w:t>
      </w:r>
      <w:r>
        <w:rPr>
          <w:rFonts w:ascii="Times New Roman" w:hAnsi="Times New Roman"/>
          <w:sz w:val="24"/>
        </w:rPr>
        <w:br/>
        <w:t>5) la capacidad de ser reciclados a escala industrial y en la práctica, en particular a través de una garantía de que la calidad del material reciclado obtenido es suficiente para garantizar la sostenibilidad de los puntos de venta, y que el sector del reciclaje pueda justificar un buen apoyo a la capacidad productos que se pueden integrar en él.</w:t>
      </w:r>
      <w:r>
        <w:rPr>
          <w:rFonts w:ascii="Times New Roman" w:hAnsi="Times New Roman"/>
          <w:sz w:val="24"/>
        </w:rPr>
        <w:br/>
        <w:t>La información sobre la reciclabilidad se pondrá a disposición del consumidor mediante la indicación “producto mayoritariamente reciclable” o “envase mayoritariamente reciclable” cuando se cumplan estos cinco criterios. Si el material reciclado producido por los procesos de reciclado implementados representa más del 95 % del grueso de los residuos recogidos, podrá colocarse la indicación “producto totalmente reciclable” en la información que se pone a disposición.</w:t>
      </w:r>
      <w:r>
        <w:rPr>
          <w:rFonts w:ascii="Times New Roman" w:hAnsi="Times New Roman"/>
          <w:sz w:val="24"/>
        </w:rPr>
        <w:br/>
        <w:t xml:space="preserve"> Se comunicará al productor por el sistema de responsabilidad ampliada al que haya transferido su obligación de ampliación de la responsabilidad en virtud del artículo L. 541-10, si es necesario con la provisión de una herramienta para calcular la reciclabilidad del producto de acuerdo con un método armonizado. Cuando el productor haya establecido un sistema de responsabilidad ampliada individual, este determinará la información bajo su responsabilidad.</w:t>
      </w:r>
      <w:r>
        <w:rPr>
          <w:rFonts w:ascii="Times New Roman" w:hAnsi="Times New Roman"/>
          <w:sz w:val="24"/>
        </w:rPr>
        <w:br/>
        <w:t xml:space="preserve"> Cuando la capacidad de ser reciclado corresponda al reciclado de materiales que en su mayoría se reincorporan a productos de una naturaleza equivalente que cumplen un uso y un fin idénticos sin la pérdida de función del material, el productor puede completar la información sobre reciclabilidad mediante la indicación “producto reciclable en un producto de la misma naturaleza” o “envase reciclable en un envase de la misma naturaleza”.</w:t>
      </w:r>
      <w:r>
        <w:rPr>
          <w:rFonts w:ascii="Times New Roman" w:hAnsi="Times New Roman"/>
          <w:sz w:val="24"/>
        </w:rPr>
        <w:br/>
        <w:t xml:space="preserve"> Las categorías de productos mencionadas en el artículo L. 541-10-1, puntos 1, 3, 4, 5, 6, 7, 10, 11, 12, 13, 14 y 15, están cubiertas por la información al consumidor sobre reciclabilidad.</w:t>
      </w:r>
      <w:r>
        <w:rPr>
          <w:rFonts w:ascii="Times New Roman" w:hAnsi="Times New Roman"/>
          <w:sz w:val="24"/>
        </w:rPr>
        <w:br/>
        <w:t xml:space="preserve"> VII.-Los siguientes metales: el oro, la plata, el platino y el paladio entran en el ámbito de la información a los consumidores sobre la presencia de metales preciosos en lo que respecta al impacto ambiental de sus condiciones de extracción.</w:t>
      </w:r>
      <w:r>
        <w:rPr>
          <w:rFonts w:ascii="Times New Roman" w:hAnsi="Times New Roman"/>
          <w:sz w:val="24"/>
        </w:rPr>
        <w:br/>
        <w:t xml:space="preserve"> La información relativa a los metales preciosos se pondrá a disposición de las categorías de productos a que se refiere el artículo L. 541-10-1, puntos 5 y 15.</w:t>
      </w:r>
      <w:r>
        <w:rPr>
          <w:rFonts w:ascii="Times New Roman" w:hAnsi="Times New Roman"/>
          <w:sz w:val="24"/>
        </w:rPr>
        <w:br/>
        <w:t xml:space="preserve"> Esta información se expresará en masa, siempre que sea superior a 1 miligramo, ya sea mediante la indicación “contiene al menos [X miligramos] de metales preciosos”, o mediante la indicación del detalle de cada metal precioso presente, expresada como una masa mínima en la misma unidad, en forma de la declaración “contiene al menos [X miligramos] de oro, plata, platino, paladio”.</w:t>
      </w:r>
      <w:r>
        <w:rPr>
          <w:rFonts w:ascii="Times New Roman" w:hAnsi="Times New Roman"/>
          <w:sz w:val="24"/>
        </w:rPr>
        <w:br/>
        <w:t xml:space="preserve"> VIII. - La información al consumidor sobre la presencia de tierras raras, con respecto al impacto ambiental de sus condiciones de extracción, incluye los siguientes elementos: escandio, itrio, lantano, cerio, praseodimio, neodimio, </w:t>
      </w:r>
      <w:proofErr w:type="spellStart"/>
      <w:r>
        <w:rPr>
          <w:rFonts w:ascii="Times New Roman" w:hAnsi="Times New Roman"/>
          <w:sz w:val="24"/>
        </w:rPr>
        <w:t>prometio</w:t>
      </w:r>
      <w:proofErr w:type="spellEnd"/>
      <w:r>
        <w:rPr>
          <w:rFonts w:ascii="Times New Roman" w:hAnsi="Times New Roman"/>
          <w:sz w:val="24"/>
        </w:rPr>
        <w:t>, samario, europio, gadolinio, terbio, disprosio, holmio, erbio, tulio, iterbio, lutecio.</w:t>
      </w:r>
      <w:r>
        <w:rPr>
          <w:rFonts w:ascii="Times New Roman" w:hAnsi="Times New Roman"/>
          <w:sz w:val="24"/>
        </w:rPr>
        <w:br/>
        <w:t xml:space="preserve"> La información sobre tierras raras estará disponible para las categorías de productos mencionados en el artículo L. 541-10-1, puntos 5 y 15.</w:t>
      </w:r>
      <w:r>
        <w:rPr>
          <w:rFonts w:ascii="Times New Roman" w:hAnsi="Times New Roman"/>
          <w:sz w:val="24"/>
        </w:rPr>
        <w:br/>
      </w:r>
      <w:r>
        <w:rPr>
          <w:rFonts w:ascii="Times New Roman" w:hAnsi="Times New Roman"/>
          <w:sz w:val="24"/>
        </w:rPr>
        <w:lastRenderedPageBreak/>
        <w:t xml:space="preserve"> Esta información se expresará en masa, siempre que sea superior a 1 miligramo, ya sea mediante la indicación “contiene al menos [X miligramos] de tierras raras”, o mediante la indicación del detalle de cada tierra rara expresada como mínimo masa en la misma unidad, en la forma de la declaración “contiene al menos [X miligramos] de escandio, itrio, lantano, cerio, praseodimio, neodimio, </w:t>
      </w:r>
      <w:proofErr w:type="spellStart"/>
      <w:r>
        <w:rPr>
          <w:rFonts w:ascii="Times New Roman" w:hAnsi="Times New Roman"/>
          <w:sz w:val="24"/>
        </w:rPr>
        <w:t>prometio</w:t>
      </w:r>
      <w:proofErr w:type="spellEnd"/>
      <w:r>
        <w:rPr>
          <w:rFonts w:ascii="Times New Roman" w:hAnsi="Times New Roman"/>
          <w:sz w:val="24"/>
        </w:rPr>
        <w:t>, samario, europio, gadolinio, terbio, disprosio, holmio, erbio, tulio, iterbio, lutecio”.</w:t>
      </w:r>
      <w:r>
        <w:rPr>
          <w:rFonts w:ascii="Times New Roman" w:hAnsi="Times New Roman"/>
          <w:sz w:val="24"/>
        </w:rPr>
        <w:br/>
        <w:t xml:space="preserve"> IX.-La información al consumidor sobre la presencia de una sustancia peligrosa se aplicará cuando esté presente en una concentración superior al 0,1 % en masa en una sustancia, un preparado o un artículo en el sentido del artículo 3, puntos 1, 2 y 3, del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 con la excepción de los medicamentos.</w:t>
      </w:r>
      <w:r>
        <w:rPr>
          <w:rFonts w:ascii="Times New Roman" w:hAnsi="Times New Roman"/>
          <w:sz w:val="24"/>
        </w:rPr>
        <w:br/>
        <w:t xml:space="preserve"> En el párrafo anterior, se entiende por “sustancia peligrosa” cualquier sustancia identificada por el Decreto, en virtud del dictamen de la Agencia Nacional de Seguridad Alimentaria, Ambiental y de Salud Ocupacional, a que se refiere el artículo L. 541-9-1, párrafo último, relativo a la identificación de sustancias peligrosas en los productos generadores de residuos.</w:t>
      </w:r>
      <w:r>
        <w:rPr>
          <w:rFonts w:ascii="Times New Roman" w:hAnsi="Times New Roman"/>
          <w:sz w:val="24"/>
        </w:rPr>
        <w:br/>
        <w:t xml:space="preserve"> Esta información se expresará mediante la indicación “contiene una sustancia peligrosa” o, cuando la sustancia peligrosa presente sea la mencionada en el artículo 59, apartado 1, del Reglamento (CE) n.º 1907/2006, de 18 de diciembre de 2006, mencionado anteriormente y publicada en virtud del artículo 59, apartado 10, mediante la indicación “contiene una sustancia extremadamente preocupante”. La información se completará con el nombre de cada sustancia peligrosa presente.</w:t>
      </w:r>
      <w:r>
        <w:rPr>
          <w:rFonts w:ascii="Times New Roman" w:hAnsi="Times New Roman"/>
          <w:sz w:val="24"/>
        </w:rPr>
        <w:br/>
        <w:t xml:space="preserve"> No obstante, esta modalidad de puesta a disposición de información no se aplica a las sustancias mencionadas en el artículo R. 5232-19, puntos 1 y 2, del Código de Salud Pública, para las cuales se aplicarán las modalidades de información mencionadas en el artículo R. 5232-20 del Código de Salud Pública.</w:t>
      </w:r>
      <w:r>
        <w:rPr>
          <w:rFonts w:ascii="Times New Roman" w:hAnsi="Times New Roman"/>
          <w:sz w:val="24"/>
        </w:rPr>
        <w:br/>
        <w:t xml:space="preserve"> La información se facilitará a más tardar seis meses después de que la sustancia sea identificada como sustancia peligrosa.</w:t>
      </w:r>
      <w:r>
        <w:rPr>
          <w:rFonts w:ascii="Times New Roman" w:hAnsi="Times New Roman"/>
          <w:sz w:val="24"/>
        </w:rPr>
        <w:br/>
        <w:t xml:space="preserve"> X.-La información al consumidor relativa a la trazabilidad para los productos contemplados en el artículo L. 541-10-1, punto 11, significa la indicación geográfica del país en el que se lleve a cabo principalmente cada una de las siguientes operaciones, cuando proceda:</w:t>
      </w:r>
      <w:r>
        <w:rPr>
          <w:rFonts w:ascii="Times New Roman" w:hAnsi="Times New Roman"/>
          <w:sz w:val="24"/>
        </w:rPr>
        <w:br/>
        <w:t>1) el tejido;</w:t>
      </w:r>
      <w:r>
        <w:rPr>
          <w:rFonts w:ascii="Times New Roman" w:hAnsi="Times New Roman"/>
          <w:sz w:val="24"/>
        </w:rPr>
        <w:br/>
        <w:t>2) el teñido y estampado;</w:t>
      </w:r>
      <w:r>
        <w:rPr>
          <w:rFonts w:ascii="Times New Roman" w:hAnsi="Times New Roman"/>
          <w:sz w:val="24"/>
        </w:rPr>
        <w:br/>
        <w:t>3) la confección.</w:t>
      </w:r>
      <w:r>
        <w:rPr>
          <w:rFonts w:ascii="Times New Roman" w:hAnsi="Times New Roman"/>
          <w:sz w:val="24"/>
        </w:rPr>
        <w:br/>
        <w:t xml:space="preserve"> En el caso del calzado incluido en el artículo L. 541-10-1, punto 11, estas operaciones serán las siguientes:</w:t>
      </w:r>
      <w:r>
        <w:rPr>
          <w:rFonts w:ascii="Times New Roman" w:hAnsi="Times New Roman"/>
          <w:sz w:val="24"/>
        </w:rPr>
        <w:br/>
        <w:t>1) el cosido;</w:t>
      </w:r>
      <w:r>
        <w:rPr>
          <w:rFonts w:ascii="Times New Roman" w:hAnsi="Times New Roman"/>
          <w:sz w:val="24"/>
        </w:rPr>
        <w:br/>
        <w:t>2) el montaje;</w:t>
      </w:r>
      <w:r>
        <w:rPr>
          <w:rFonts w:ascii="Times New Roman" w:hAnsi="Times New Roman"/>
          <w:sz w:val="24"/>
        </w:rPr>
        <w:br/>
        <w:t>3) el acabado.</w:t>
      </w:r>
      <w:r>
        <w:rPr>
          <w:rFonts w:ascii="Times New Roman" w:hAnsi="Times New Roman"/>
          <w:sz w:val="24"/>
        </w:rPr>
        <w:br/>
        <w:t xml:space="preserve"> Esta información se expresará en forma de referencia, para cada fase, al país en el que se haya llevado a cabo.</w:t>
      </w:r>
      <w:r>
        <w:rPr>
          <w:rFonts w:ascii="Times New Roman" w:hAnsi="Times New Roman"/>
          <w:sz w:val="24"/>
        </w:rPr>
        <w:br/>
        <w:t xml:space="preserve"> XI.-La información al consumidor relativa a la presencia de microfibras de plástico en los productos mencionados en el artículo L. 541-10-1, punto 11, se entenderá como la </w:t>
      </w:r>
      <w:r>
        <w:rPr>
          <w:rFonts w:ascii="Times New Roman" w:hAnsi="Times New Roman"/>
          <w:sz w:val="24"/>
        </w:rPr>
        <w:lastRenderedPageBreak/>
        <w:t>masa proporcional de las fibras sintéticas en el producto. Esta información se facilitará cuando la proporción de fibras sintéticas sea superior al 50 %.</w:t>
      </w:r>
      <w:r>
        <w:rPr>
          <w:rFonts w:ascii="Times New Roman" w:hAnsi="Times New Roman"/>
          <w:sz w:val="24"/>
        </w:rPr>
        <w:br/>
        <w:t xml:space="preserve"> Se expresará mediante la indicación “libera microfibras de plástico al medio ambiente durante el lavado”.</w:t>
      </w:r>
    </w:p>
    <w:p w14:paraId="58BB3D8B"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Artículo R. 541-222. - El productor, importador u otra parte que comercialice los productos contemplados en el artículo R. 541-221 pondrá a disposición información sobre las cualidades y características medioambientales de dichos productos o categorías de productos y sobre las primas y sanciones contempladas en el artículo L. 541-10-3 y pagadas por el productor sobre la base de criterios relativos al comportamiento medioambiental. Esta se pondrá a disposición en un formato sin papel, accesible gratuitamente en el momento de la compra y reutilizable de manera que permita una agregación. A tal fin, para cada producto mencionado en el artículo R. 541-221, el productor o importador pondrá a disposición la información facilitada en un sitio web específico o en una página de internet que contiene una ficha titulada “ficha del producto relativa a las cualidades y características medioambientales”, a fin de permitir la investigación y las consultas directas en internet, así como la extracción de datos para un posible tratamiento automatizado de la información presentada.</w:t>
      </w:r>
      <w:r>
        <w:rPr>
          <w:rFonts w:ascii="Times New Roman" w:hAnsi="Times New Roman"/>
          <w:sz w:val="24"/>
        </w:rPr>
        <w:br/>
        <w:t xml:space="preserve"> No obstante, en el caso de las sustancias a que se refiere el artículo R. 541-221, apartado IX, dicha información podrá efectuarse alternativamente mediante una solicitud designada por orden del Ministro de Medio Ambiente. Cuando la información se facilite mediante una aplicación, si debe establecerse un sitio web o una página web dedicada para al menos otra característica ambiental o de calidad, este sitio o esta página debe mencionar que se produce información sobre sustancias peligrosas a través de una aplicación e incluye un enlace directo a internet a ella.</w:t>
      </w:r>
      <w:r>
        <w:rPr>
          <w:rFonts w:ascii="Times New Roman" w:hAnsi="Times New Roman"/>
          <w:sz w:val="24"/>
        </w:rPr>
        <w:br/>
        <w:t>Una orden del ministro responsable del medio ambiente precisará, según sea necesario, las características técnicas y las modalidades de presentación de los sitios o las páginas de internet dedicados a las cualidades y características ambientales de los productos mencionados en el artículo R. 541-21.</w:t>
      </w:r>
      <w:r>
        <w:rPr>
          <w:rFonts w:ascii="Times New Roman" w:hAnsi="Times New Roman"/>
          <w:sz w:val="24"/>
        </w:rPr>
        <w:br/>
        <w:t xml:space="preserve"> La obligación de puesta a disposición de la información a que se refiere el artículo R. 541-221 seguirá siendo aplicable durante dos años a partir de la comercialización en el mercado de la última unidad del producto en cuestión.</w:t>
      </w:r>
      <w:r>
        <w:rPr>
          <w:rFonts w:ascii="Times New Roman" w:hAnsi="Times New Roman"/>
          <w:sz w:val="24"/>
        </w:rPr>
        <w:br/>
        <w:t xml:space="preserve"> Toda puesta a disposición de información voluntaria relacionada con estas cualidades y características medioambientales se ajustará a las disposiciones que figuran en el artículo R. 541-221.</w:t>
      </w:r>
      <w:r>
        <w:rPr>
          <w:rFonts w:ascii="Times New Roman" w:hAnsi="Times New Roman"/>
          <w:sz w:val="24"/>
        </w:rPr>
        <w:br/>
        <w:t xml:space="preserve"> Las modalidades de información establecidas en el presente artículo no se aplicarán a las cualidades y características medioambientales definidas en el artículo R. 541-221, apartados I y IV.</w:t>
      </w:r>
    </w:p>
    <w:p w14:paraId="2234D324"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Artículo R. 541-223. - Queda prohibido incluir en un producto o envase nuevos destinados al consumidor las palabras “biodegradable”, “respetuoso con el medio ambiente” o cualquier otro equivalente en materia de medio ambiente.».</w:t>
      </w:r>
    </w:p>
    <w:p w14:paraId="5F94D728"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6C0EF385"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En el artículo R. 5232-20, párrafo primero, del Código de Salud Pública, las palabras «en una página web específica» se sustituyen por «en un sitio web o una página web </w:t>
      </w:r>
      <w:r>
        <w:rPr>
          <w:rFonts w:ascii="Times New Roman" w:hAnsi="Times New Roman"/>
          <w:sz w:val="24"/>
        </w:rPr>
        <w:lastRenderedPageBreak/>
        <w:t>específica» y se suprimen las palabras «y que incluye una interfaz de programación de aplicaciones».</w:t>
      </w:r>
    </w:p>
    <w:p w14:paraId="14A114EE"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3</w:t>
      </w:r>
    </w:p>
    <w:p w14:paraId="02AC9940"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Los artículos R. 541-220 a R. 541-222 del Código de Medio Ambiente, en su versión modificada por el artículo 1 del presente Decreto, se aplicarán:</w:t>
      </w:r>
      <w:r>
        <w:rPr>
          <w:rFonts w:ascii="Times New Roman" w:hAnsi="Times New Roman"/>
          <w:sz w:val="24"/>
        </w:rPr>
        <w:br/>
        <w:t>1) a partir del 1 de enero de 2023, a los productores, importadores y cualquier otra entidad comercializadora que declaren, para los productos contemplados en el artículo R. 541-221, que comercializan en el mercado nacional un volumen de negocios anual superior a 50 millones EUR y que son responsables anualmente de la comercialización de al menos 25 000 unidades de dichos productos. No obstante, no se aplicarán a los productos para los que la última unidad se comercialice en el mercado entre el 1 de enero y el 31 de marzo de 2023;</w:t>
      </w:r>
      <w:r>
        <w:rPr>
          <w:rFonts w:ascii="Times New Roman" w:hAnsi="Times New Roman"/>
          <w:sz w:val="24"/>
        </w:rPr>
        <w:br/>
        <w:t>2) a partir del 1 de enero de 2024, a los productores, importadores y cualquier otra entidad comercializadora que declaren, para los productos contemplados en el artículo R. 541-221, que comercializan en el mercado nacional un volumen de negocios anual superior a 20 millones EUR y que son responsables anualmente de la comercialización en el mercado de al menos 10 000 unidades de dichos productos;</w:t>
      </w:r>
      <w:r>
        <w:rPr>
          <w:rFonts w:ascii="Times New Roman" w:hAnsi="Times New Roman"/>
          <w:sz w:val="24"/>
        </w:rPr>
        <w:br/>
        <w:t>3) a partir del 1 de enero de 2025, a los productores, importadores y cualquier otra entidad comercializadora que declaren, para los productos contemplados en el artículo R. 541-221, que comercializan en el mercado nacional un volumen de negocios anual superior a 10 millones EUR y que son responsables anualmente de la comercialización en el mercado de al menos 10 000 unidades de dichos productos.</w:t>
      </w:r>
      <w:r>
        <w:rPr>
          <w:rFonts w:ascii="Times New Roman" w:hAnsi="Times New Roman"/>
          <w:sz w:val="24"/>
        </w:rPr>
        <w:br/>
        <w:t>II.-Sin perjuicio de lo dispuesto en el apartado I, los artículos R. 541-220 a R. 541-222 del Código de Medio Ambiente, en su versión modificada por el artículo 1 del presente Decreto, se aplicarán a los productos mencionados en el artículo L. 541-10-1, puntos 4, 12 y 15, del Código de Medio Ambiente a partir del 1 de enero de 2024.</w:t>
      </w:r>
      <w:r>
        <w:rPr>
          <w:rFonts w:ascii="Times New Roman" w:hAnsi="Times New Roman"/>
          <w:sz w:val="24"/>
        </w:rPr>
        <w:br/>
        <w:t>III.-El artículo R. 541-223 del Código de Medio Ambiente, en su redacción resultante del artículo 1 del presente Decreto, entrará en vigor al día siguiente de la publicación de este Decreto. Los productos o envases a los que se aplique se beneficiarán de un período de eliminación de existencias hasta el 1 de enero de 2023, siempre que hayan sido fabricados o importados antes de la fecha de publicación del presente Decreto.</w:t>
      </w:r>
    </w:p>
    <w:p w14:paraId="327FD4DD"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4</w:t>
      </w:r>
    </w:p>
    <w:p w14:paraId="6D15E6FF"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La </w:t>
      </w:r>
      <w:proofErr w:type="gramStart"/>
      <w:r>
        <w:rPr>
          <w:rFonts w:ascii="Times New Roman" w:hAnsi="Times New Roman"/>
          <w:sz w:val="24"/>
        </w:rPr>
        <w:t>Ministra</w:t>
      </w:r>
      <w:proofErr w:type="gramEnd"/>
      <w:r>
        <w:rPr>
          <w:rFonts w:ascii="Times New Roman" w:hAnsi="Times New Roman"/>
          <w:sz w:val="24"/>
        </w:rPr>
        <w:t xml:space="preserve"> de la Transición Ecológica y el Ministro de Economía, Hacienda y Recuperación serán los responsables, cada uno en el ámbito de sus respectivas competencias, de la ejecución del presente Decreto, que se publicará en el Boletín Oficial de la República Francesa.</w:t>
      </w:r>
    </w:p>
    <w:p w14:paraId="7C4BA4C4"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 29 de abril de 2022.</w:t>
      </w:r>
    </w:p>
    <w:p w14:paraId="7CFCF533"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 xml:space="preserve">Por el </w:t>
      </w:r>
      <w:proofErr w:type="gramStart"/>
      <w:r>
        <w:rPr>
          <w:rFonts w:ascii="Times New Roman" w:hAnsi="Times New Roman"/>
          <w:sz w:val="24"/>
        </w:rPr>
        <w:t>Primer Ministro</w:t>
      </w:r>
      <w:proofErr w:type="gramEnd"/>
      <w:r>
        <w:rPr>
          <w:rFonts w:ascii="Times New Roman" w:hAnsi="Times New Roman"/>
          <w:sz w:val="24"/>
        </w:rPr>
        <w:t>:</w:t>
      </w:r>
    </w:p>
    <w:p w14:paraId="0F57AB6D"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 xml:space="preserve">La </w:t>
      </w:r>
      <w:proofErr w:type="gramStart"/>
      <w:r>
        <w:rPr>
          <w:rFonts w:ascii="Times New Roman" w:hAnsi="Times New Roman"/>
          <w:sz w:val="24"/>
        </w:rPr>
        <w:t>Ministra</w:t>
      </w:r>
      <w:proofErr w:type="gramEnd"/>
      <w:r>
        <w:rPr>
          <w:rFonts w:ascii="Times New Roman" w:hAnsi="Times New Roman"/>
          <w:sz w:val="24"/>
        </w:rPr>
        <w:t xml:space="preserve"> de la Transición Ecológica,</w:t>
      </w:r>
      <w:r>
        <w:rPr>
          <w:rFonts w:ascii="Times New Roman" w:hAnsi="Times New Roman"/>
          <w:sz w:val="24"/>
        </w:rPr>
        <w:br/>
        <w:t xml:space="preserve">Barbara </w:t>
      </w:r>
      <w:proofErr w:type="spellStart"/>
      <w:r>
        <w:rPr>
          <w:rFonts w:ascii="Times New Roman" w:hAnsi="Times New Roman"/>
          <w:sz w:val="24"/>
        </w:rPr>
        <w:t>Pompili</w:t>
      </w:r>
      <w:proofErr w:type="spellEnd"/>
    </w:p>
    <w:p w14:paraId="31583EDA"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El </w:t>
      </w:r>
      <w:proofErr w:type="gramStart"/>
      <w:r>
        <w:rPr>
          <w:rFonts w:ascii="Times New Roman" w:hAnsi="Times New Roman"/>
          <w:sz w:val="24"/>
        </w:rPr>
        <w:t>Ministro</w:t>
      </w:r>
      <w:proofErr w:type="gramEnd"/>
      <w:r>
        <w:rPr>
          <w:rFonts w:ascii="Times New Roman" w:hAnsi="Times New Roman"/>
          <w:sz w:val="24"/>
        </w:rPr>
        <w:t xml:space="preserve"> de Economía, Hacienda y Recuperación,</w:t>
      </w:r>
      <w:r>
        <w:rPr>
          <w:rFonts w:ascii="Times New Roman" w:hAnsi="Times New Roman"/>
          <w:sz w:val="24"/>
        </w:rPr>
        <w:br/>
        <w:t>Bruno Le Maire</w:t>
      </w:r>
    </w:p>
    <w:p w14:paraId="21700B43"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0A0F35"/>
    <w:rsid w:val="004D07E1"/>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6B63"/>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3590</Words>
  <Characters>19386</Characters>
  <Application>Microsoft Office Word</Application>
  <DocSecurity>0</DocSecurity>
  <Lines>340</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2022-08-12T13:02:00Z</dcterms:created>
  <dcterms:modified xsi:type="dcterms:W3CDTF">2022-08-12T13:02:00Z</dcterms:modified>
</cp:coreProperties>
</file>