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1318" w14:textId="77777777"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Uredba št. 2022-748 z dne 29. aprila 2022 o obveščanju potrošnikov o okoljskih lastnostih in značilnostih proizvodov, ki ustvarjajo odpadke</w:t>
      </w:r>
    </w:p>
    <w:p w14:paraId="3C1353B7" w14:textId="77777777" w:rsidR="00D95325" w:rsidRPr="00D95325" w:rsidRDefault="00D95325" w:rsidP="00D95325">
      <w:pPr>
        <w:spacing w:after="0" w:line="240" w:lineRule="auto"/>
        <w:rPr>
          <w:rFonts w:ascii="Times New Roman" w:eastAsia="Times New Roman" w:hAnsi="Times New Roman" w:cs="Times New Roman"/>
          <w:sz w:val="24"/>
          <w:szCs w:val="24"/>
        </w:rPr>
      </w:pPr>
      <w:r>
        <w:rPr>
          <w:rFonts w:ascii="Times New Roman" w:hAnsi="Times New Roman"/>
          <w:sz w:val="24"/>
        </w:rPr>
        <w:t>NOR: TRED2203154D</w:t>
      </w:r>
      <w:r>
        <w:rPr>
          <w:rFonts w:ascii="Times New Roman" w:hAnsi="Times New Roman"/>
          <w:sz w:val="24"/>
        </w:rPr>
        <w:br/>
        <w:t>ELI: https://www.legifrance.gouv.fr/eli/decret/2022/4/29/TRED2203154D/jo/texte</w:t>
      </w:r>
      <w:r>
        <w:rPr>
          <w:rFonts w:ascii="Times New Roman" w:hAnsi="Times New Roman"/>
          <w:sz w:val="24"/>
        </w:rPr>
        <w:br/>
        <w:t>Alias: https://www.legifrance.gouv.fr/eli/decret/2022/4/29/2022-748/jo/texte</w:t>
      </w:r>
      <w:r>
        <w:rPr>
          <w:rFonts w:ascii="Times New Roman" w:hAnsi="Times New Roman"/>
          <w:sz w:val="24"/>
        </w:rPr>
        <w:br/>
        <w:t>JORF št. 0101 z dne 30. aprila 2022</w:t>
      </w:r>
      <w:r>
        <w:rPr>
          <w:rFonts w:ascii="Times New Roman" w:hAnsi="Times New Roman"/>
          <w:sz w:val="24"/>
        </w:rPr>
        <w:br/>
        <w:t>Besedilo št. 4</w:t>
      </w:r>
    </w:p>
    <w:p w14:paraId="4C7F5EB5"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Zadevna javnost: proizvajalci, uvozniki, distributerji ali druge stranke, ki dajejo na trg potrošniške proizvode, ki ustvarjajo odpadke, vključno s tistimi, ki uporabljajo spletno stran, platformo ali drug distribucijski kanal v okviru svoje komercialne dejavnosti v Franciji, in potrošniki takih proizvodov. </w:t>
      </w:r>
      <w:r>
        <w:rPr>
          <w:rFonts w:ascii="Times New Roman" w:hAnsi="Times New Roman"/>
          <w:sz w:val="24"/>
        </w:rPr>
        <w:br/>
        <w:t xml:space="preserve">Zadeva: izvajanje obveznosti iz člena L. 541–9-1 Okoljskega zakonika v zvezi z obveščanjem potrošnikov o okoljskih lastnostih in značilnostih proizvodov, ki ustvarjajo odpadke. </w:t>
      </w:r>
      <w:r>
        <w:rPr>
          <w:rFonts w:ascii="Times New Roman" w:hAnsi="Times New Roman"/>
          <w:sz w:val="24"/>
        </w:rPr>
        <w:br/>
        <w:t xml:space="preserve">Začetek veljavnosti: člen R. 541-223 začne veljati dan po objavi te uredbe. Za proizvode ali embalažo, za katere se uporablja, velja obdobje porabe zalog do 1. januarja 2023, če so bili proizvedeni ali uvoženi pred datumom objave te uredbe. Členi R. 541-220 do R. 541-222 začnejo veljati postopoma od 1. januarja 2023 dalje, z zavezo. </w:t>
      </w:r>
      <w:r>
        <w:rPr>
          <w:rFonts w:ascii="Times New Roman" w:hAnsi="Times New Roman"/>
          <w:sz w:val="24"/>
        </w:rPr>
        <w:br/>
        <w:t xml:space="preserve">Obvestilo: uredba določa podrobna pravila za uporabo člena L. 541-9-1 Okoljskega zakonika, ki potrošnikom zagotavlja ustrezne informacije od proizvajalcev in uvoznikov o okoljskih lastnostih in značilnostih proizvodov, ki ustvarjajo odpadke – konceptih, opredeljenih v tem besedilu. Za proizvajalce in uvoznike, ki prijavijo letni promet več kot 10 milijonov EUR za proizvode iz člena R. 541-221, ki jih dajejo na nacionalni trg, in ki so letno odgovorni za dajanje na trg več kot 10 000 enot teh proizvodov, velja zahteva po informacijah. Te informacije so v času nakupa na voljo v elektronski obliki in po potrebi v skladu s postopki, določenimi z naročilom, prikazom, označevanjem ali katerim koli drugim čitljivim in razumljivim pripomočkom. Te okoljske lastnosti in značilnosti vključujejo, odvisno od zadevnih kategorij proizvodov, vključitev recikliranega materiala, uporabo obnovljivih virov, trajnost, možnost kompostiranja, popravljivost, možnosti ponovne uporabe, možnost recikliranja, prisotnost nevarnih snovi, plemenitih kovin ali redkih zemeljskih kovin, sledljivost in prisotnost plastičnih mikrovlaken. Format za dajanje podatkov o teh okoljskih lastnostih in značilnostih na voljo potrošnikom mora biti enostaven za ponovno uporabo in uporaben s sistemom avtomatizirane obdelave v zbirni obliki. </w:t>
      </w:r>
      <w:r>
        <w:rPr>
          <w:rFonts w:ascii="Times New Roman" w:hAnsi="Times New Roman"/>
          <w:sz w:val="24"/>
        </w:rPr>
        <w:br/>
        <w:t xml:space="preserve">Sklici: ta uredba in okoljski zakonik, ki ga spreminja, sta na voljo na spletni strani Légifrance (https://www.legifrance.gouv.fr). </w:t>
      </w:r>
    </w:p>
    <w:p w14:paraId="4D612DAE"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Predsednik vlade,</w:t>
      </w:r>
      <w:r>
        <w:rPr>
          <w:rFonts w:ascii="Times New Roman" w:hAnsi="Times New Roman"/>
          <w:sz w:val="24"/>
        </w:rPr>
        <w:br/>
        <w:t>na podlagi poročila ministra za ekološki prehod in ministra za gospodarstvo, finance in okrevanje;</w:t>
      </w:r>
      <w:r>
        <w:rPr>
          <w:rFonts w:ascii="Times New Roman" w:hAnsi="Times New Roman"/>
          <w:sz w:val="24"/>
        </w:rPr>
        <w:br/>
        <w:t>ob upoštevanju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r>
        <w:rPr>
          <w:rFonts w:ascii="Times New Roman" w:hAnsi="Times New Roman"/>
          <w:sz w:val="24"/>
        </w:rPr>
        <w:br/>
      </w:r>
      <w:r>
        <w:rPr>
          <w:rFonts w:ascii="Times New Roman" w:hAnsi="Times New Roman"/>
          <w:sz w:val="24"/>
        </w:rPr>
        <w:lastRenderedPageBreak/>
        <w:t>ob upoštevanju Uredbe (ES) št. 1272/2008 Evropskega parlamenta in Sveta z dne 16. decembra 2008 o razvrščanju, označevanju in pakiranju snovi ter​zmesi, o spremembi in razveljavitvi direktiv 67/548/EGS in 1999/45 /ES ter spremembi Uredbe (ES) št. 1907/2006, kakor je bila spremenjena;</w:t>
      </w:r>
      <w:r>
        <w:rPr>
          <w:rFonts w:ascii="Times New Roman" w:hAnsi="Times New Roman"/>
          <w:sz w:val="24"/>
        </w:rPr>
        <w:br/>
        <w:t>ob upoštevanju Direktive Evropskega parlamenta in Sveta 94/62/ES z dne 20. decembra 1994 o embalaži in odpadni embalaži;</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w:t>
      </w:r>
      <w:r>
        <w:rPr>
          <w:rFonts w:ascii="Times New Roman" w:hAnsi="Times New Roman"/>
          <w:sz w:val="24"/>
        </w:rPr>
        <w:br/>
        <w:t>ob upoštevanju Gradbenega in stanovanjskega zakonika, zlasti njegovih členov L. 171-2 in R. 171-17;</w:t>
      </w:r>
      <w:r>
        <w:rPr>
          <w:rFonts w:ascii="Times New Roman" w:hAnsi="Times New Roman"/>
          <w:sz w:val="24"/>
        </w:rPr>
        <w:br/>
        <w:t>ob upoštevanju Okoljskega zakonika, zlasti členov L. 541-1-1, L. 541-9-1, L. 541-9-2, L. 541-10, L. 541-10-1, L. 541-10-3 in R. 543-226;</w:t>
      </w:r>
      <w:r>
        <w:rPr>
          <w:rFonts w:ascii="Times New Roman" w:hAnsi="Times New Roman"/>
          <w:sz w:val="24"/>
        </w:rPr>
        <w:br/>
        <w:t>ob upoštevanju Zakonika o javnem zdravju, zlasti njegovih členov R. 5232-19 in R. 5232-20;</w:t>
      </w:r>
      <w:r>
        <w:rPr>
          <w:rFonts w:ascii="Times New Roman" w:hAnsi="Times New Roman"/>
          <w:sz w:val="24"/>
        </w:rPr>
        <w:br/>
        <w:t>ob upoštevanju Zakona št. 2020-105 z dne 10. februarja 2020 o boju proti odpadkom in krožnem gospodarstvu, zlasti njegovih členov 13 in 130;</w:t>
      </w:r>
      <w:r>
        <w:rPr>
          <w:rFonts w:ascii="Times New Roman" w:hAnsi="Times New Roman"/>
          <w:sz w:val="24"/>
        </w:rPr>
        <w:br/>
        <w:t>ob upoštevanju obvestila št. 2021/644/F, poslanega Evropski komisiji dne 4. oktobra 2021 v skladu z Direktivo (EU) 94/62/ES in Direktivo (EU) 2015/1535, ter odgovora z dne 5. januarja 2022;</w:t>
      </w:r>
      <w:r>
        <w:rPr>
          <w:rFonts w:ascii="Times New Roman" w:hAnsi="Times New Roman"/>
          <w:sz w:val="24"/>
        </w:rPr>
        <w:br/>
        <w:t>ob upoštevanju pripomb, podanih med javnim posvetovanjem, opravljenim med 12. oktobrom in 17. novembrom 2021, v skladu s členom L123-19-1 Okoljskega zakonika;</w:t>
      </w:r>
      <w:r>
        <w:rPr>
          <w:rFonts w:ascii="Times New Roman" w:hAnsi="Times New Roman"/>
          <w:sz w:val="24"/>
        </w:rPr>
        <w:br/>
        <w:t>ob upoštevanju mnenja Državnega sveta (oddelek za javna dela),</w:t>
      </w:r>
      <w:r>
        <w:rPr>
          <w:rFonts w:ascii="Times New Roman" w:hAnsi="Times New Roman"/>
          <w:sz w:val="24"/>
        </w:rPr>
        <w:br/>
        <w:t>odreja:</w:t>
      </w:r>
    </w:p>
    <w:p w14:paraId="24224394"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518756A9"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Oddelek 9 poglavja I naslova IV knjige V regulativnega dela Okoljskega zakonika se dopolni s pododdelkom 3, kot sledi:</w:t>
      </w:r>
    </w:p>
    <w:p w14:paraId="50147FB0"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Pododdelek 3</w:t>
      </w:r>
      <w:r>
        <w:rPr>
          <w:rFonts w:ascii="Times New Roman" w:hAnsi="Times New Roman"/>
          <w:sz w:val="24"/>
        </w:rPr>
        <w:br/>
        <w:t>Informacije za potrošnike o okoljskih lastnostih in značilnostih proizvodov, ki ustvarjajo odpadke</w:t>
      </w:r>
    </w:p>
    <w:p w14:paraId="3D736B2A"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R. 541-220. - Okoljske lastnosti in značilnosti proizvodov, ki ustvarjajo odpadke, iz člena L. 541-9-1, se razumejo kot tiste, ki so namenjene obveščanju potrošnika o pogojih v zvezi z boljšim preprečevanjem nastajanja in ravnanjem z odpadki.</w:t>
      </w:r>
      <w:r>
        <w:rPr>
          <w:rFonts w:ascii="Times New Roman" w:hAnsi="Times New Roman"/>
          <w:sz w:val="24"/>
        </w:rPr>
        <w:br/>
        <w:t>„ Informacije o okoljskih lastnostih in značilnostih v smislu člena L. 541-9-1 in pod pogoji, določenimi v tem pododdelku, zajemajo nove proizvode, dane na trg za potrošnika iz člena R. 541-221.</w:t>
      </w:r>
      <w:r>
        <w:rPr>
          <w:rFonts w:ascii="Times New Roman" w:hAnsi="Times New Roman"/>
          <w:sz w:val="24"/>
        </w:rPr>
        <w:br/>
        <w:t>„ Za proizvajalce, uvoznike ali kateri koli drug subjekt, ki daje na trg in ki za proizvode iz člena R. 541-221, ki jih dajejo na nacionalni trg, izjavijo, da promet presega 10 milijonov EUR in so letno odgovorni za dajanje na nacionalni trg vsaj 10 000 enot teh proizvodov, velja obveznost zagotavljanja informacij.</w:t>
      </w:r>
    </w:p>
    <w:p w14:paraId="0FE2F723"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Člen R. 541-221. - I. - Informacije za potrošnike o popravljivosti ali trajnosti se nanašajo na električno ali elektronsko opremo, za katero se uporabljata indeks </w:t>
      </w:r>
      <w:r>
        <w:rPr>
          <w:rFonts w:ascii="Times New Roman" w:hAnsi="Times New Roman"/>
          <w:sz w:val="24"/>
        </w:rPr>
        <w:lastRenderedPageBreak/>
        <w:t>popravljivosti ali indeks trajnosti, opredeljena v skladu s členom L. 541-9-2.</w:t>
      </w:r>
      <w:r>
        <w:rPr>
          <w:rFonts w:ascii="Times New Roman" w:hAnsi="Times New Roman"/>
          <w:sz w:val="24"/>
        </w:rPr>
        <w:br/>
        <w:t>„ Te informacije se izrazijo v obliki prikaza indeksa popravljivosti ali od 1. januarja 2024 indeksa trajnosti v skladu z določbami členov R. 541-210 do R. 541-214.</w:t>
      </w:r>
      <w:r>
        <w:rPr>
          <w:rFonts w:ascii="Times New Roman" w:hAnsi="Times New Roman"/>
          <w:sz w:val="24"/>
        </w:rPr>
        <w:br/>
        <w:t>„ II. - Vrste in kategorije embalaže, ki se pojavljajo na seznamu, navedenem v četrtem odstavku člena R. 543-226, spadajo v obseg informacij za potrošnike o primernosti za kompostiranje.</w:t>
      </w:r>
      <w:r>
        <w:rPr>
          <w:rFonts w:ascii="Times New Roman" w:hAnsi="Times New Roman"/>
          <w:sz w:val="24"/>
        </w:rPr>
        <w:br/>
        <w:t>„ Te informacije se izrazijo s sklicevanjem na izraz ‚embalaža, primerna za kompostiranje‘.</w:t>
      </w:r>
      <w:r>
        <w:rPr>
          <w:rFonts w:ascii="Times New Roman" w:hAnsi="Times New Roman"/>
          <w:sz w:val="24"/>
        </w:rPr>
        <w:br/>
        <w:t xml:space="preserve">III.-Vključitev recikliranega materiala se izmeri kot skupni delež mase materialov, pridobljenih z recikliranjem v smislu člena L. 541-1-1. </w:t>
      </w:r>
      <w:r>
        <w:rPr>
          <w:rFonts w:ascii="Times New Roman" w:hAnsi="Times New Roman"/>
          <w:sz w:val="24"/>
        </w:rPr>
        <w:br/>
        <w:t>„ Informacije za potrošnike o vključitvi recikliranega materiala se nanašajo na kategorije proizvodov iz odstavkov 3, 5, 6, 7, 10, 11, razen usnjenih proizvodov iz odstavkov 13, 14 in 15 člena L. 541-10-1.</w:t>
      </w:r>
      <w:r>
        <w:rPr>
          <w:rFonts w:ascii="Times New Roman" w:hAnsi="Times New Roman"/>
          <w:sz w:val="24"/>
        </w:rPr>
        <w:br/>
        <w:t>„ Te informacije se za te proizvode izrazijo s sklicevanjem na izraz „proizvod, ki vsebuje najmanj [%] recikliranih materialov“.</w:t>
      </w:r>
      <w:r>
        <w:rPr>
          <w:rFonts w:ascii="Times New Roman" w:hAnsi="Times New Roman"/>
          <w:sz w:val="24"/>
        </w:rPr>
        <w:br/>
        <w:t>„ Informacije za potrošnike o vključitvi recikliranega materiala vključujejo tudi embalažo, navedeno v odstavku 1 člena L. 541-10-1.</w:t>
      </w:r>
      <w:r>
        <w:rPr>
          <w:rFonts w:ascii="Times New Roman" w:hAnsi="Times New Roman"/>
          <w:sz w:val="24"/>
        </w:rPr>
        <w:br/>
        <w:t>„ Te informacije se za te proizvode izrazijo s sklicevanjem na izraz „embalaža, ki vsebuje najmanj [%] recikliranih materialov“.</w:t>
      </w:r>
      <w:r>
        <w:rPr>
          <w:rFonts w:ascii="Times New Roman" w:hAnsi="Times New Roman"/>
          <w:sz w:val="24"/>
        </w:rPr>
        <w:br/>
        <w:t>„ IV. - Informacije za potrošnike o uporabi obnovljivih virov vključujejo proizvode ali gradbene materiale, navedene v odstavku 4 člena L. 541-10-1, ki so predmet okoljske deklaracije pod pogoji iz člena R. 171-17 Gradbenega in stanovanjskega zakonika.</w:t>
      </w:r>
      <w:r>
        <w:rPr>
          <w:rFonts w:ascii="Times New Roman" w:hAnsi="Times New Roman"/>
          <w:sz w:val="24"/>
        </w:rPr>
        <w:br/>
        <w:t>„ Te informacije so na voljo pod pogoji, določenimi v pododdelku 1 oddelka 3 poglavja I naslova VII knjige I regulativnega dela Gradbenega in stanovanjskega zakonika.</w:t>
      </w:r>
      <w:r>
        <w:rPr>
          <w:rFonts w:ascii="Times New Roman" w:hAnsi="Times New Roman"/>
          <w:sz w:val="24"/>
        </w:rPr>
        <w:br/>
        <w:t>„ V. - Embalaža iz odstavka 1 člena L. 541-10-1 spada v informacije za potrošnika o možnostih ponovne uporabe.</w:t>
      </w:r>
      <w:r>
        <w:rPr>
          <w:rFonts w:ascii="Times New Roman" w:hAnsi="Times New Roman"/>
          <w:sz w:val="24"/>
        </w:rPr>
        <w:br/>
        <w:t>„ Možnosti ponovne uporabe se razumejo kot možnosti, da embalaža izpolnjuje pogoje iz odstavka 3 člena R. 541-350, da bi se štela za ponovno uporabljeno embalažo ali embalažo s spremenjeno namembnostjo.</w:t>
      </w:r>
      <w:r>
        <w:rPr>
          <w:rFonts w:ascii="Times New Roman" w:hAnsi="Times New Roman"/>
          <w:sz w:val="24"/>
        </w:rPr>
        <w:br/>
        <w:t>„ Te informacije se izrazijo s sklicevanjem na izraz „embalaža za večkratno uporabo“ ali „embalaža za ponovno polnjenje“.</w:t>
      </w:r>
      <w:r>
        <w:rPr>
          <w:rFonts w:ascii="Times New Roman" w:hAnsi="Times New Roman"/>
          <w:sz w:val="24"/>
        </w:rPr>
        <w:br/>
        <w:t>VI.- Možnost recikliranja pomeni učinkovito zmogljivost recikliranja odpadkov iz enakih ali podobnih proizvodov.  Možnost recikliranja teh odpadkov ima naslednje značilnosti:</w:t>
      </w:r>
      <w:r>
        <w:rPr>
          <w:rFonts w:ascii="Times New Roman" w:hAnsi="Times New Roman"/>
          <w:sz w:val="24"/>
        </w:rPr>
        <w:br/>
        <w:t>(1) sposobnost učinkovitega zbiranja na lokalni ravni z dostopom prebivalstva do lokalnih zbirnih mest;</w:t>
      </w:r>
      <w:r>
        <w:rPr>
          <w:rFonts w:ascii="Times New Roman" w:hAnsi="Times New Roman"/>
          <w:sz w:val="24"/>
        </w:rPr>
        <w:br/>
        <w:t>(2) sposobnost razvrščanja, tj. usmerjanje v določene kanale za recikliranje;</w:t>
      </w:r>
      <w:r>
        <w:rPr>
          <w:rFonts w:ascii="Times New Roman" w:hAnsi="Times New Roman"/>
          <w:sz w:val="24"/>
        </w:rPr>
        <w:br/>
        <w:t>(3) odsotnost elementov ali snovi, ki bi motile razvrščanje ali recikliranje ali omejile uporabo recikliranega materiala;</w:t>
      </w:r>
      <w:r>
        <w:rPr>
          <w:rFonts w:ascii="Times New Roman" w:hAnsi="Times New Roman"/>
          <w:sz w:val="24"/>
        </w:rPr>
        <w:br/>
        <w:t>(4) obseg, v katerem reciklirani material, proizveden z uporabljenimi postopki recikliranja, predstavlja več kot 50 % količine zbranih odpadkov;</w:t>
      </w:r>
      <w:r>
        <w:rPr>
          <w:rFonts w:ascii="Times New Roman" w:hAnsi="Times New Roman"/>
          <w:sz w:val="24"/>
        </w:rPr>
        <w:br/>
        <w:t>(5) sposobnost recikliranja v industrijskem obsegu in v praksi, zlasti z jamstvom, da je kakovost pridobljenega recikliranega materiala zadostna za zagotovitev trajnosti prodajnih mest in da lahko veriga recikliranja dokaže zadostno sposobnost prevzemanja odgovornosti za proizvode, ki se vanjo lahko vključijo.</w:t>
      </w:r>
      <w:r>
        <w:rPr>
          <w:rFonts w:ascii="Times New Roman" w:hAnsi="Times New Roman"/>
          <w:sz w:val="24"/>
        </w:rPr>
        <w:br/>
        <w:t>Informacije o možnosti recikliranja so potrošniku na voljo pod naslovom ‚proizvod, ki ga je mogoče večinoma reciklirati‘ ali ‚embalaža, ki jo je mogoče večinoma reciklirati‘, kadar je teh pet meril izpolnjenih. Če reciklirani material, proizveden z izvedenimi postopki recikliranja, predstavlja več kot 95 % količine zbranih odpadkov, lahko informacije, ki so na voljo, vključujejo navedbo ‚proizvod, ki ga je mogoče v celoti reciklirati‘.</w:t>
      </w:r>
      <w:r>
        <w:rPr>
          <w:rFonts w:ascii="Times New Roman" w:hAnsi="Times New Roman"/>
          <w:sz w:val="24"/>
        </w:rPr>
        <w:br/>
      </w:r>
      <w:r>
        <w:rPr>
          <w:rFonts w:ascii="Times New Roman" w:hAnsi="Times New Roman"/>
          <w:sz w:val="24"/>
        </w:rPr>
        <w:lastRenderedPageBreak/>
        <w:t>„ O tem proizvajalca obvesti ekološka organizacija, na katero so prenesli svojo obveznost razširjene odgovornosti v skladu s členom L. 541-10, po potrebi z zagotovitvijo orodja za izračun možnosti recikliranja izdelka. po usklajeni metodi. Če je proizvajalec vzpostavil individualni sistem razširjene odgovornosti, določijo informacije v okviru svoje odgovornosti.</w:t>
      </w:r>
      <w:r>
        <w:rPr>
          <w:rFonts w:ascii="Times New Roman" w:hAnsi="Times New Roman"/>
          <w:sz w:val="24"/>
        </w:rPr>
        <w:br/>
        <w:t>„ Kadar sposobnost recikliranja ustreza recikliranju materialov, večinoma ponovno vključenih v proizvode enakovredne narave, ki ustrezajo enaki uporabi in namenu brez funkcionalne izgube materiala, lahko proizvajalec informacije o recikliranju dopolni z izjavo ‚proizvod, ki ga je mogoče reciklirati v proizvod iste vrste‘ ali ‚embalaža, ki jo je mogoče reciklirati v embalažo iste vrste‘.</w:t>
      </w:r>
      <w:r>
        <w:rPr>
          <w:rFonts w:ascii="Times New Roman" w:hAnsi="Times New Roman"/>
          <w:sz w:val="24"/>
        </w:rPr>
        <w:br/>
        <w:t>„ Kategorije proizvodov iz odstavkov 1, 3, 4, 5, 6, 7, 10, 11, 12, 13, 14 in 15 člena L. 541-10-1 so zajete v informacijah za potrošnike o možnosti recikliranja.</w:t>
      </w:r>
      <w:r>
        <w:rPr>
          <w:rFonts w:ascii="Times New Roman" w:hAnsi="Times New Roman"/>
          <w:sz w:val="24"/>
        </w:rPr>
        <w:br/>
        <w:t>„ VII.- Informacije za potrošnike o prisotnosti plemenitih kovin, glede vpliva na okolje zaradi pogojev pridobivanja, vključujejo naslednje kovine: zlato, srebro, platino in paladij.</w:t>
      </w:r>
      <w:r>
        <w:rPr>
          <w:rFonts w:ascii="Times New Roman" w:hAnsi="Times New Roman"/>
          <w:sz w:val="24"/>
        </w:rPr>
        <w:br/>
        <w:t>„ Informacije v zvezi s plemenitimi kovinami se dajo na voljo za kategorije proizvodov iz odstavkov 5 in 15 člena L. 541-10-1.</w:t>
      </w:r>
      <w:r>
        <w:rPr>
          <w:rFonts w:ascii="Times New Roman" w:hAnsi="Times New Roman"/>
          <w:sz w:val="24"/>
        </w:rPr>
        <w:br/>
        <w:t>„ Ta podatek se izrazi z maso, če je večja od 1 miligrama, bodisi v obliki besed ‚vsebuje najmanj [X miligramov] plemenitih kovin‘ ali z navedbo podrobnosti o vsaki prisotni plemeniti kovini, izraženo kot najmanjša masa v isti enoti v obliki ‚vsebuje najmanj [X miligramov] zlata, srebra, platine, paladija‘.</w:t>
      </w:r>
      <w:r>
        <w:rPr>
          <w:rFonts w:ascii="Times New Roman" w:hAnsi="Times New Roman"/>
          <w:sz w:val="24"/>
        </w:rPr>
        <w:br/>
        <w:t>„ VIII. - Informacije za potrošnike o prisotnosti redkih zemelj (lantanoidov), ob upoštevanju vplivov na okolje njihovih pogojev pridobivanja, vključujejo naslednje: skandij, itrij, lantan, cerij, prazeodim, neodim, prometij, samarij, evropij, gadolinij, terbij, disprozij, holmij, erbij, tulij, iterbij, lutecij.</w:t>
      </w:r>
      <w:r>
        <w:rPr>
          <w:rFonts w:ascii="Times New Roman" w:hAnsi="Times New Roman"/>
          <w:sz w:val="24"/>
        </w:rPr>
        <w:br/>
        <w:t>„ Informacije v zvezi z redkimi zemljami (lantanoidi) so na voljo za kategorije proizvodov iz odstavkov 5 in 15 člena L. 541-10-1.</w:t>
      </w:r>
      <w:r>
        <w:rPr>
          <w:rFonts w:ascii="Times New Roman" w:hAnsi="Times New Roman"/>
          <w:sz w:val="24"/>
        </w:rPr>
        <w:br/>
        <w:t>„ Ta podatek se izrazi z maso, če je večja od 1 miligrama, bodisi v obliki besed ‚vsebuje najmanj [X miligramov] redke zemlje (lantanoida)‘ bodisi z navedbo podrobnosti vsake redke zemlje (lantanoida), izražene kot najmanjša masa v isti enoti, v obliki ‚vsebuje najmanj [X miligramov] skandija, itrija, lantana, cerij, praseodimija, neodima, prometija, samarija, europija, gadolinija, terbija, disprozija, holmija, erbija, tulija, iterbija, lutecija‘.</w:t>
      </w:r>
      <w:r>
        <w:rPr>
          <w:rFonts w:ascii="Times New Roman" w:hAnsi="Times New Roman"/>
          <w:sz w:val="24"/>
        </w:rPr>
        <w:br/>
        <w:t>„ IX.- Informacije za potrošnike v zvezi s prisotnostjo nevarne snovi veljajo, če je le-ta prisotna v koncentraciji, večji od 0,1 masnega odstotka v snovi, zmesi ali proizvodu, v smislu točk 1, 2 in 3 člena 3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 razen zdravil.</w:t>
      </w:r>
      <w:r>
        <w:rPr>
          <w:rFonts w:ascii="Times New Roman" w:hAnsi="Times New Roman"/>
          <w:sz w:val="24"/>
        </w:rPr>
        <w:br/>
        <w:t>„ V prejšnjem odstavku ‚nevarna snov‘ pomeni vsako snov, opredeljeno z uredbo, sprejeto po mnenju Nacionalne agencije za varnost hrane, okolja in zdravja pri delu iz zadnjega odstavka člena L. 541-9-1 o identifikaciji nevarnih snovi v odpadnih proizvodih.</w:t>
      </w:r>
      <w:r>
        <w:rPr>
          <w:rFonts w:ascii="Times New Roman" w:hAnsi="Times New Roman"/>
          <w:sz w:val="24"/>
        </w:rPr>
        <w:br/>
        <w:t>„ Te informacije se izrazijo z besedami ‚vsebuje nevarno snov‘ ali, kadar je prisotna nevarna snov vključena na seznam, omenjen v členu 59(1) Uredbe (ES) št. 1907/2006 z dne 18. decembra 2006, ki je citiran zgoraj in objavljen v skladu s členom 59(10), v obliki izjave ‚vsebuje snov, ki vzbuja veliko skrb‘. Informacije se dopolnijo z imenom vsake prisotne nevarne snovi.</w:t>
      </w:r>
      <w:r>
        <w:rPr>
          <w:rFonts w:ascii="Times New Roman" w:hAnsi="Times New Roman"/>
          <w:sz w:val="24"/>
        </w:rPr>
        <w:br/>
        <w:t xml:space="preserve">„ Vendar ta način zagotavljanja informacij ne velja za snovi, navedene v odstavkih 1 in 2 </w:t>
      </w:r>
      <w:r>
        <w:rPr>
          <w:rFonts w:ascii="Times New Roman" w:hAnsi="Times New Roman"/>
          <w:sz w:val="24"/>
        </w:rPr>
        <w:lastRenderedPageBreak/>
        <w:t>člena R. 5232-19 Zakonika o javnem zdravju, za katere veljajo metode obveščanja, navedene v členu R. 5232-20 istega zakonika.</w:t>
      </w:r>
      <w:r>
        <w:rPr>
          <w:rFonts w:ascii="Times New Roman" w:hAnsi="Times New Roman"/>
          <w:sz w:val="24"/>
        </w:rPr>
        <w:br/>
        <w:t>„ Informacije se dajo na voljo najpozneje 6 mesecev potem, ko je snov opredeljena kot nevarna snov.</w:t>
      </w:r>
      <w:r>
        <w:rPr>
          <w:rFonts w:ascii="Times New Roman" w:hAnsi="Times New Roman"/>
          <w:sz w:val="24"/>
        </w:rPr>
        <w:br/>
        <w:t>„ X.- Informacije za potrošnike o sledljivosti za proizvode, navedene v odstavku 11 člena L. 541-10-1, pomenijo geografsko označbo države, v kateri se v glavnem izvaja vsaka od naslednjih dejavnosti, če obstajajo:</w:t>
      </w:r>
      <w:r>
        <w:rPr>
          <w:rFonts w:ascii="Times New Roman" w:hAnsi="Times New Roman"/>
          <w:sz w:val="24"/>
        </w:rPr>
        <w:br/>
        <w:t>(1) tkanje;</w:t>
      </w:r>
      <w:r>
        <w:rPr>
          <w:rFonts w:ascii="Times New Roman" w:hAnsi="Times New Roman"/>
          <w:sz w:val="24"/>
        </w:rPr>
        <w:br/>
        <w:t>(2) barvanje in tiskanje;</w:t>
      </w:r>
      <w:r>
        <w:rPr>
          <w:rFonts w:ascii="Times New Roman" w:hAnsi="Times New Roman"/>
          <w:sz w:val="24"/>
        </w:rPr>
        <w:br/>
        <w:t>(3) krojenje.</w:t>
      </w:r>
      <w:r>
        <w:rPr>
          <w:rFonts w:ascii="Times New Roman" w:hAnsi="Times New Roman"/>
          <w:sz w:val="24"/>
        </w:rPr>
        <w:br/>
        <w:t>„ Za obutev, vključeno v odstavek 11 člena L. 541-10-1, so ti postopki naslednji:</w:t>
      </w:r>
      <w:r>
        <w:rPr>
          <w:rFonts w:ascii="Times New Roman" w:hAnsi="Times New Roman"/>
          <w:sz w:val="24"/>
        </w:rPr>
        <w:br/>
        <w:t>(1) šivanje;</w:t>
      </w:r>
      <w:r>
        <w:rPr>
          <w:rFonts w:ascii="Times New Roman" w:hAnsi="Times New Roman"/>
          <w:sz w:val="24"/>
        </w:rPr>
        <w:br/>
        <w:t>(2) montaža;</w:t>
      </w:r>
      <w:r>
        <w:rPr>
          <w:rFonts w:ascii="Times New Roman" w:hAnsi="Times New Roman"/>
          <w:sz w:val="24"/>
        </w:rPr>
        <w:br/>
        <w:t>(3) končna obdelava.</w:t>
      </w:r>
      <w:r>
        <w:rPr>
          <w:rFonts w:ascii="Times New Roman" w:hAnsi="Times New Roman"/>
          <w:sz w:val="24"/>
        </w:rPr>
        <w:br/>
        <w:t>„ Te informacije se za vsako fazo izrazijo v obliki sklica na državo, v kateri so bile opravljene.</w:t>
      </w:r>
      <w:r>
        <w:rPr>
          <w:rFonts w:ascii="Times New Roman" w:hAnsi="Times New Roman"/>
          <w:sz w:val="24"/>
        </w:rPr>
        <w:br/>
        <w:t>„ XI. - Informacije za potrošnike v zvezi s prisotnostjo plastičnih mikrovlaken v proizvodih, navedenih v odstavku 11 člena L. 541-10-1, se razumejo kot sorazmerna masa sintetičnih vlaken v proizvodu. Te informacije so na voljo, če delež sintetičnih vlaken presega 50 %.</w:t>
      </w:r>
      <w:r>
        <w:rPr>
          <w:rFonts w:ascii="Times New Roman" w:hAnsi="Times New Roman"/>
          <w:sz w:val="24"/>
        </w:rPr>
        <w:br/>
        <w:t>„ Izrazijo se z besedami „vnos plastičnih mikrovlaken v okolje med pranjem“.</w:t>
      </w:r>
    </w:p>
    <w:p w14:paraId="112FBB21"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Člen R. 541-222. - Proizvajalec, uvoznik ali druga stranka, ki daje proizvode iz člena R. 541-221 na trg, da na voljo informacije o okoljskih lastnostih in značilnostih teh proizvodov ali kategorij proizvodov ter informacije o premijah in kaznih iz člena L. 541-10-3, ki jih proizvajalec plača na podlagi meril okoljske učinkovitosti. To se da na voljo v brezpapirnem formatu, ki je v času nakupa brezplačno dostopen in se lahko ponovno uporabi na način, ki omogoča združevanje. V ta namen proizvajalec ali uvoznik za vsak proizvod iz člena R. 541-221 da na voljo informacije, ki so na voljo na posebnem spletnem mestu ali spletni strani, ki vsebuje list z naslovom ‚list proizvoda, ki se nanaša na lastnosti in okoljske značilnosti‘, da se omogočijo neposredne raziskave in poizvedbe na internetu ter pridobivanje podatkov za morebitno avtomatizirano obdelavo predstavljenih informacij.</w:t>
      </w:r>
      <w:r>
        <w:rPr>
          <w:rFonts w:ascii="Times New Roman" w:hAnsi="Times New Roman"/>
          <w:sz w:val="24"/>
        </w:rPr>
        <w:br/>
        <w:t>„ Vendar, v primeru snovi iz oddelka IX člena R. 541-221 se zagotavljanje takšnih informacij lahko opravi z aplikacijo, ki jo z odredbo določi minister za okolje. V primeru, da se zagotavljanje informacij opravi z aplikacijo, če je treba vzpostaviti namensko spletno mesto ali spletno stran za vsaj eno drugo kakovostno ali okoljsko značilnost, mora to spletno mesto ali ta stran omeniti, da so informacije o nevarnih snoveh pripravljene prek aplikacije, in vključevati neposredno internetno povezavo do nje.</w:t>
      </w:r>
      <w:r>
        <w:rPr>
          <w:rFonts w:ascii="Times New Roman" w:hAnsi="Times New Roman"/>
          <w:sz w:val="24"/>
        </w:rPr>
        <w:br/>
        <w:t>Z uredbo ministra, pristojnega za okolje, se po potrebi določijo tehnične značilnosti in načini predstavitve spletnih mest oziroma spletnih strani, ki so posvečene okoljskim lastnostim in značilnostim proizvodov iz člena R. 541-21.</w:t>
      </w:r>
      <w:r>
        <w:rPr>
          <w:rFonts w:ascii="Times New Roman" w:hAnsi="Times New Roman"/>
          <w:sz w:val="24"/>
        </w:rPr>
        <w:br/>
        <w:t>„ Obveznost zagotavljanja informacij iz člena R. 541-221 velja še 2 leti po tem, ko je bila na trg dana zadnja enota zadevnega proizvoda.</w:t>
      </w:r>
      <w:r>
        <w:rPr>
          <w:rFonts w:ascii="Times New Roman" w:hAnsi="Times New Roman"/>
          <w:sz w:val="24"/>
        </w:rPr>
        <w:br/>
        <w:t>„ Vsako prostovoljno posredovanje informacij v zvezi z okoljskimi lastnostmi in značilnostmi na snovnem mediju mora biti v skladu z določbami člena R. 541-221.</w:t>
      </w:r>
      <w:r>
        <w:rPr>
          <w:rFonts w:ascii="Times New Roman" w:hAnsi="Times New Roman"/>
          <w:sz w:val="24"/>
        </w:rPr>
        <w:br/>
        <w:t>„ Ureditev obveščanja iz tega člena se ne uporablja za okoljske lastnosti in značilnosti, navedene v oddelkih I in IV člena R. 541-221.</w:t>
      </w:r>
    </w:p>
    <w:p w14:paraId="6F2AAA6A"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Člen R. 541-223. - Prepovedano je, da se na nov proizvod ali embalažo namenjeno potrošniku vključijo besede ‚biorazgradljivo‘, ‚okolju prijazno‘ ali katera koli druga enakovredna okoljska trditev.“</w:t>
      </w:r>
    </w:p>
    <w:p w14:paraId="52D8A502"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5C3F2B58"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 prvem odstavku člena R. 5232-20 Zakonika o javnem zdravju se besedilo „na posebni spletni strani“ nadomesti z besedilom „na posebnem spletnem mestu ali spletni strani“, besedilo „in vključno z vmesnikom za aplikacijsko programiranje“ pa se črta.</w:t>
      </w:r>
    </w:p>
    <w:p w14:paraId="7E6EC534"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7A904DDA"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 Členi R. 541-220 do R. 541-222 Okoljskega zakonika, kakor je bil spremenjen s členom 1 te uredbe, se uporabljajo:</w:t>
      </w:r>
      <w:r>
        <w:rPr>
          <w:rFonts w:ascii="Times New Roman" w:hAnsi="Times New Roman"/>
          <w:sz w:val="24"/>
        </w:rPr>
        <w:br/>
        <w:t>(1) od 1. januarja 2023 za proizvajalce, uvoznike in katere koli druge subjekte, ki za proizvode iz člena R. 541-221, ki jih dajejo na nacionalni trg, izjavijo, da njihov letni promet presega 50 milijonov EUR in so letno odgovorni za dajanje na nacionalni trg vsaj 25 000 enot navedenih proizvodov. Vendar se ne uporabljajo za proizvode, za katere je bila zadnja enota dana na trg med 1. januarjem in 31. marcem 2023;</w:t>
      </w:r>
      <w:r>
        <w:rPr>
          <w:rFonts w:ascii="Times New Roman" w:hAnsi="Times New Roman"/>
          <w:sz w:val="24"/>
        </w:rPr>
        <w:br/>
        <w:t>(2) od 1. januarja 2024 za proizvajalce, uvoznike in vse druge udeležence, ki za proizvode iz člena R. 541-221, ki jih dajejo na nacionalni trg, izjavijo, da njihov letni promet presega 20 milijonov EUR in so letno odgovorni za dajanje na nacionalni trg vsaj 10 000 enot navedenih proizvodov;</w:t>
      </w:r>
      <w:r>
        <w:rPr>
          <w:rFonts w:ascii="Times New Roman" w:hAnsi="Times New Roman"/>
          <w:sz w:val="24"/>
        </w:rPr>
        <w:br/>
        <w:t>(3) od 1. januarja 2025 za proizvajalce, uvoznike in vse druge udeležence, ki za proizvode iz člena R. 541-221, ki jih dajejo na nacionalni trg, izjavijo, da njihov letni promet presega 10 milijonov EUR in so letno odgovorni za dajanje na nacionalni trg vsaj 10 000 enot navedenih proizvodov.</w:t>
      </w:r>
      <w:r>
        <w:rPr>
          <w:rFonts w:ascii="Times New Roman" w:hAnsi="Times New Roman"/>
          <w:sz w:val="24"/>
        </w:rPr>
        <w:br/>
        <w:t>II. - Brez poseganja v določbe oddelka I se členi R. 541-220 do R. 541-222 Okoljskega zakonika, kakor je bil spremenjen s členom 1 te uredbe, uporabljajo za proizvode, navedene v odstavkih 4 in 12 do 15 člena L. 541-10-1 Okoljskega zakonika, od 1. januarja 2024.</w:t>
      </w:r>
      <w:r>
        <w:rPr>
          <w:rFonts w:ascii="Times New Roman" w:hAnsi="Times New Roman"/>
          <w:sz w:val="24"/>
        </w:rPr>
        <w:br/>
        <w:t>III. - Člen R. 541-223 Okoljskega zakonika v besedilu, ki izhaja iz člena 1 te uredbe, začne veljati dan po objavi te uredbe. Za proizvode ali embalažo, za katere se uporablja, velja obdobje porabe zalog do 1. januarja 2023, če so bili proizvedeni ali uvoženi pred datumom objave te uredbe.</w:t>
      </w:r>
    </w:p>
    <w:p w14:paraId="0D07AF0A" w14:textId="77777777"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4</w:t>
      </w:r>
    </w:p>
    <w:p w14:paraId="7AD2DC6F" w14:textId="77777777"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Ministrica za ekološki prehod ter minister za gospodarstvo, finance in okrevanje sta vsak v skladu s svojimi pristojnostmi odgovorna za izvajanje te uredbe, ki bo objavljena v Uradnem listu Francoske republike.</w:t>
      </w:r>
    </w:p>
    <w:p w14:paraId="065F8B4F"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Podpisano dne 29. aprila 2022.</w:t>
      </w:r>
    </w:p>
    <w:p w14:paraId="1A700847"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Jean Castex</w:t>
      </w:r>
      <w:r>
        <w:rPr>
          <w:rFonts w:ascii="Times New Roman" w:hAnsi="Times New Roman"/>
          <w:sz w:val="24"/>
        </w:rPr>
        <w:br/>
        <w:t>Predsednik vlade:</w:t>
      </w:r>
    </w:p>
    <w:p w14:paraId="56FA5692"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za ekološki prehod,</w:t>
      </w:r>
      <w:r>
        <w:rPr>
          <w:rFonts w:ascii="Times New Roman" w:hAnsi="Times New Roman"/>
          <w:sz w:val="24"/>
        </w:rPr>
        <w:br/>
        <w:t>Barbara Pompili</w:t>
      </w:r>
    </w:p>
    <w:p w14:paraId="5CD80384" w14:textId="77777777"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gospodarstvo, finance in okrevanje</w:t>
      </w:r>
      <w:r>
        <w:rPr>
          <w:rFonts w:ascii="Times New Roman" w:hAnsi="Times New Roman"/>
          <w:sz w:val="24"/>
        </w:rPr>
        <w:br/>
        <w:t>Bruno Le Maire</w:t>
      </w:r>
    </w:p>
    <w:p w14:paraId="660BCF0B" w14:textId="77777777" w:rsidR="004D07E1" w:rsidRDefault="004D07E1"/>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25"/>
    <w:rsid w:val="00090B2D"/>
    <w:rsid w:val="004D07E1"/>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7BF0"/>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16038</Characters>
  <Application>Microsoft Office Word</Application>
  <DocSecurity>0</DocSecurity>
  <Lines>291</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2022-08-12T13:45:00Z</dcterms:created>
  <dcterms:modified xsi:type="dcterms:W3CDTF">2022-08-12T13:45:00Z</dcterms:modified>
</cp:coreProperties>
</file>