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BB9" w:rsidRPr="00844FAA" w:rsidRDefault="00A21DB1" w:rsidP="00F41BB9">
      <w:pPr>
        <w:autoSpaceDE w:val="0"/>
        <w:autoSpaceDN w:val="0"/>
        <w:adjustRightInd w:val="0"/>
        <w:spacing w:after="0" w:line="240" w:lineRule="auto"/>
        <w:jc w:val="both"/>
        <w:rPr>
          <w:rFonts w:ascii="Courier New" w:hAnsi="Courier New" w:cs="Courier New"/>
          <w:sz w:val="24"/>
          <w:szCs w:val="24"/>
        </w:rPr>
      </w:pPr>
      <w:r w:rsidRPr="00844FAA">
        <w:rPr>
          <w:rFonts w:ascii="Courier New" w:hAnsi="Courier New" w:cs="Courier New"/>
          <w:sz w:val="20"/>
          <w:szCs w:val="20"/>
        </w:rPr>
        <w:t xml:space="preserve">1. </w:t>
      </w:r>
      <w:r w:rsidR="00844FAA">
        <w:rPr>
          <w:rFonts w:ascii="Courier New" w:hAnsi="Courier New" w:cs="Courier New"/>
          <w:sz w:val="20"/>
          <w:szCs w:val="20"/>
        </w:rPr>
        <w:t>------IND- 2019 0551 HU</w:t>
      </w:r>
      <w:r w:rsidRPr="00844FAA">
        <w:rPr>
          <w:rFonts w:ascii="Courier New" w:hAnsi="Courier New" w:cs="Courier New"/>
          <w:sz w:val="20"/>
          <w:szCs w:val="20"/>
        </w:rPr>
        <w:t>- RO- ------ 20201130 --- --- FINAL</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bCs/>
          <w:sz w:val="28"/>
          <w:szCs w:val="28"/>
        </w:rPr>
        <w:t>Decret al ministrului agriculturii nr. 8/2020 din 25 martie 2020</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bCs/>
          <w:sz w:val="28"/>
          <w:szCs w:val="28"/>
        </w:rPr>
        <w:t>de modificare a Decretului nr. 152/2009 al ministrului agriculturii și dezvoltării rurale din 12 noiembrie 2009 privind cerințele obligatorii din Codex Alimentarius Hungaricus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În temeiul autorizației acordate conform articolului 76 alineatul (2) punctul 5 din Legea XLVI din 2008 privind lanțul alimentar și controlul oficial al acestuia și acționând în sfera atribuțiilor ce îmi revin conform articolului 79 alineatul (3) din Decretul guvernamental nr. 94/2018 din 22 mai 2018 privind atribuțiile și competențele membrilor guvernului, prin prezentul decid următoarele: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Articolul 1 </w:t>
      </w:r>
      <w:r>
        <w:rPr>
          <w:rFonts w:ascii="Times New Roman" w:hAnsi="Times New Roman"/>
          <w:sz w:val="24"/>
          <w:szCs w:val="24"/>
        </w:rPr>
        <w:t xml:space="preserve">Următorul punct </w:t>
      </w:r>
      <w:r>
        <w:rPr>
          <w:rFonts w:ascii="Times New Roman" w:hAnsi="Times New Roman"/>
          <w:i/>
          <w:iCs/>
          <w:sz w:val="24"/>
          <w:szCs w:val="24"/>
        </w:rPr>
        <w:t>(e)</w:t>
      </w:r>
      <w:r>
        <w:rPr>
          <w:rFonts w:ascii="Times New Roman" w:hAnsi="Times New Roman"/>
          <w:sz w:val="24"/>
          <w:szCs w:val="24"/>
        </w:rPr>
        <w:t xml:space="preserve"> se adaugă la articolul 1 alineatul (3) din Decretul nr. 152/2009 al Ministerului Agriculturii şi Dezvoltării Rurale din 12 noiembrie 2009 privind cerinţele obligatorii din Codex Alimentarius Hungaricus (denumit în continuare: „decretul”):</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iCs/>
          <w:sz w:val="24"/>
          <w:szCs w:val="24"/>
        </w:rPr>
        <w:t>[Cerințele obligatorii din capitolul I din Codex Alimentarius Hungaricus care cuprind descrieri ale produselor naționale sunt prevăzute în următoarea anexă la prezentul decret:]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e)</w:t>
      </w:r>
      <w:r>
        <w:rPr>
          <w:rFonts w:ascii="Times New Roman" w:hAnsi="Times New Roman"/>
          <w:sz w:val="24"/>
          <w:szCs w:val="24"/>
        </w:rPr>
        <w:t xml:space="preserve"> Anexa 41 cu privire la ardeiul măcinat afumat.’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Articolul 2 </w:t>
      </w:r>
      <w:r>
        <w:rPr>
          <w:rFonts w:ascii="Times New Roman" w:hAnsi="Times New Roman"/>
          <w:sz w:val="24"/>
          <w:szCs w:val="24"/>
        </w:rPr>
        <w:t>La articolul 2 din decret se adaugă alineatul (16) următor:</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„(16) Produsele neconforme cu prevederile anexei 41 stabilite de Decretul nr. 8/2020 al ministerului agriculturii din 25 martie 2020de modificare a Decretului nr. 152/2009 al ministrului agriculturii și dezvoltării rurale din 12 noiembrie 2009 privind cerințele obligatorii din Codex Alimentarius Hungaricus (denumit în continuare: „Decretul 6 modificat”) pot fi produse timp de doi ani de la intrarea în vigoare a Decretului 6 modificat și poate fi distribuit până la data lor de durabilitate minimă.”</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Articolul 3 </w:t>
      </w:r>
      <w:r>
        <w:rPr>
          <w:rFonts w:ascii="Times New Roman" w:hAnsi="Times New Roman"/>
          <w:sz w:val="24"/>
          <w:szCs w:val="24"/>
        </w:rPr>
        <w:t>La decret, se adaugă articolul 6 următor:</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„Articolul 6 Cerința privind notificarea prealabilă a proiectelor de anexă 41 la prezentul decret, astfel cum se prevede la articolele 5-7 din Directiva (UE) 2015/1535 a Parlamentului European și a Consiliului din 9 septembrie 2015 referitoare la procedura de furnizare de informații în domeniul reglementărilor tehnice și al normelor privind serviciile societății informaționale, a fost respectată.”</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Articolul 4 </w:t>
      </w:r>
      <w:r>
        <w:rPr>
          <w:rFonts w:ascii="Times New Roman" w:hAnsi="Times New Roman"/>
          <w:sz w:val="24"/>
          <w:szCs w:val="24"/>
        </w:rPr>
        <w:t>Anexa 41 conform descrierii din anexa 1 este adăugată la decret.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Articolul 5 </w:t>
      </w:r>
      <w:r>
        <w:rPr>
          <w:rFonts w:ascii="Times New Roman" w:hAnsi="Times New Roman"/>
          <w:sz w:val="24"/>
          <w:szCs w:val="24"/>
        </w:rPr>
        <w:t>Prezentul decret intră în vigoare în a treia zi de la data publicării sale.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szCs w:val="24"/>
        </w:rPr>
        <w:t xml:space="preserve">Articolul 6 </w:t>
      </w:r>
      <w:r>
        <w:rPr>
          <w:rFonts w:ascii="Times New Roman" w:hAnsi="Times New Roman"/>
          <w:sz w:val="24"/>
          <w:szCs w:val="24"/>
        </w:rPr>
        <w:t>Cerința privind notificarea prealabilă a prezentului proiect de decret, astfel cum se prevede la articolele 5–7 din Directiva (UE) 2015/1335 a Parlamentului European și a Consiliului din 9 septembrie 2015 referitoare la procedura de furnizare de informații în domeniul reglementărilor tehnice și al normelor privind serviciile societății informaționale, a fost respectată.”</w:t>
      </w:r>
    </w:p>
    <w:p w:rsidR="00F41BB9" w:rsidRPr="00AF44E5" w:rsidRDefault="00F41BB9" w:rsidP="00AF44E5">
      <w:pPr>
        <w:keepNext/>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i/>
          <w:iCs/>
          <w:sz w:val="28"/>
          <w:szCs w:val="28"/>
          <w:u w:val="single"/>
        </w:rPr>
        <w:lastRenderedPageBreak/>
        <w:t>Anexa 1 la Decretul nr. 8/2020 al ministrului agriculturii din 25 martie 2020</w:t>
      </w:r>
    </w:p>
    <w:p w:rsidR="00F41BB9" w:rsidRPr="00AF44E5" w:rsidRDefault="00F41BB9" w:rsidP="00AF44E5">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„Anexa 41 la Decretul nr. 152/2009 al ministrului agriculturii și dezvoltării rurale din 12 noiembrie 2009</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bCs/>
          <w:i/>
          <w:iCs/>
          <w:sz w:val="24"/>
          <w:szCs w:val="24"/>
        </w:rPr>
        <w:t>Regulamentul nr. 1-3/18-1 din Codex Alimentarius Hungaricus privind ardeiul măcinat afumat</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PARTEA A</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i/>
          <w:iCs/>
          <w:sz w:val="24"/>
          <w:szCs w:val="24"/>
        </w:rPr>
        <w:t>DISPOZIȚII GENERALE</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bCs/>
          <w:sz w:val="24"/>
          <w:szCs w:val="24"/>
        </w:rPr>
        <w:t>I.</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1. Conform articolului 66 alineatul (1) din Legea XLVI din 2008 privind lanțul alimentar și controlul oficial al acestuia, prezentul regulament definește cerințele produselor obținute prin afumarea sau măcinarea fructului copt, uscat al plantelor Capsicum annuum L. var. longum DC din familia de legume (Solanaceae).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2. Standardul nu se aplică ardeiului măcinat cu o denumire de origine protejată ca urmare a Regulamentului (UE) nr. 1151/2012 al Parlamentului și al Consiliului din 21 noiembrie 2012 privind schemele de calitate pentru produse de agricultură și alimentare.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3. Termenul „ardei măcinat afumat” definit în regulament se poate aplica numai dacă produsul îndeplineşte cerințele stabilite în regulament.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4. Caracteristicile de calitate stabilite în regulament au fost stabilite utilizând metodele de inspecție din partea C a prezentului regulament, așadar, la verificarea caracteristicilor de calitate, metodele definite în prezentul sau echivalente trebuie să se aplice.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5. Produsele care sunt fabricate sau introduse pe piață în orice stat membru al Uniunii Europene sau în Turcia sau produse într-un stat AELS care este parte semnatară la Acordul privind Spațiul Economic European, în conformitate cu legislația națională în vigoare, nu trebuie să îndeplinească reglementările tehnice prevăzute în prezentul regulament, cu condiția ca dispozițiile care reglementează protecția consumatorului să asigure același nivel de protecție precum cele definite în prezentul regulament.</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bCs/>
          <w:sz w:val="24"/>
          <w:szCs w:val="24"/>
        </w:rPr>
        <w:t>II.</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În sensul prezentului regulament: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1. </w:t>
      </w:r>
      <w:r>
        <w:rPr>
          <w:rFonts w:ascii="Times New Roman" w:hAnsi="Times New Roman"/>
          <w:i/>
          <w:iCs/>
          <w:sz w:val="24"/>
          <w:szCs w:val="24"/>
        </w:rPr>
        <w:t>Coaja:</w:t>
      </w:r>
      <w:r>
        <w:rPr>
          <w:rFonts w:ascii="Times New Roman" w:hAnsi="Times New Roman"/>
          <w:sz w:val="24"/>
          <w:szCs w:val="24"/>
        </w:rPr>
        <w:t xml:space="preserve"> pericarpul fructului de ardei care conține pigment.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2. </w:t>
      </w:r>
      <w:r>
        <w:rPr>
          <w:rFonts w:ascii="Times New Roman" w:hAnsi="Times New Roman"/>
          <w:i/>
          <w:iCs/>
          <w:sz w:val="24"/>
          <w:szCs w:val="24"/>
        </w:rPr>
        <w:t xml:space="preserve">Tulpină: </w:t>
      </w:r>
      <w:r>
        <w:rPr>
          <w:rFonts w:ascii="Times New Roman" w:hAnsi="Times New Roman"/>
          <w:sz w:val="24"/>
          <w:szCs w:val="24"/>
        </w:rPr>
        <w:t>o formațiune verde rezultată din fuziunea dintre pedicul și sepale.</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3. </w:t>
      </w:r>
      <w:r>
        <w:rPr>
          <w:rFonts w:ascii="Times New Roman" w:hAnsi="Times New Roman"/>
          <w:i/>
          <w:iCs/>
          <w:sz w:val="24"/>
          <w:szCs w:val="24"/>
        </w:rPr>
        <w:t>Afumare:</w:t>
      </w:r>
      <w:r>
        <w:rPr>
          <w:rFonts w:ascii="Times New Roman" w:hAnsi="Times New Roman"/>
          <w:sz w:val="24"/>
          <w:szCs w:val="24"/>
        </w:rPr>
        <w:t xml:space="preserve"> operațiune al cărui obiectiv este obținerea unui gust afumat și al unei culori a produsului, stabilind caracterul produsului prin utilizarea de fum, Afumarea este realizată prin arderea imperfectă, directă a lemnului de esență tare. Afumarea poate fi realizată în următoarele moduri:</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 xml:space="preserve">3.1. </w:t>
      </w:r>
      <w:r>
        <w:rPr>
          <w:rFonts w:ascii="Times New Roman" w:hAnsi="Times New Roman"/>
          <w:i/>
          <w:iCs/>
          <w:sz w:val="24"/>
          <w:szCs w:val="24"/>
        </w:rPr>
        <w:t xml:space="preserve">afumarea cu fum rece: </w:t>
      </w:r>
      <w:r>
        <w:rPr>
          <w:rFonts w:ascii="Times New Roman" w:hAnsi="Times New Roman"/>
          <w:sz w:val="24"/>
          <w:szCs w:val="24"/>
        </w:rPr>
        <w:t>afumarea efectuată la temperaturi care nu depășesc 40 °C; în funcție de durată, poate fi:</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3.1.1. afumare la rece tradițională de lungă durată, în cursul căreia produsul este afumat periodic cu fum diluat, ușor pentru o perioadă lungă,</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3.1.2. afumare la rece de scurtă durată, în cursul căreia produsul – pentru a obține înroșirea corespunzătoare – este afumat pe durata a câteva zile cu fum dens, rece;</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lastRenderedPageBreak/>
        <w:t xml:space="preserve">3.2. </w:t>
      </w:r>
      <w:r>
        <w:rPr>
          <w:rFonts w:ascii="Times New Roman" w:hAnsi="Times New Roman"/>
          <w:i/>
          <w:iCs/>
          <w:sz w:val="24"/>
          <w:szCs w:val="24"/>
        </w:rPr>
        <w:t xml:space="preserve">Afumarea la cald: </w:t>
      </w:r>
      <w:r>
        <w:rPr>
          <w:rFonts w:ascii="Times New Roman" w:hAnsi="Times New Roman"/>
          <w:sz w:val="24"/>
          <w:szCs w:val="24"/>
        </w:rPr>
        <w:t>afumarea se face la temperaturi cuprinse între 40 și 60 °C.</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4. </w:t>
      </w:r>
      <w:r>
        <w:rPr>
          <w:rFonts w:ascii="Times New Roman" w:hAnsi="Times New Roman"/>
          <w:i/>
          <w:iCs/>
          <w:sz w:val="24"/>
          <w:szCs w:val="24"/>
        </w:rPr>
        <w:t>Ardei:</w:t>
      </w:r>
      <w:r>
        <w:rPr>
          <w:rFonts w:ascii="Times New Roman" w:hAnsi="Times New Roman"/>
          <w:sz w:val="24"/>
          <w:szCs w:val="24"/>
        </w:rPr>
        <w:t xml:space="preserve"> Plante de Capsicum annuum L. var. longum DC, proaspete sau uscate, din familia de plante (Solanaceae).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5. </w:t>
      </w:r>
      <w:r>
        <w:rPr>
          <w:rFonts w:ascii="Times New Roman" w:hAnsi="Times New Roman"/>
          <w:i/>
          <w:iCs/>
          <w:sz w:val="24"/>
          <w:szCs w:val="24"/>
        </w:rPr>
        <w:t>Aroma:</w:t>
      </w:r>
      <w:r>
        <w:rPr>
          <w:rFonts w:ascii="Times New Roman" w:hAnsi="Times New Roman"/>
          <w:sz w:val="24"/>
          <w:szCs w:val="24"/>
        </w:rPr>
        <w:t xml:space="preserve"> aroma, armonia olfactivă și gradul de iuțeală al mostrei preparate detectate prin miros.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6. </w:t>
      </w:r>
      <w:r>
        <w:rPr>
          <w:rFonts w:ascii="Times New Roman" w:hAnsi="Times New Roman"/>
          <w:i/>
          <w:iCs/>
          <w:sz w:val="24"/>
          <w:szCs w:val="24"/>
        </w:rPr>
        <w:t>Gust:</w:t>
      </w:r>
      <w:r>
        <w:rPr>
          <w:rFonts w:ascii="Times New Roman" w:hAnsi="Times New Roman"/>
          <w:sz w:val="24"/>
          <w:szCs w:val="24"/>
        </w:rPr>
        <w:t xml:space="preserve"> aroma, gradul de iuțeală, armonia gusturilor și iuțeala care pot fi determinat prin gustarea mostrei.</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7. </w:t>
      </w:r>
      <w:r>
        <w:rPr>
          <w:rFonts w:ascii="Times New Roman" w:hAnsi="Times New Roman"/>
          <w:i/>
          <w:iCs/>
          <w:sz w:val="24"/>
          <w:szCs w:val="24"/>
        </w:rPr>
        <w:t xml:space="preserve">Aspectul exterior: </w:t>
      </w:r>
      <w:r>
        <w:rPr>
          <w:rFonts w:ascii="Times New Roman" w:hAnsi="Times New Roman"/>
          <w:sz w:val="24"/>
          <w:szCs w:val="24"/>
        </w:rPr>
        <w:t>suma proprietăților vizuale (estetice), în special finețea și uniformitatea de măcinare.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8. </w:t>
      </w:r>
      <w:r>
        <w:rPr>
          <w:rFonts w:ascii="Times New Roman" w:hAnsi="Times New Roman"/>
          <w:i/>
          <w:iCs/>
          <w:sz w:val="24"/>
          <w:szCs w:val="24"/>
        </w:rPr>
        <w:t>Mozaicitatea:</w:t>
      </w:r>
      <w:r>
        <w:rPr>
          <w:rFonts w:ascii="Times New Roman" w:hAnsi="Times New Roman"/>
          <w:sz w:val="24"/>
          <w:szCs w:val="24"/>
        </w:rPr>
        <w:t xml:space="preserve"> prezența bucăților de fruct foarte distinctive (coajă, sămânță, tulpină) pe suprafața uniformizată vizibilă ochiului liber.</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9. </w:t>
      </w:r>
      <w:r>
        <w:rPr>
          <w:rFonts w:ascii="Times New Roman" w:hAnsi="Times New Roman"/>
          <w:i/>
          <w:iCs/>
          <w:sz w:val="24"/>
          <w:szCs w:val="24"/>
        </w:rPr>
        <w:t>Conținutul total de capsaicină:</w:t>
      </w:r>
      <w:r>
        <w:rPr>
          <w:rFonts w:ascii="Times New Roman" w:hAnsi="Times New Roman"/>
          <w:sz w:val="24"/>
          <w:szCs w:val="24"/>
        </w:rPr>
        <w:t xml:space="preserve"> suma conținutului de capsaicină și dihidrocapsaicină.</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10. </w:t>
      </w:r>
      <w:r>
        <w:rPr>
          <w:rFonts w:ascii="Times New Roman" w:hAnsi="Times New Roman"/>
          <w:i/>
          <w:iCs/>
          <w:sz w:val="24"/>
          <w:szCs w:val="24"/>
        </w:rPr>
        <w:t>Culoarea:</w:t>
      </w:r>
      <w:r>
        <w:rPr>
          <w:rFonts w:ascii="Times New Roman" w:hAnsi="Times New Roman"/>
          <w:sz w:val="24"/>
          <w:szCs w:val="24"/>
        </w:rPr>
        <w:t xml:space="preserve"> percepția culorii mostrei preparate de evaluator, completată de evaluarea nuanței și claritatea în lumină naturală difuză sau lumină artificială asemănătoare.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 xml:space="preserve">11. </w:t>
      </w:r>
      <w:r>
        <w:rPr>
          <w:rFonts w:ascii="Times New Roman" w:hAnsi="Times New Roman"/>
          <w:i/>
          <w:iCs/>
          <w:sz w:val="24"/>
          <w:szCs w:val="24"/>
        </w:rPr>
        <w:t xml:space="preserve">Regiunea de creștere: </w:t>
      </w:r>
      <w:r>
        <w:rPr>
          <w:rFonts w:ascii="Times New Roman" w:hAnsi="Times New Roman"/>
          <w:sz w:val="24"/>
          <w:szCs w:val="24"/>
        </w:rPr>
        <w:t>țara de producție a ardeilor măcinați.</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PARTEA B</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ARDEI MĂCINAT AFUMAT</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1. Definiția produsului</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Ardeiul măcinat afumat este un produs obținut prin afumarea și măcinarea fructului copt, uscat de ardei.</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szCs w:val="24"/>
        </w:rPr>
        <w:t>2. Ingrediente care pot fi folosite</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2.1. Numai fructul de ardei poate fi utilizat pentru producția de ardei măcinat: coajă, ovar, vene, semințe aflate în fruct sau alte părți ale fructului în diverse grade, precum sepale și pedicule.</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2.2. Nu se pot adăuga aditivi alimentari, aromă de afumat sau alte ingrediente.</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szCs w:val="24"/>
        </w:rPr>
        <w:t>3. Caracteristici de calitate</w:t>
      </w:r>
    </w:p>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szCs w:val="24"/>
        </w:rPr>
        <w:t>3.1. Caracteristici fizice și chimice</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Caracteristici fizice și chimice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Cerințe privind calitatea</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Conținut de materie colorantă naturală, în unități de culoare ASTA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100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Conţinut de umiditate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11 % (m/m) maxim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Cenușă totală pe bază uscată</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8% (m/m) maxim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Cenușă insolubilă în acid pe bază uscată</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0,7% (m/m) maxim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6.</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Extract de eter nevolativ pe bază uscată</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16% (m/m) maxim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7.</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Finețe la măcinare, proporție trecută printr-o sită de ø 0,00 (mm)</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100%</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szCs w:val="24"/>
        </w:rPr>
        <w:t>3.2. Clasificarea ardeiului măcinat pe baza iuțelii</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Grad de iuțeală</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Conținut total de capsaicină (mg/kg)</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Non-iute (dulce)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sub 30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Ușor iute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30-200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lastRenderedPageBreak/>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Iute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201-500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Foarte iute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peste 500</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szCs w:val="24"/>
        </w:rPr>
        <w:t>3,3. Proprietăți organoleptice</w:t>
      </w:r>
    </w:p>
    <w:tbl>
      <w:tblPr>
        <w:tblW w:w="0" w:type="auto"/>
        <w:tblInd w:w="5" w:type="dxa"/>
        <w:tblLayout w:type="fixed"/>
        <w:tblCellMar>
          <w:left w:w="0" w:type="dxa"/>
          <w:right w:w="0" w:type="dxa"/>
        </w:tblCellMar>
        <w:tblLook w:val="0000" w:firstRow="0" w:lastRow="0" w:firstColumn="0" w:lastColumn="0" w:noHBand="0" w:noVBand="0"/>
      </w:tblPr>
      <w:tblGrid>
        <w:gridCol w:w="574"/>
        <w:gridCol w:w="1582"/>
        <w:gridCol w:w="1946"/>
        <w:gridCol w:w="1428"/>
        <w:gridCol w:w="2028"/>
        <w:gridCol w:w="2072"/>
      </w:tblGrid>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C</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D</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E</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1.</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Aspect exterior</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Culoare</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Aromă</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Gust</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2.</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Caracteristici acceptabile</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Omogen, măcinat fin sau mozaic nediscret, ușor în ceea ce privește culoarea.</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Roșu aprins, roșu închis, cărămiziu sau roșu sângeriu.</w:t>
            </w:r>
          </w:p>
        </w:tc>
        <w:tc>
          <w:tcPr>
            <w:tcW w:w="20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Caracteristic, clar, intens, picant cu o tentă de caramel.</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Ușor amar, ușor acid, cu cel puțin o ușoară aromă de afumat. Fără mirosuri străine.</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Caracteristic, aromat, clar, intens, armonios, ușor dulce cu o tentă de caramel.</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Ușor învechit, ușor amar, ușor acid. Are cel puțin un ușor gust de afumat. Fără niciun miros străin.</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Corespunde clar clasificării de iuțeală indicate pe ambalaj.</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3.</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Caracteristici inacceptabile</w:t>
            </w:r>
          </w:p>
        </w:tc>
        <w:tc>
          <w:tcPr>
            <w:tcW w:w="1946"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Măcinare neomogenă. Mozaicitate cu colorare discretă. Granule brute la măcinare, distincte, care nu se zdrobesc, sub formă de cocoloașe, porție fibroasă ridicată.</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Material străin vizibil ochiului liber.</w:t>
            </w:r>
          </w:p>
        </w:tc>
        <w:tc>
          <w:tcPr>
            <w:tcW w:w="14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Nuanță galbenă sau maro, sau roșie cu tentă de negru. Galben sau maro. Colorare neuniformă.</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Culoare stinsă sau maronie, arsă.</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Necaracteristic, foarte acid, ușor fermentat, aromă de afumat prea puternică sau complet nedetectabilă. Aromă învechită, amară, acră, mucegăită, mucedă, râncedă, de ars sau altă aromă străină produsului sau cu efect respingător.</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Necaracteristică, învechită, ierboasă, ușor acră, amară, râncedă, mucegăită, mucedă, de ars.</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Gustul de ars este prea puternic sau lipsește complet.</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 xml:space="preserve">Gust străin necaracteristic produsului. Nu îndeplinește clasificarea de iuțeală indicată pe ambalaj. </w:t>
            </w:r>
          </w:p>
        </w:tc>
      </w:tr>
    </w:tbl>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szCs w:val="24"/>
        </w:rPr>
        <w:t>4. Ambalare și depozitare</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4</w:t>
      </w:r>
      <w:r w:rsidR="00896A1E">
        <w:rPr>
          <w:rFonts w:ascii="Times New Roman" w:hAnsi="Times New Roman"/>
          <w:sz w:val="24"/>
          <w:szCs w:val="24"/>
        </w:rPr>
        <w:t>.</w:t>
      </w:r>
      <w:r>
        <w:rPr>
          <w:rFonts w:ascii="Times New Roman" w:hAnsi="Times New Roman"/>
          <w:sz w:val="24"/>
          <w:szCs w:val="24"/>
        </w:rPr>
        <w:t>1. Ardeiul măcinat afumat trebuie ambalat într-un ambalaj impermeabil și protejat împotriva luminii, care să nu absoarbă grăsimile și sigilat astfel încât sigiliul trebuie să fie vizibil rupt pentru ca autenticitatea să fie compromisă.</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4</w:t>
      </w:r>
      <w:r w:rsidR="00896A1E">
        <w:rPr>
          <w:rFonts w:ascii="Times New Roman" w:hAnsi="Times New Roman"/>
          <w:sz w:val="24"/>
          <w:szCs w:val="24"/>
        </w:rPr>
        <w:t>.</w:t>
      </w:r>
      <w:r>
        <w:rPr>
          <w:rFonts w:ascii="Times New Roman" w:hAnsi="Times New Roman"/>
          <w:sz w:val="24"/>
          <w:szCs w:val="24"/>
        </w:rPr>
        <w:t>2. Ardeiul măcinat afumat trebuie păstrat într-un spațiu uscat, rece, bine aerisit, departe de lumina soarelui, insecte și rozătoare.</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szCs w:val="24"/>
        </w:rPr>
        <w:t>5. Denumire</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5</w:t>
      </w:r>
      <w:r w:rsidR="00896A1E">
        <w:rPr>
          <w:rFonts w:ascii="Times New Roman" w:hAnsi="Times New Roman"/>
          <w:sz w:val="24"/>
          <w:szCs w:val="24"/>
        </w:rPr>
        <w:t>.</w:t>
      </w:r>
      <w:r>
        <w:rPr>
          <w:rFonts w:ascii="Times New Roman" w:hAnsi="Times New Roman"/>
          <w:sz w:val="24"/>
          <w:szCs w:val="24"/>
        </w:rPr>
        <w:t>1. Descriere</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5.1.1. Descrierea trebuie să conțină:</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5.1.1.1. termenul „ardei măcinat afumat” sau alt termen care transmite același înțeles consumatorului (de ex. ardei afumat măcinat);</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5.1.1.2. o referința la iuțeala produsului utilizând termenul „neiute” sau „dulce”, „ușor dulce”,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szCs w:val="24"/>
        </w:rPr>
        <w:t>„iute” sau „foarte iute”.</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5.1.2. Nu este permisă utilizarea unei unități geografice maghiare în descrierea numelui mărcii sau produsului dacă</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5.1.2.1. produsul nu a fost realizat exclusiv din ardei produși în Ungaria sau</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lastRenderedPageBreak/>
        <w:t>5.1.2.2. a fost amestecat în acesta ardei măcinat din afara Ungariei.</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5.2. Desemnarea iuțelii</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Pe lângă cerințele de la 5.1.1.2., ambalajul produsului trebuie să prezintă o pictogramă referitoare la iuțeala și conținutul de capsaicină în mg/kg.</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szCs w:val="24"/>
        </w:rPr>
        <w:t>5</w:t>
      </w:r>
      <w:r w:rsidR="00896A1E">
        <w:rPr>
          <w:rFonts w:ascii="Times New Roman" w:hAnsi="Times New Roman"/>
          <w:sz w:val="24"/>
          <w:szCs w:val="24"/>
        </w:rPr>
        <w:t>.</w:t>
      </w:r>
      <w:bookmarkStart w:id="0" w:name="_GoBack"/>
      <w:bookmarkEnd w:id="0"/>
      <w:r>
        <w:rPr>
          <w:rFonts w:ascii="Times New Roman" w:hAnsi="Times New Roman"/>
          <w:sz w:val="24"/>
          <w:szCs w:val="24"/>
        </w:rPr>
        <w:t>3. Desemnarea regiunii de creștere</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5.3.1. Ambalajul ardeiului măcinat afumat trebuie să indice regiunea de creștere,</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5.3.1.1. Dacă ardeiul (măcinat) provine din mai multe regiuni, regiunile trebuie specificate în ordine descrescătoare a cantității de ardei (măcinat), cu o indicație a cantității de ardei (măcinat) provenită din acele regiuni ca procent din masa totală, [de exemplu Ungaria (70%), Spania (20%), China (10%)].</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szCs w:val="24"/>
        </w:rPr>
        <w:t>5.3.1.2. Dacă ardeiul folosit pentru ardei măcinată provine dintr-o singură regiune, descrierea produsului se poate referi la țara în care au fost crescuți ardeii (de ex.ardei măcinat afumat, regiune de creștere: Spania;</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szCs w:val="24"/>
        </w:rPr>
        <w:t>5.3.2. Regiunea de creștere trebuie indicată în câmpul de vizibilitate principal cu o dimensiune a fontului care este cel puțin 50 % din cel mai mare font utilizat pe ambalaj și care nu poate fi mai mică decât dimensiunea fontului pentru proprietățile obligatorii astfel cum a fost definită la articolul 2 alineatul (2) punctul 3 din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PARTEA C</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szCs w:val="24"/>
        </w:rPr>
        <w:t>METODOLOGIE</w:t>
      </w:r>
    </w:p>
    <w:p w:rsidR="00F41BB9" w:rsidRPr="00AF44E5" w:rsidRDefault="00F41BB9" w:rsidP="00AF44E5">
      <w:pPr>
        <w:keepNext/>
        <w:autoSpaceDE w:val="0"/>
        <w:autoSpaceDN w:val="0"/>
        <w:adjustRightInd w:val="0"/>
        <w:spacing w:after="240" w:line="240" w:lineRule="auto"/>
        <w:ind w:firstLine="204"/>
        <w:jc w:val="both"/>
        <w:rPr>
          <w:rFonts w:ascii="Times New Roman" w:hAnsi="Times New Roman" w:cs="Times New Roman"/>
          <w:sz w:val="24"/>
          <w:szCs w:val="24"/>
        </w:rPr>
      </w:pPr>
      <w:r>
        <w:rPr>
          <w:rFonts w:ascii="Times New Roman" w:hAnsi="Times New Roman"/>
          <w:sz w:val="24"/>
          <w:szCs w:val="24"/>
        </w:rPr>
        <w:t>La verificarea caracteristicilor de calitate definite în Partea B, următoarele metode – sau metode echivalente – trebuie utilizate.</w:t>
      </w:r>
    </w:p>
    <w:tbl>
      <w:tblPr>
        <w:tblW w:w="0" w:type="auto"/>
        <w:tblInd w:w="5" w:type="dxa"/>
        <w:tblLayout w:type="fixed"/>
        <w:tblCellMar>
          <w:left w:w="0" w:type="dxa"/>
          <w:right w:w="0" w:type="dxa"/>
        </w:tblCellMar>
        <w:tblLook w:val="0000" w:firstRow="0" w:lastRow="0" w:firstColumn="0" w:lastColumn="0" w:noHBand="0" w:noVBand="0"/>
      </w:tblPr>
      <w:tblGrid>
        <w:gridCol w:w="658"/>
        <w:gridCol w:w="5762"/>
        <w:gridCol w:w="3214"/>
      </w:tblGrid>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B</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1.</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Caracteristici fizice și chimice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Numărul metodei de inspecție</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2.</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Conținut de materie colorantă naturală, în unități de culoare ASTA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EN ISO 7541</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3.</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„conţinut de umiditate”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 xml:space="preserve">MSZ EN ISO 7540 </w:t>
            </w:r>
            <w:r>
              <w:rPr>
                <w:rFonts w:ascii="Times New Roman" w:hAnsi="Times New Roman"/>
                <w:sz w:val="20"/>
                <w:szCs w:val="20"/>
              </w:rPr>
              <w:br/>
              <w:t>(Conform anexei)</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4.</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Cenușă totală pe bază uscată</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ISO 928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5.</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Cenușă insolubilă în acid pe bază uscată</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ISO 930</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6.</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Extract de eter nevolativ pe bază uscată</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ISO 1108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7.</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Finețe la măcinare, proporție trecută printr-o sită de ø 0,00 (mm)</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ISO 3588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8.</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Conținutul total de capsaicină</w:t>
            </w:r>
            <w:r>
              <w:rPr>
                <w:rFonts w:ascii="Times New Roman" w:hAnsi="Times New Roman"/>
                <w:sz w:val="20"/>
                <w:szCs w:val="20"/>
              </w:rPr>
              <w:br/>
              <w:t>(suma conținutului de capsaicină și dihidrocapsaicină)</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9681-4</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szCs w:val="20"/>
              </w:rPr>
              <w:t>9.</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Proprietăți organoleptice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szCs w:val="20"/>
              </w:rPr>
              <w:t>MSZ 9681-2</w:t>
            </w:r>
          </w:p>
        </w:tc>
      </w:tr>
      <w:tr w:rsidR="00F41BB9" w:rsidRPr="00AF44E5">
        <w:tc>
          <w:tcPr>
            <w:tcW w:w="9634" w:type="dxa"/>
            <w:gridSpan w:val="3"/>
            <w:tcBorders>
              <w:top w:val="single" w:sz="4" w:space="0" w:color="auto"/>
              <w:left w:val="nil"/>
              <w:bottom w:val="nil"/>
              <w:right w:val="nil"/>
            </w:tcBorders>
          </w:tcPr>
          <w:p w:rsidR="00F41BB9" w:rsidRPr="00AF44E5" w:rsidRDefault="00F41BB9" w:rsidP="00F41BB9">
            <w:pPr>
              <w:autoSpaceDE w:val="0"/>
              <w:autoSpaceDN w:val="0"/>
              <w:adjustRightInd w:val="0"/>
              <w:spacing w:after="0" w:line="240" w:lineRule="auto"/>
              <w:ind w:left="56" w:right="56"/>
              <w:jc w:val="right"/>
              <w:rPr>
                <w:rFonts w:ascii="Times New Roman" w:hAnsi="Times New Roman" w:cs="Times New Roman"/>
                <w:sz w:val="20"/>
                <w:szCs w:val="20"/>
              </w:rPr>
            </w:pPr>
            <w:r>
              <w:rPr>
                <w:rFonts w:ascii="Times New Roman" w:hAnsi="Times New Roman"/>
                <w:sz w:val="20"/>
                <w:szCs w:val="20"/>
              </w:rPr>
              <w:t xml:space="preserve"> ”</w:t>
            </w:r>
          </w:p>
        </w:tc>
      </w:tr>
    </w:tbl>
    <w:p w:rsidR="00A8487D" w:rsidRPr="00AF44E5" w:rsidRDefault="00A8487D" w:rsidP="00ED5194"/>
    <w:sectPr w:rsidR="00A8487D" w:rsidRPr="00AF44E5" w:rsidSect="009C445E">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87E" w:rsidRDefault="0094487E" w:rsidP="00A57A6B">
      <w:pPr>
        <w:spacing w:after="0" w:line="240" w:lineRule="auto"/>
      </w:pPr>
      <w:r>
        <w:separator/>
      </w:r>
    </w:p>
  </w:endnote>
  <w:endnote w:type="continuationSeparator" w:id="0">
    <w:p w:rsidR="0094487E" w:rsidRDefault="0094487E" w:rsidP="00A5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87E" w:rsidRDefault="0094487E" w:rsidP="00A57A6B">
      <w:pPr>
        <w:spacing w:after="0" w:line="240" w:lineRule="auto"/>
      </w:pPr>
      <w:r>
        <w:separator/>
      </w:r>
    </w:p>
  </w:footnote>
  <w:footnote w:type="continuationSeparator" w:id="0">
    <w:p w:rsidR="0094487E" w:rsidRDefault="0094487E" w:rsidP="00A57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B9"/>
    <w:rsid w:val="001060A5"/>
    <w:rsid w:val="0015196D"/>
    <w:rsid w:val="00327C84"/>
    <w:rsid w:val="0041205F"/>
    <w:rsid w:val="00813465"/>
    <w:rsid w:val="00844FAA"/>
    <w:rsid w:val="00896A1E"/>
    <w:rsid w:val="0094487E"/>
    <w:rsid w:val="00A21DB1"/>
    <w:rsid w:val="00A57A6B"/>
    <w:rsid w:val="00A8487D"/>
    <w:rsid w:val="00AF44E5"/>
    <w:rsid w:val="00BD2EF1"/>
    <w:rsid w:val="00ED5194"/>
    <w:rsid w:val="00F41BB9"/>
  </w:rsids>
  <m:mathPr>
    <m:mathFont m:val="Cambria Math"/>
    <m:brkBin m:val="before"/>
    <m:brkBinSub m:val="--"/>
    <m:smallFrac m:val="0"/>
    <m:dispDef/>
    <m:lMargin m:val="0"/>
    <m:rMargin m:val="0"/>
    <m:defJc m:val="centerGroup"/>
    <m:wrapIndent m:val="1440"/>
    <m:intLim m:val="subSup"/>
    <m:naryLim m:val="undOvr"/>
  </m:mathPr>
  <w:themeFontLang w:val="hu-H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B8E6E6-6BF4-4A47-9926-3070D1A0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kezds">
    <w:name w:val="Bekezdés"/>
    <w:uiPriority w:val="99"/>
    <w:rsid w:val="00F41BB9"/>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F41BB9"/>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F41BB9"/>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F41BB9"/>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F41BB9"/>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F41BB9"/>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F41BB9"/>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F41BB9"/>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F41BB9"/>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F41BB9"/>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F41BB9"/>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F41BB9"/>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F41BB9"/>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F41BB9"/>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F41BB9"/>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F41BB9"/>
    <w:pPr>
      <w:autoSpaceDE w:val="0"/>
      <w:autoSpaceDN w:val="0"/>
      <w:adjustRightInd w:val="0"/>
      <w:spacing w:after="0" w:line="240" w:lineRule="auto"/>
      <w:jc w:val="center"/>
    </w:pPr>
    <w:rPr>
      <w:rFonts w:ascii="Times New Roman" w:hAnsi="Times New Roman" w:cs="Times New Roman"/>
      <w:sz w:val="24"/>
      <w:szCs w:val="24"/>
    </w:rPr>
  </w:style>
  <w:style w:type="paragraph" w:styleId="Header">
    <w:name w:val="header"/>
    <w:basedOn w:val="Normal"/>
    <w:link w:val="HeaderChar"/>
    <w:uiPriority w:val="99"/>
    <w:unhideWhenUsed/>
    <w:rsid w:val="00A57A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7A6B"/>
  </w:style>
  <w:style w:type="paragraph" w:styleId="Footer">
    <w:name w:val="footer"/>
    <w:basedOn w:val="Normal"/>
    <w:link w:val="FooterChar"/>
    <w:uiPriority w:val="99"/>
    <w:unhideWhenUsed/>
    <w:rsid w:val="00A57A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403BA-A410-4814-B71E-3CDFF4259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CE08A-9501-42E5-8362-202DA9499D7B}">
  <ds:schemaRefs>
    <ds:schemaRef ds:uri="http://schemas.microsoft.com/sharepoint/v3/contenttype/forms"/>
  </ds:schemaRefs>
</ds:datastoreItem>
</file>

<file path=customXml/itemProps3.xml><?xml version="1.0" encoding="utf-8"?>
<ds:datastoreItem xmlns:ds="http://schemas.openxmlformats.org/officeDocument/2006/customXml" ds:itemID="{C54711B7-8959-41A6-9C69-25C1573405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1882</Words>
  <Characters>10732</Characters>
  <Application>Microsoft Office Word</Application>
  <DocSecurity>0</DocSecurity>
  <Lines>89</Lines>
  <Paragraphs>25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Fazekas Zsolt</dc:creator>
  <cp:lastModifiedBy>Ke, Tingting</cp:lastModifiedBy>
  <cp:revision>10</cp:revision>
  <dcterms:created xsi:type="dcterms:W3CDTF">2020-09-23T11:04:00Z</dcterms:created>
  <dcterms:modified xsi:type="dcterms:W3CDTF">2020-12-04T02:24:00Z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