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C4128" w14:textId="77777777" w:rsidR="0040649C" w:rsidRDefault="0040649C" w:rsidP="0040649C">
      <w:pPr>
        <w:autoSpaceDE w:val="0"/>
        <w:autoSpaceDN w:val="0"/>
        <w:adjustRightInd w:val="0"/>
        <w:spacing w:after="0" w:line="240" w:lineRule="auto"/>
        <w:jc w:val="center"/>
        <w:rPr>
          <w:b/>
          <w:bCs/>
          <w:sz w:val="44"/>
          <w:szCs w:val="44"/>
          <w:rFonts w:ascii="Times New Roman" w:hAnsi="Times New Roman" w:cs="Times New Roman"/>
        </w:rPr>
      </w:pPr>
      <w:r>
        <w:rPr>
          <w:b/>
          <w:sz w:val="44"/>
          <w:rFonts w:ascii="Times New Roman" w:hAnsi="Times New Roman"/>
        </w:rPr>
        <w:t xml:space="preserve">NÁVRH ZÁKONA</w:t>
      </w:r>
    </w:p>
    <w:p w14:paraId="2BDC59CC"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44"/>
          <w:szCs w:val="44"/>
        </w:rPr>
      </w:pPr>
    </w:p>
    <w:p w14:paraId="3F6DBEC7" w14:textId="2E4AB870" w:rsidR="00A57D62" w:rsidRDefault="0040649C" w:rsidP="0040649C">
      <w:pPr>
        <w:jc w:val="center"/>
        <w:rPr>
          <w:i/>
          <w:iCs/>
          <w:sz w:val="28"/>
          <w:szCs w:val="28"/>
          <w:rFonts w:ascii="Times New Roman" w:hAnsi="Times New Roman" w:cs="Times New Roman"/>
        </w:rPr>
      </w:pPr>
      <w:r>
        <w:rPr>
          <w:sz w:val="28"/>
          <w:i/>
          <w:rFonts w:ascii="Times New Roman" w:hAnsi="Times New Roman"/>
        </w:rPr>
        <w:t xml:space="preserve">o </w:t>
      </w:r>
      <w:r>
        <w:rPr>
          <w:sz w:val="28"/>
          <w:b/>
          <w:rFonts w:ascii="Times New Roman" w:hAnsi="Times New Roman"/>
        </w:rPr>
        <w:t xml:space="preserve">posílení</w:t>
      </w:r>
      <w:r>
        <w:rPr>
          <w:sz w:val="28"/>
          <w:i/>
          <w:rFonts w:ascii="Times New Roman" w:hAnsi="Times New Roman"/>
        </w:rPr>
        <w:t xml:space="preserve"> </w:t>
      </w:r>
      <w:r>
        <w:rPr>
          <w:sz w:val="28"/>
          <w:b/>
          <w:rFonts w:ascii="Times New Roman" w:hAnsi="Times New Roman"/>
        </w:rPr>
        <w:t xml:space="preserve">rodičovské kontroly </w:t>
      </w:r>
      <w:r>
        <w:rPr>
          <w:sz w:val="28"/>
          <w:i/>
          <w:rFonts w:ascii="Times New Roman" w:hAnsi="Times New Roman"/>
        </w:rPr>
        <w:t xml:space="preserve">nad </w:t>
      </w:r>
      <w:r>
        <w:rPr>
          <w:sz w:val="28"/>
          <w:b/>
          <w:rFonts w:ascii="Times New Roman" w:hAnsi="Times New Roman"/>
        </w:rPr>
        <w:t xml:space="preserve">internetovými </w:t>
      </w:r>
      <w:r>
        <w:rPr>
          <w:sz w:val="28"/>
          <w:b/>
          <w:rFonts w:ascii="Times New Roman" w:hAnsi="Times New Roman"/>
        </w:rPr>
        <w:t xml:space="preserve">zařízeními</w:t>
      </w:r>
      <w:r>
        <w:rPr>
          <w:sz w:val="28"/>
          <w:i/>
          <w:rFonts w:ascii="Times New Roman" w:hAnsi="Times New Roman"/>
        </w:rPr>
        <w:t xml:space="preserve">,</w:t>
      </w:r>
    </w:p>
    <w:p w14:paraId="703C9FB2" w14:textId="77777777" w:rsidR="0040649C" w:rsidRDefault="0040649C" w:rsidP="0040649C">
      <w:pPr>
        <w:jc w:val="both"/>
        <w:rPr>
          <w:rFonts w:ascii="Times New Roman" w:hAnsi="Times New Roman" w:cs="Times New Roman"/>
          <w:i/>
          <w:iCs/>
          <w:sz w:val="28"/>
          <w:szCs w:val="28"/>
        </w:rPr>
      </w:pPr>
    </w:p>
    <w:p w14:paraId="60C773D6" w14:textId="77777777" w:rsidR="0040649C" w:rsidRDefault="0040649C" w:rsidP="0040649C">
      <w:pPr>
        <w:jc w:val="both"/>
        <w:rPr>
          <w:rFonts w:ascii="Times New Roman" w:hAnsi="Times New Roman" w:cs="Times New Roman"/>
          <w:i/>
          <w:iCs/>
          <w:sz w:val="28"/>
          <w:szCs w:val="28"/>
        </w:rPr>
      </w:pPr>
    </w:p>
    <w:p w14:paraId="5EB3C277" w14:textId="77777777" w:rsidR="0040649C" w:rsidRDefault="0040649C" w:rsidP="0040649C">
      <w:pPr>
        <w:autoSpaceDE w:val="0"/>
        <w:autoSpaceDN w:val="0"/>
        <w:adjustRightInd w:val="0"/>
        <w:spacing w:after="0" w:line="240" w:lineRule="auto"/>
        <w:jc w:val="center"/>
        <w:rPr>
          <w:b/>
          <w:bCs/>
          <w:sz w:val="18"/>
          <w:szCs w:val="18"/>
          <w:rFonts w:ascii="Times New Roman" w:hAnsi="Times New Roman" w:cs="Times New Roman"/>
        </w:rPr>
      </w:pPr>
      <w:r>
        <w:rPr>
          <w:b/>
          <w:sz w:val="28"/>
          <w:rFonts w:ascii="Times New Roman" w:hAnsi="Times New Roman"/>
        </w:rPr>
        <w:t xml:space="preserve">Článek 1</w:t>
      </w:r>
    </w:p>
    <w:p w14:paraId="31383463" w14:textId="77777777" w:rsidR="0040649C" w:rsidRDefault="0040649C" w:rsidP="0040649C">
      <w:pPr>
        <w:autoSpaceDE w:val="0"/>
        <w:autoSpaceDN w:val="0"/>
        <w:adjustRightInd w:val="0"/>
        <w:spacing w:after="0" w:line="240" w:lineRule="auto"/>
        <w:jc w:val="center"/>
        <w:rPr>
          <w:rFonts w:ascii="Times New Roman" w:hAnsi="Times New Roman" w:cs="Times New Roman"/>
          <w:b/>
          <w:bCs/>
          <w:sz w:val="18"/>
          <w:szCs w:val="18"/>
        </w:rPr>
      </w:pPr>
    </w:p>
    <w:p w14:paraId="543E75AF"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 – V oddílu 5 kapitole II hlavě I knize II zákoníku poštovních služeb a elektronických komunikací se doplňuje nový článek L. 34–9-3, který zní:</w:t>
      </w:r>
    </w:p>
    <w:p w14:paraId="7B358B7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035679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w:t>
      </w:r>
      <w:r>
        <w:rPr>
          <w:sz w:val="28"/>
          <w:i/>
          <w:rFonts w:ascii="Times New Roman" w:hAnsi="Times New Roman"/>
        </w:rPr>
        <w:t xml:space="preserve">Článek L. 34–9-3</w:t>
      </w:r>
      <w:r>
        <w:rPr>
          <w:sz w:val="28"/>
          <w:rFonts w:ascii="Times New Roman" w:hAnsi="Times New Roman"/>
        </w:rPr>
        <w:t xml:space="preserve">.</w:t>
      </w:r>
      <w:r>
        <w:rPr>
          <w:sz w:val="28"/>
          <w:rFonts w:ascii="Times New Roman" w:hAnsi="Times New Roman"/>
        </w:rPr>
        <w:t xml:space="preserve"> </w:t>
      </w:r>
      <w:r>
        <w:rPr>
          <w:sz w:val="28"/>
          <w:rFonts w:ascii="Times New Roman" w:hAnsi="Times New Roman"/>
        </w:rPr>
        <w:t xml:space="preserve">— I. – Koncová zařízení určená pro využívání služeb veřejné komunikace on-line poskytující přístup ke službám a obsahu, které by mohly narušit tělesný, duševní nebo mravní vývoj nezletilých osob, musí být vybavena snadno dostupným a srozumitelným systémem, který uživatelům umožní omezit nebo kontrolovat přístup těchto osob k těmto službám a obsahu.</w:t>
      </w:r>
    </w:p>
    <w:p w14:paraId="2BD31D30"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D13896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Aktivace systému uvedeného v prvním pododstavci tohoto odstavce I se uživateli nabídne při prvním uvedení do provozu.</w:t>
      </w:r>
      <w:r>
        <w:rPr>
          <w:sz w:val="28"/>
          <w:rFonts w:ascii="Times New Roman" w:hAnsi="Times New Roman"/>
        </w:rPr>
        <w:t xml:space="preserve"> </w:t>
      </w:r>
      <w:r>
        <w:rPr>
          <w:sz w:val="28"/>
          <w:rFonts w:ascii="Times New Roman" w:hAnsi="Times New Roman"/>
        </w:rPr>
        <w:t xml:space="preserve">Osobní údaje nezletilých osob získané nebo generované během aktivace tohoto systému, nesmějí být použity pro komerční účely, jako je přímý marketing, profilování a behaviorálně zaměřená reklama, a to ani poté, co zúčastněné strany dosáhnou plnoletosti.</w:t>
      </w:r>
    </w:p>
    <w:p w14:paraId="518B6C3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C3697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Výrobci při uvádění svých koncových zařízení na trh zajistí, aby operační systémy instalované na těchto zařízeních zahrnovaly systém stanovený v prvním pododstavci.</w:t>
      </w:r>
      <w:r>
        <w:rPr>
          <w:sz w:val="28"/>
          <w:rFonts w:ascii="Times New Roman" w:hAnsi="Times New Roman"/>
        </w:rPr>
        <w:t xml:space="preserve"> </w:t>
      </w:r>
      <w:r>
        <w:rPr>
          <w:sz w:val="28"/>
          <w:rFonts w:ascii="Times New Roman" w:hAnsi="Times New Roman"/>
        </w:rPr>
        <w:t xml:space="preserve">Aktivace, používání a případně odinstalace tohoto systému musí být povoleny bez dodatečných nákladů pro uživatele.</w:t>
      </w:r>
    </w:p>
    <w:p w14:paraId="1FB22B97"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13EF13D"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 příslušných případech poskytovatel operačního systému zaručí a potvrdí výrobci, pokud o to výrobce požádá, že operační systém určený k instalaci na koncovém zařízení obsahuje systém stanovený v uvedeném prvním pododstavci.</w:t>
      </w:r>
    </w:p>
    <w:p w14:paraId="36B9592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9EC6A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Výrobci zaručí dovozcům, distributorům a poskytovatelům služeb fulfilmentu, že koncová zařízení uváděná na trh obsahují systém stanovený v prvním pododstavci.</w:t>
      </w:r>
      <w:r>
        <w:rPr>
          <w:sz w:val="28"/>
          <w:rFonts w:ascii="Times New Roman" w:hAnsi="Times New Roman"/>
        </w:rPr>
        <w:t xml:space="preserve"> </w:t>
      </w:r>
      <w:r>
        <w:rPr>
          <w:sz w:val="28"/>
          <w:rFonts w:ascii="Times New Roman" w:hAnsi="Times New Roman"/>
        </w:rPr>
        <w:t xml:space="preserve">V případě uvedeném ve čtvrtém pododstavci tohoto odstavce I předá výrobce těmto osobám osvědčení dodavatele operačního systému.</w:t>
      </w:r>
    </w:p>
    <w:p w14:paraId="09389E9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5C289BC2"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Dovozci, distributoři a poskytovatelé služeb fulfilmentu ověří, zda je koncové zařízení certifikováno výrobci nebo případně dodavatelem operačního systému za podmínek stanovených v pátém pododstavci tohoto odstavce I.</w:t>
      </w:r>
    </w:p>
    <w:p w14:paraId="1CEC5551" w14:textId="77777777" w:rsidR="0040649C" w:rsidRP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3191D739"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 </w:t>
      </w:r>
      <w:r>
        <w:rPr>
          <w:sz w:val="28"/>
          <w:rFonts w:ascii="Times New Roman" w:hAnsi="Times New Roman"/>
        </w:rPr>
        <w:t xml:space="preserve">Systém stanovený v prvním pododstavci tohoto odstavce I se nevztahuje na zařízení uváděná na trh bez operačního systému.</w:t>
      </w:r>
    </w:p>
    <w:p w14:paraId="42FA7488"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D55628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Povinnosti stanovené ve třetím a pátém pododstavci tohoto odstavce I se případně vztahují na zplnomocněného zástupce výrobce.</w:t>
      </w:r>
    </w:p>
    <w:p w14:paraId="6FB23FD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4490B88"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Osoby, které uvádějí na trh koncová zařízení, uvedená v prvním pododstavci tohoto odstavce I, pokud jsou používána zařízení vymezená v čl. L. 321–1 třetího pododstavce obchodního zákoníku, zajistí, aby tato zařízení obsahovala systém stanovený v prvním pododstavci tohoto odstavce I.</w:t>
      </w:r>
    </w:p>
    <w:p w14:paraId="214C18D4"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7F614E3C"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Nařízení Státní rady, vydané po vydání stanoviska Národní komise pro informační technologie a svobody, stanoví:</w:t>
      </w:r>
    </w:p>
    <w:p w14:paraId="5303501A"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4124DC79" w14:textId="6FCBA180"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 Způsoby provádění odstavce I, včetně minimálních funkcí a technických vlastností systému stanoveného v prvním pododstavci téhož odstavce I, a prostředky používané výrobcem k usnadnění používání tohoto systému;</w:t>
      </w:r>
    </w:p>
    <w:p w14:paraId="3E2ADE6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0DA3FEF3"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„1.</w:t>
      </w:r>
      <w:r>
        <w:rPr>
          <w:sz w:val="28"/>
          <w:i/>
          <w:rFonts w:ascii="Times New Roman" w:hAnsi="Times New Roman"/>
        </w:rPr>
        <w:t xml:space="preserve">a </w:t>
      </w:r>
      <w:r>
        <w:rPr>
          <w:sz w:val="28"/>
          <w:rFonts w:ascii="Times New Roman" w:hAnsi="Times New Roman"/>
        </w:rPr>
        <w:t xml:space="preserve">Způsoby, jakými výrobci a případně poskytovatel operačního systému certifikují, že operační systémy instalované na koncovém zařízení obsahují systém uvedený v prvním pododstavci;</w:t>
      </w:r>
    </w:p>
    <w:p w14:paraId="677873B6"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2FBF93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„2. Podmínky, za nichž může příslušný orgán omezit nebo zakázat uvádění koncových zařízení, uvedených v prvním pododstavci, na trh, pokud představují riziko nebo nejsou vyhovující, a podmínky, za nichž může příslušný orgán toto zařízení zpětně převzít od spotřebitelů nebo stáhnout z trhu;</w:t>
      </w:r>
    </w:p>
    <w:p w14:paraId="6795771E"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6C07B18E"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„3. Způsoby, jakými výrobci přispívají k šíření dostupných informací o rizicích spojených s využíváním služeb veřejné komunikace on-line nezletilými osobami, předčasným vystavením dětí obrazovkám, a o prostředcích k předcházení těmto rizikům.“</w:t>
      </w:r>
    </w:p>
    <w:p w14:paraId="7E3397DB"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1C55B5C1"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II. – Článek L. 34–9-3 poslední pododstavec odstavce I zákoníku poštovních služeb a elektronických komunikací se použije na koncová zařízení poprvé uvedená na trh po vyhlášení nařízení Státní rady podle článku L. 34–9-3.</w:t>
      </w:r>
    </w:p>
    <w:p w14:paraId="1F2A7712" w14:textId="77777777" w:rsidR="0040649C" w:rsidRDefault="0040649C" w:rsidP="0040649C">
      <w:pPr>
        <w:autoSpaceDE w:val="0"/>
        <w:autoSpaceDN w:val="0"/>
        <w:adjustRightInd w:val="0"/>
        <w:spacing w:after="0" w:line="240" w:lineRule="auto"/>
        <w:jc w:val="both"/>
        <w:rPr>
          <w:rFonts w:ascii="Numero" w:eastAsia="Numero" w:hAnsi="Times New Roman" w:cs="Numero"/>
          <w:sz w:val="34"/>
          <w:szCs w:val="34"/>
        </w:rPr>
      </w:pPr>
    </w:p>
    <w:p w14:paraId="3B26AB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Nařízení Státní rady stanoví podmínky, za kterých osoby uvedené v posledním pododstavci odstavce I uvedeného článku L. 34–9-3, pokud jde o zařízení poprvé uvedená na trh před vyhlášením nařízení Státní rady podle téhož článku L. 34–9-3, informují uživatele o existenci systémů, které mu umožňují omezit nebo kontrolovat přístup nezletilých osob ke službám a obsahu, který by mohl narušit tělesný, duševní nebo mravní vývoj nezletilých osob.</w:t>
      </w:r>
    </w:p>
    <w:p w14:paraId="5596F5A1" w14:textId="77777777" w:rsidR="0040649C" w:rsidRDefault="0040649C" w:rsidP="0040649C">
      <w:pPr>
        <w:autoSpaceDE w:val="0"/>
        <w:autoSpaceDN w:val="0"/>
        <w:adjustRightInd w:val="0"/>
        <w:spacing w:after="0" w:line="240" w:lineRule="auto"/>
        <w:jc w:val="both"/>
        <w:rPr>
          <w:rFonts w:ascii="Times New Roman" w:hAnsi="Times New Roman" w:cs="Times New Roman"/>
          <w:sz w:val="24"/>
          <w:szCs w:val="24"/>
        </w:rPr>
      </w:pPr>
    </w:p>
    <w:p w14:paraId="1B5A1362" w14:textId="77777777" w:rsidR="0040649C" w:rsidRDefault="0040649C" w:rsidP="0040649C">
      <w:pPr>
        <w:autoSpaceDE w:val="0"/>
        <w:autoSpaceDN w:val="0"/>
        <w:adjustRightInd w:val="0"/>
        <w:spacing w:after="0" w:line="240" w:lineRule="auto"/>
        <w:jc w:val="center"/>
        <w:rPr>
          <w:b/>
          <w:bCs/>
          <w:i/>
          <w:iCs/>
          <w:sz w:val="28"/>
          <w:szCs w:val="28"/>
          <w:rFonts w:ascii="Times New Roman" w:hAnsi="Times New Roman" w:cs="Times New Roman"/>
        </w:rPr>
      </w:pPr>
      <w:r>
        <w:rPr>
          <w:b/>
          <w:sz w:val="28"/>
          <w:rFonts w:ascii="Times New Roman" w:hAnsi="Times New Roman"/>
        </w:rPr>
        <w:t xml:space="preserve">Čl. 3</w:t>
      </w:r>
      <w:r>
        <w:rPr>
          <w:b/>
          <w:sz w:val="28"/>
          <w:i/>
          <w:rFonts w:ascii="Times New Roman" w:hAnsi="Times New Roman"/>
        </w:rPr>
        <w:t xml:space="preserve">a</w:t>
      </w:r>
    </w:p>
    <w:p w14:paraId="69A64DAC" w14:textId="77777777" w:rsidR="0040649C" w:rsidRDefault="0040649C" w:rsidP="0040649C">
      <w:pPr>
        <w:autoSpaceDE w:val="0"/>
        <w:autoSpaceDN w:val="0"/>
        <w:adjustRightInd w:val="0"/>
        <w:spacing w:after="0" w:line="240" w:lineRule="auto"/>
        <w:jc w:val="both"/>
        <w:rPr>
          <w:rFonts w:ascii="Times New Roman" w:hAnsi="Times New Roman" w:cs="Times New Roman"/>
          <w:sz w:val="28"/>
          <w:szCs w:val="28"/>
        </w:rPr>
      </w:pPr>
    </w:p>
    <w:p w14:paraId="2BFEACBB" w14:textId="77777777" w:rsidR="0040649C" w:rsidRDefault="0040649C" w:rsidP="0040649C">
      <w:pPr>
        <w:autoSpaceDE w:val="0"/>
        <w:autoSpaceDN w:val="0"/>
        <w:adjustRightInd w:val="0"/>
        <w:spacing w:after="0" w:line="240" w:lineRule="auto"/>
        <w:jc w:val="both"/>
        <w:rPr>
          <w:sz w:val="28"/>
          <w:szCs w:val="28"/>
          <w:rFonts w:ascii="Times New Roman" w:hAnsi="Times New Roman" w:cs="Times New Roman"/>
        </w:rPr>
      </w:pPr>
      <w:r>
        <w:rPr>
          <w:sz w:val="28"/>
          <w:rFonts w:ascii="Times New Roman" w:hAnsi="Times New Roman"/>
        </w:rPr>
        <w:t xml:space="preserve">Tento zákon nabývá účinnosti dnem stanoveným nařízením, což nesmí být doba delší než tři měsíce ode dne, kdy vláda obdrží odpověď Evropské komise, která jí umožňuje uznat právní předpisy, které jí byly oznámeny, za slučitelné s právem Evropské unie.</w:t>
      </w:r>
    </w:p>
    <w:p w14:paraId="64355554" w14:textId="77777777" w:rsidR="0040649C" w:rsidRDefault="0040649C" w:rsidP="0040649C">
      <w:pPr>
        <w:jc w:val="both"/>
      </w:pPr>
    </w:p>
    <w:sectPr w:rsidR="00406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umero">
    <w:altName w:val="Microsoft JhengHei"/>
    <w:panose1 w:val="00000000000000000000"/>
    <w:charset w:val="88"/>
    <w:family w:val="auto"/>
    <w:notTrueType/>
    <w:pitch w:val="default"/>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9C"/>
    <w:rsid w:val="000868C1"/>
    <w:rsid w:val="001246BF"/>
    <w:rsid w:val="0040649C"/>
    <w:rsid w:val="00A57D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D36BD"/>
  <w15:chartTrackingRefBased/>
  <w15:docId w15:val="{F0E58F22-4C65-4FF2-AC15-9BE63125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766</Words>
  <Characters>4372</Characters>
  <Application>Microsoft Office Word</Application>
  <DocSecurity>0</DocSecurity>
  <Lines>36</Lines>
  <Paragraphs>10</Paragraphs>
  <ScaleCrop>false</ScaleCrop>
  <Company>Secrétariat Général</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BORTOLUZZI Noemie</dc:creator>
  <cp:keywords/>
  <dc:description/>
  <cp:lastModifiedBy>Liana Brili</cp:lastModifiedBy>
  <cp:revision>4</cp:revision>
  <dcterms:created xsi:type="dcterms:W3CDTF">2022-02-22T14:47:00Z</dcterms:created>
  <dcterms:modified xsi:type="dcterms:W3CDTF">2022-02-25T08:34:00Z</dcterms:modified>
</cp:coreProperties>
</file>