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E539" w14:textId="351A472F" w:rsidR="00043C42" w:rsidRPr="00EC10D8" w:rsidRDefault="00043C42" w:rsidP="00EC10D8">
      <w:pPr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0183 F-- PL- ------ 20200408 --- --- PROJET</w:t>
      </w:r>
    </w:p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7"/>
        <w:gridCol w:w="968"/>
        <w:gridCol w:w="1487"/>
      </w:tblGrid>
      <w:tr w:rsidR="00927B0A" w:rsidRPr="00043C42" w14:paraId="758782B6" w14:textId="77777777" w:rsidTr="00043C42">
        <w:trPr>
          <w:cantSplit/>
        </w:trPr>
        <w:tc>
          <w:tcPr>
            <w:tcW w:w="3982" w:type="dxa"/>
            <w:gridSpan w:val="3"/>
          </w:tcPr>
          <w:p w14:paraId="75F93C34" w14:textId="77777777" w:rsidR="00927B0A" w:rsidRPr="00043C42" w:rsidRDefault="00927B0A" w:rsidP="00043C42">
            <w:pPr>
              <w:pStyle w:val="SNREPUBLIQUE"/>
            </w:pPr>
            <w:r>
              <w:t xml:space="preserve">REPUBLIKA FRANCUSKA</w:t>
            </w:r>
          </w:p>
        </w:tc>
      </w:tr>
      <w:tr w:rsidR="00927B0A" w:rsidRPr="00043C42" w14:paraId="377F3705" w14:textId="77777777" w:rsidTr="00043C42">
        <w:trPr>
          <w:cantSplit/>
        </w:trPr>
        <w:tc>
          <w:tcPr>
            <w:tcW w:w="1527" w:type="dxa"/>
          </w:tcPr>
          <w:p w14:paraId="6AAE68A4" w14:textId="77777777" w:rsidR="00927B0A" w:rsidRPr="00043C42" w:rsidRDefault="00927B0A" w:rsidP="00043C42">
            <w:pPr>
              <w:rPr>
                <w:lang w:eastAsia="en-US"/>
              </w:rPr>
            </w:pPr>
          </w:p>
        </w:tc>
        <w:tc>
          <w:tcPr>
            <w:tcW w:w="968" w:type="dxa"/>
          </w:tcPr>
          <w:p w14:paraId="3FF14467" w14:textId="77777777" w:rsidR="00927B0A" w:rsidRPr="00043C42" w:rsidRDefault="00927B0A" w:rsidP="00043C42">
            <w:pPr>
              <w:rPr>
                <w:lang w:eastAsia="en-US"/>
              </w:rPr>
            </w:pPr>
          </w:p>
        </w:tc>
        <w:tc>
          <w:tcPr>
            <w:tcW w:w="1487" w:type="dxa"/>
          </w:tcPr>
          <w:p w14:paraId="25DA01AE" w14:textId="77777777" w:rsidR="00927B0A" w:rsidRPr="00043C42" w:rsidRDefault="00927B0A" w:rsidP="00043C42">
            <w:pPr>
              <w:rPr>
                <w:lang w:eastAsia="en-US"/>
              </w:rPr>
            </w:pPr>
          </w:p>
        </w:tc>
      </w:tr>
      <w:tr w:rsidR="00927B0A" w:rsidRPr="00043C42" w14:paraId="3C83425A" w14:textId="77777777" w:rsidTr="00043C42">
        <w:trPr>
          <w:cantSplit/>
        </w:trPr>
        <w:tc>
          <w:tcPr>
            <w:tcW w:w="3982" w:type="dxa"/>
            <w:gridSpan w:val="3"/>
          </w:tcPr>
          <w:p w14:paraId="266E873F" w14:textId="77777777" w:rsidR="00927B0A" w:rsidRPr="00043C42" w:rsidRDefault="00927B0A" w:rsidP="00043C42">
            <w:pPr>
              <w:pStyle w:val="SNTimbre"/>
              <w:widowControl/>
            </w:pPr>
            <w:r>
              <w:t xml:space="preserve">Ministerstwo Transformacji Ekologicznej i Solidarnej</w:t>
            </w:r>
            <w:r>
              <w:t xml:space="preserve"> </w:t>
            </w:r>
          </w:p>
          <w:p w14:paraId="794739D9" w14:textId="77777777" w:rsidR="00927B0A" w:rsidRPr="00043C42" w:rsidRDefault="00927B0A" w:rsidP="00043C42">
            <w:pPr>
              <w:pStyle w:val="SNTimbre"/>
              <w:widowControl/>
            </w:pPr>
          </w:p>
        </w:tc>
      </w:tr>
    </w:tbl>
    <w:p w14:paraId="12954EBD" w14:textId="77777777" w:rsidR="00927B0A" w:rsidRPr="00043C42" w:rsidRDefault="00927B0A" w:rsidP="00043C42">
      <w:pPr>
        <w:pStyle w:val="SNNature"/>
        <w:keepNext/>
        <w:keepLines/>
        <w:widowControl/>
      </w:pPr>
      <w:r>
        <w:t xml:space="preserve">Dekret nr 2020-[…] z dnia […] 2020 r.</w:t>
      </w:r>
    </w:p>
    <w:p w14:paraId="04FA6C8D" w14:textId="77777777" w:rsidR="00927B0A" w:rsidRPr="00043C42" w:rsidRDefault="00927B0A" w:rsidP="00043C42">
      <w:pPr>
        <w:pStyle w:val="SNNature"/>
        <w:keepNext/>
        <w:keepLines/>
        <w:widowControl/>
      </w:pPr>
      <w:r>
        <w:t xml:space="preserve">w sprawie znakowania rowerów</w:t>
      </w:r>
    </w:p>
    <w:p w14:paraId="16230011" w14:textId="77777777" w:rsidR="00927B0A" w:rsidRPr="00043C42" w:rsidRDefault="00927B0A" w:rsidP="00043C42">
      <w:pPr>
        <w:pStyle w:val="SNNORCentr"/>
        <w:keepNext/>
        <w:keepLines/>
      </w:pPr>
    </w:p>
    <w:p w14:paraId="3E37B1B5" w14:textId="18BD2372" w:rsidR="00120376" w:rsidRPr="00043C42" w:rsidRDefault="00927B0A" w:rsidP="00043C42">
      <w:pPr>
        <w:pStyle w:val="NormalWeb"/>
        <w:keepNext/>
        <w:keepLines/>
        <w:spacing w:after="198" w:line="276" w:lineRule="auto"/>
        <w:jc w:val="center"/>
      </w:pPr>
      <w:r>
        <w:t xml:space="preserve">NR. REF.:</w:t>
      </w:r>
      <w:r>
        <w:t xml:space="preserve"> </w:t>
      </w:r>
      <w:r>
        <w:t xml:space="preserve">TRET2007448D</w:t>
      </w:r>
    </w:p>
    <w:p w14:paraId="0625E19B" w14:textId="1F61C3C0" w:rsidR="005D6D47" w:rsidRPr="00043C42" w:rsidRDefault="005D6D47" w:rsidP="00043C42">
      <w:pPr>
        <w:pStyle w:val="SNNORCentr"/>
        <w:keepNext/>
        <w:keepLines/>
      </w:pPr>
    </w:p>
    <w:p w14:paraId="739D3115" w14:textId="77777777" w:rsidR="005D6D47" w:rsidRPr="00043C42" w:rsidRDefault="005D6D47" w:rsidP="00043C42">
      <w:pPr>
        <w:pStyle w:val="SNNORCentr"/>
        <w:keepNext/>
        <w:keepLines/>
      </w:pPr>
    </w:p>
    <w:p w14:paraId="6E2DFCB0" w14:textId="5F9E8547" w:rsidR="00927B0A" w:rsidRPr="00043C42" w:rsidRDefault="00927B0A" w:rsidP="00043C42">
      <w:pPr>
        <w:pStyle w:val="SNNORCentr"/>
        <w:jc w:val="both"/>
        <w:rPr>
          <w:color w:val="00000A"/>
          <w:szCs w:val="24"/>
        </w:rPr>
      </w:pPr>
      <w:r>
        <w:rPr>
          <w:i/>
          <w:iCs/>
          <w:color w:val="00000A"/>
          <w:szCs w:val="24"/>
          <w:b/>
        </w:rPr>
        <w:t xml:space="preserve">Zainteresowane społeczności</w:t>
      </w:r>
      <w:r>
        <w:rPr>
          <w:i/>
          <w:iCs/>
          <w:color w:val="00000A"/>
          <w:szCs w:val="24"/>
        </w:rPr>
        <w:t xml:space="preserve">: sprzedawcy rowerów nowych lub używanych, podmioty odpowiedzialne za demontaż lub ponowne wykorzystanie rowerów, posiadacze rowerów, nabywcy rowerów, podmioty zajmujące się znakowaniem rowerów, służby policji i żandarmerii, straż miejska, biura rzeczy znalezionych.</w:t>
      </w:r>
      <w:r>
        <w:rPr>
          <w:i/>
          <w:iCs/>
          <w:color w:val="00000A"/>
          <w:szCs w:val="24"/>
        </w:rPr>
        <w:t xml:space="preserve"> </w:t>
      </w:r>
    </w:p>
    <w:p w14:paraId="7543DA14" w14:textId="77777777" w:rsidR="00927B0A" w:rsidRPr="00043C42" w:rsidRDefault="00927B0A" w:rsidP="00043C42">
      <w:pPr>
        <w:spacing w:before="100" w:beforeAutospacing="1" w:after="100" w:afterAutospacing="1" w:line="240" w:lineRule="auto"/>
        <w:rPr>
          <w:i/>
          <w:iCs/>
          <w:color w:val="00000A"/>
          <w:sz w:val="24"/>
          <w:szCs w:val="24"/>
          <w:rFonts w:ascii="Times New Roman" w:hAnsi="Times New Roman" w:cs="Times New Roman"/>
        </w:rPr>
      </w:pPr>
      <w:r>
        <w:rPr>
          <w:i/>
          <w:iCs/>
          <w:color w:val="00000A"/>
          <w:sz w:val="24"/>
          <w:szCs w:val="24"/>
          <w:b/>
          <w:bCs/>
          <w:rFonts w:ascii="Times New Roman" w:hAnsi="Times New Roman"/>
        </w:rPr>
        <w:t xml:space="preserve">Przedmiot: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dekret określa zasady stosowania przepisów tytułu VII rozdział 1 sekcja 2 art. od L. 1271-2 do L. 1271-5 kodeksu transportu dotyczących znakowania rowerów.</w:t>
      </w:r>
    </w:p>
    <w:p w14:paraId="47123211" w14:textId="47755C6B" w:rsidR="00927B0A" w:rsidRPr="00043C42" w:rsidRDefault="00927B0A" w:rsidP="00043C42">
      <w:pPr>
        <w:spacing w:before="100" w:beforeAutospacing="1" w:after="100" w:afterAutospacing="1" w:line="240" w:lineRule="auto"/>
        <w:rPr>
          <w:color w:val="00000A"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/>
          <w:bCs/>
          <w:color w:val="00000A"/>
          <w:rFonts w:ascii="Times New Roman" w:hAnsi="Times New Roman"/>
        </w:rPr>
        <w:t xml:space="preserve">Wejście w życie:</w:t>
      </w:r>
      <w:r>
        <w:rPr>
          <w:i/>
          <w:iCs/>
          <w:sz w:val="24"/>
          <w:szCs w:val="24"/>
          <w:color w:val="2C2A2A"/>
          <w:rFonts w:ascii="Times New Roman" w:hAnsi="Times New Roman"/>
        </w:rPr>
        <w:t xml:space="preserve"> tekst wchodzi w życie następnego dnia po jego opublikowaniu.</w:t>
      </w:r>
    </w:p>
    <w:p w14:paraId="2017994F" w14:textId="0BF1CFE3" w:rsidR="00927B0A" w:rsidRPr="00043C42" w:rsidRDefault="00927B0A" w:rsidP="00043C42">
      <w:pPr>
        <w:spacing w:before="100" w:beforeAutospacing="1" w:after="100" w:afterAutospacing="1" w:line="240" w:lineRule="auto"/>
        <w:rPr>
          <w:i/>
          <w:iCs/>
          <w:color w:val="00000A"/>
          <w:sz w:val="24"/>
          <w:szCs w:val="24"/>
          <w:rFonts w:ascii="Times New Roman" w:hAnsi="Times New Roman" w:cs="Times New Roman"/>
        </w:rPr>
      </w:pPr>
      <w:r>
        <w:rPr>
          <w:i/>
          <w:iCs/>
          <w:color w:val="00000A"/>
          <w:sz w:val="24"/>
          <w:szCs w:val="24"/>
          <w:b/>
          <w:bCs/>
          <w:rFonts w:ascii="Times New Roman" w:hAnsi="Times New Roman"/>
        </w:rPr>
        <w:t xml:space="preserve">Uwaga:</w:t>
      </w:r>
      <w:r>
        <w:rPr>
          <w:i/>
          <w:iCs/>
          <w:color w:val="00000A"/>
          <w:sz w:val="24"/>
          <w:szCs w:val="24"/>
          <w:b/>
          <w:bCs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Celem dekretu jest przeciwdziałanie aktom kradzieży rowerów i rowerów ze wspomaganym napędem, które to akty stanowią przeszkodę w używaniu rowerów.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Dekret określa obowiązki sprzedawców, właścicieli rowerów, specjalistów odpowiedzialnych za demontaż rowerów lub ich przygotowanie do ponownego użycia, a także warunki zatwierdzania przez państwo osób prawnych, które mogą wdrażać mechanizmy znakowania rowerów.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Dekret uściśla ponadto warunki gromadzenia danych i ich rejestracji przez zatwierdzone podmioty odpowiedzialne za znakowanie rowerów oraz przez zarządcę jednolitego rejestru krajowego oznakowanych rowerów.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Dekret był przedmiotem konsultacji z Krajową Komisją ds. Informatyki i Swobód Obywatelskich.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</w:p>
    <w:p w14:paraId="44612B17" w14:textId="511C3C56" w:rsidR="00927B0A" w:rsidRPr="00043C42" w:rsidRDefault="00927B0A" w:rsidP="00043C42">
      <w:pPr>
        <w:spacing w:before="100" w:beforeAutospacing="1" w:after="100" w:afterAutospacing="1" w:line="240" w:lineRule="auto"/>
        <w:rPr>
          <w:color w:val="00000A"/>
          <w:sz w:val="24"/>
          <w:szCs w:val="24"/>
          <w:rFonts w:ascii="Times New Roman" w:hAnsi="Times New Roman" w:cs="Times New Roman"/>
        </w:rPr>
      </w:pPr>
      <w:r>
        <w:rPr>
          <w:i/>
          <w:iCs/>
          <w:color w:val="00000A"/>
          <w:sz w:val="24"/>
          <w:szCs w:val="24"/>
          <w:b/>
          <w:bCs/>
          <w:rFonts w:ascii="Times New Roman" w:hAnsi="Times New Roman"/>
        </w:rPr>
        <w:t xml:space="preserve">Teksty podstawowe: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niniejszy dekret przyjmuje się na mocy art. od L. 1271-2 do L. 1271-5 kodeksu transportu.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Z tekstem można zapoznać się w witrynie internetowej Légifrance (http://www.legifrance.gouv.fr).</w:t>
      </w:r>
    </w:p>
    <w:p w14:paraId="5EBEDE75" w14:textId="77777777" w:rsidR="00927B0A" w:rsidRPr="00043C42" w:rsidRDefault="00927B0A" w:rsidP="00043C42">
      <w:pPr>
        <w:keepNext/>
        <w:keepLines/>
        <w:spacing w:before="720" w:after="0" w:line="240" w:lineRule="auto"/>
        <w:rPr>
          <w:b/>
          <w:bCs/>
          <w:color w:val="00000A"/>
          <w:sz w:val="24"/>
          <w:szCs w:val="24"/>
          <w:rFonts w:ascii="Times New Roman" w:hAnsi="Times New Roman" w:cs="Times New Roman"/>
        </w:rPr>
      </w:pPr>
      <w:r>
        <w:rPr>
          <w:b/>
          <w:bCs/>
          <w:color w:val="00000A"/>
          <w:sz w:val="24"/>
          <w:szCs w:val="24"/>
          <w:rFonts w:ascii="Times New Roman" w:hAnsi="Times New Roman"/>
        </w:rPr>
        <w:t xml:space="preserve">Premier,</w:t>
      </w:r>
    </w:p>
    <w:p w14:paraId="5B6904D2" w14:textId="0F4B0F30" w:rsidR="00927B0A" w:rsidRPr="00043C42" w:rsidRDefault="00927B0A" w:rsidP="00043C42">
      <w:pPr>
        <w:spacing w:before="238" w:after="119" w:line="240" w:lineRule="auto"/>
        <w:ind w:firstLine="720"/>
        <w:rPr>
          <w:rFonts w:ascii="Times New Roman" w:hAnsi="Times New Roman" w:cs="Times New Roman"/>
        </w:rPr>
      </w:pPr>
      <w:r>
        <w:rPr>
          <w:color w:val="00000A"/>
          <w:sz w:val="24"/>
          <w:szCs w:val="24"/>
          <w:rFonts w:ascii="Times New Roman" w:hAnsi="Times New Roman"/>
        </w:rPr>
        <w:t xml:space="preserve">na podstawie sprawozdania Minister ds. Transformacji Ekologicznej i Solidarnej,</w:t>
      </w:r>
    </w:p>
    <w:p w14:paraId="6EEA9EB4" w14:textId="00609369" w:rsidR="00B96DA8" w:rsidRPr="00043C42" w:rsidRDefault="00B96DA8" w:rsidP="00043C42">
      <w:pPr>
        <w:pStyle w:val="western"/>
        <w:spacing w:before="278" w:beforeAutospacing="0" w:after="0" w:line="240" w:lineRule="auto"/>
        <w:ind w:firstLine="708"/>
        <w:jc w:val="both"/>
        <w:rPr>
          <w:color w:val="00000A"/>
        </w:rPr>
      </w:pPr>
      <w:r>
        <w:rPr>
          <w:color w:val="00000A"/>
        </w:rPr>
        <w:t xml:space="preserve">uwzględniając dyrektywę 2006/123/WE w sprawie usług na rynku wewnętrznym, w szczególności art. 15,</w:t>
      </w:r>
    </w:p>
    <w:p w14:paraId="15B7603B" w14:textId="7281211B" w:rsidR="009653C6" w:rsidRPr="00043C42" w:rsidRDefault="009653C6" w:rsidP="00043C42">
      <w:pPr>
        <w:pStyle w:val="western"/>
        <w:spacing w:before="278" w:beforeAutospacing="0" w:after="0" w:line="240" w:lineRule="auto"/>
        <w:ind w:firstLine="708"/>
        <w:jc w:val="both"/>
        <w:rPr>
          <w:sz w:val="22"/>
        </w:rPr>
      </w:pPr>
      <w:r>
        <w:rPr>
          <w:sz w:val="22"/>
        </w:rPr>
        <w:t xml:space="preserve">uwzględniając dyrektywę (UE) 2015/1535 Parlamentu Europejskiego i Rady z dnia 9 września 2015 r. ustanawiającą procedurę udzielania informacji w dziedzinie przepisów technicznych oraz zasad dotyczących usług społeczeństwa informacyjnego (tekst skonsolidowany), w szczególności notyfikację nr rok/[XXX]/F,</w:t>
      </w:r>
    </w:p>
    <w:p w14:paraId="66EACFB8" w14:textId="507E7793" w:rsidR="00927B0A" w:rsidRPr="00043C42" w:rsidRDefault="00927B0A" w:rsidP="00043C42">
      <w:pPr>
        <w:pStyle w:val="western"/>
        <w:spacing w:before="278" w:beforeAutospacing="0" w:after="0" w:line="240" w:lineRule="auto"/>
        <w:ind w:firstLine="708"/>
        <w:jc w:val="both"/>
      </w:pPr>
      <w:r>
        <w:rPr>
          <w:color w:val="00000A"/>
        </w:rPr>
        <w:t xml:space="preserve">uwzględniając ustawę nr 78-17 z dnia 6 stycznia 1978 r. o informatyce, plikach i swobodach,</w:t>
      </w:r>
    </w:p>
    <w:p w14:paraId="592FA11B" w14:textId="4D35FFC2" w:rsidR="00927B0A" w:rsidRPr="00043C42" w:rsidRDefault="00927B0A" w:rsidP="00043C42">
      <w:pPr>
        <w:pStyle w:val="western"/>
        <w:spacing w:before="278" w:beforeAutospacing="0" w:after="0" w:line="240" w:lineRule="auto"/>
        <w:ind w:firstLine="708"/>
        <w:rPr>
          <w:color w:val="00000A"/>
        </w:rPr>
      </w:pPr>
      <w:r>
        <w:rPr>
          <w:color w:val="00000A"/>
        </w:rPr>
        <w:t xml:space="preserve">uwzględniając kodeks transportu, w szczególności art. od L. 1271-2 do L. 1271-5,</w:t>
      </w:r>
    </w:p>
    <w:p w14:paraId="42E7FC33" w14:textId="00C3CBE1" w:rsidR="00927B0A" w:rsidRPr="00043C42" w:rsidRDefault="00927B0A" w:rsidP="00043C42">
      <w:pPr>
        <w:pStyle w:val="western"/>
        <w:spacing w:before="278" w:beforeAutospacing="0" w:after="0" w:line="240" w:lineRule="auto"/>
        <w:ind w:firstLine="708"/>
        <w:rPr>
          <w:color w:val="00000A"/>
        </w:rPr>
      </w:pPr>
      <w:r>
        <w:rPr>
          <w:color w:val="00000A"/>
        </w:rPr>
        <w:t xml:space="preserve">uwzględniając opinię Krajowej Komisji ds. Informatyki i Swobód Obywatelskich z dnia [XXX] r.,</w:t>
      </w:r>
    </w:p>
    <w:p w14:paraId="58C305DF" w14:textId="7756D537" w:rsidR="00927B0A" w:rsidRPr="00043C42" w:rsidRDefault="00927B0A" w:rsidP="00043C42">
      <w:pPr>
        <w:spacing w:before="238" w:after="119" w:line="240" w:lineRule="auto"/>
        <w:ind w:firstLine="720"/>
        <w:rPr>
          <w:color w:val="00000A"/>
          <w:sz w:val="24"/>
          <w:szCs w:val="24"/>
          <w:rFonts w:ascii="Times New Roman" w:hAnsi="Times New Roman" w:cs="Times New Roman"/>
        </w:rPr>
      </w:pPr>
      <w:r>
        <w:rPr>
          <w:color w:val="00000A"/>
          <w:sz w:val="24"/>
          <w:szCs w:val="24"/>
          <w:rFonts w:ascii="Times New Roman" w:hAnsi="Times New Roman"/>
        </w:rPr>
        <w:t xml:space="preserve">po wysłuchaniu Rady Stanu (Sekcja Robót Publicznych),</w:t>
      </w:r>
    </w:p>
    <w:p w14:paraId="4CC51194" w14:textId="77777777" w:rsidR="00927B0A" w:rsidRPr="00043C42" w:rsidRDefault="00927B0A" w:rsidP="00043C42">
      <w:pPr>
        <w:pStyle w:val="SNActe"/>
        <w:keepNext/>
        <w:keepLines/>
      </w:pPr>
      <w:r>
        <w:t xml:space="preserve">przyjmuje następujący dekret:</w:t>
      </w:r>
    </w:p>
    <w:p w14:paraId="3F40453D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b/>
          <w:rFonts w:ascii="Times New Roman" w:hAnsi="Times New Roman"/>
        </w:rPr>
        <w:t xml:space="preserve">Artykuł 1</w:t>
      </w:r>
    </w:p>
    <w:p w14:paraId="1FAD1346" w14:textId="77777777" w:rsidR="00927B0A" w:rsidRPr="00043C42" w:rsidRDefault="00927B0A" w:rsidP="00043C4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W pierwszej części księga II kodeksu transportu (część normatywna) dodaje się tytuł VII w brzmieniu:</w:t>
      </w:r>
    </w:p>
    <w:p w14:paraId="4DC91D4D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„TYTUŁ VII</w:t>
      </w:r>
    </w:p>
    <w:p w14:paraId="3775E7A4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MOBILNOŚĆ AKTYWNA I INTERMODALNOŚĆ</w:t>
      </w:r>
    </w:p>
    <w:p w14:paraId="41446228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ROZDZIAŁ I</w:t>
      </w:r>
    </w:p>
    <w:p w14:paraId="777681BA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Mobilność aktywna</w:t>
      </w:r>
    </w:p>
    <w:p w14:paraId="185BBDAD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Sekcja 1 – Oznakowanie rowerów</w:t>
      </w:r>
    </w:p>
    <w:p w14:paraId="12884821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</w:p>
    <w:p w14:paraId="1143C8E6" w14:textId="4E7434EE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Art. R. 1271-1.</w:t>
      </w:r>
      <w:r>
        <w:rPr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Termin »rower« w niniejszym dekrecie oznacza pojazdy opisane w art. R. 311-1 pkt 6.10 (rower) i 6.11 (rower ze wspomaganym napędem) kodeksu drogowego.</w:t>
      </w:r>
      <w:r>
        <w:rPr>
          <w:rFonts w:ascii="Times New Roman" w:hAnsi="Times New Roman"/>
        </w:rPr>
        <w:t xml:space="preserve"> </w:t>
      </w:r>
    </w:p>
    <w:p w14:paraId="707EC7CA" w14:textId="7ED7E9DC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»Zatwierdzony podmiot odpowiedzialny za znakowanie rowerów« oznacza podmiot zatwierdzony przez państwo w rozumieniu art. L. 1271-5 kodeksu transportu, na warunkach przewidzianych w art. R. 1271-10.</w:t>
      </w:r>
      <w:r>
        <w:rPr>
          <w:rFonts w:ascii="Times New Roman" w:hAnsi="Times New Roman"/>
        </w:rPr>
        <w:t xml:space="preserve"> </w:t>
      </w:r>
    </w:p>
    <w:p w14:paraId="094D6BFA" w14:textId="19971C3E" w:rsidR="00CC17BA" w:rsidRPr="00043C42" w:rsidRDefault="00CC17BA" w:rsidP="00043C42">
      <w:pPr>
        <w:rPr>
          <w:rFonts w:ascii="Times New Roman" w:hAnsi="Times New Roman" w:cs="Times New Roman"/>
        </w:rPr>
      </w:pPr>
    </w:p>
    <w:p w14:paraId="48EB1A8E" w14:textId="253C0E0F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Artykuł R. 1271-2.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Jednolity rejestr krajowy oznakowanych rowerów, o którym mowa w art. </w:t>
      </w:r>
      <w:bookmarkStart w:id="0" w:name="__DdeLink__415_3847704711"/>
      <w:r>
        <w:rPr>
          <w:rFonts w:ascii="Times New Roman" w:hAnsi="Times New Roman"/>
        </w:rPr>
        <w:t xml:space="preserve">L. 1271-3 kodeksu transportu</w:t>
      </w:r>
      <w:bookmarkEnd w:id="0"/>
      <w:r>
        <w:t xml:space="preserve">,</w:t>
      </w:r>
      <w:r>
        <w:rPr>
          <w:rFonts w:ascii="Times New Roman" w:hAnsi="Times New Roman"/>
        </w:rPr>
        <w:t xml:space="preserve"> ma na celu przeciwdziałanie kradzieży, paserstwu i nielegalnej odsprzedaży rowerów.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Umożliwia zwrot roweru właścicielowi.</w:t>
      </w:r>
    </w:p>
    <w:p w14:paraId="7E669C57" w14:textId="31A19D3D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Rejestr jest stworzony na podstawie bazy danych podmiotów zatwierdzonych do znakowania rowerów zgodnie z art. R. 1271-5.</w:t>
      </w:r>
    </w:p>
    <w:p w14:paraId="39DF7413" w14:textId="67403AF2" w:rsidR="00CC17BA" w:rsidRPr="00043C42" w:rsidRDefault="00CC17BA" w:rsidP="00043C42">
      <w:pPr>
        <w:rPr>
          <w:rFonts w:ascii="Times New Roman" w:hAnsi="Times New Roman" w:cs="Times New Roman"/>
        </w:rPr>
      </w:pPr>
    </w:p>
    <w:p w14:paraId="3143FF85" w14:textId="1E01E569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Artykuł R. 1271-3.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Od dnia 1 stycznia 2021 r. w przypadku sprzedaży nowych rowerów oraz od dnia 1 lipca 2021 r. w przypadku sprzedaży rowerów używanych wszystkie rowery sprzedane przez sprzedawców posiadają identyfikator dostarczony przez zatwierdzony podmiot odpowiedzialny za znakowanie rowerów, który jest umieszczony na rowerze, z wyjątkiem rowerów wymienionych w art. R. 1271-4.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Operacje sprzedaży między specjalistami z branży sprzedaży rowerów nie są objęte wymogami określonymi w niniejszym artykule.</w:t>
      </w:r>
    </w:p>
    <w:p w14:paraId="18AE6CBB" w14:textId="77777777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Sprzedawca dokonujący sprzedaży roweru z identyfikatorem ma obowiązek przekazać informacje przewidziane w art. R. 1271-5 akapit drugi zatwierdzonemu podmiotowi odpowiedzialnemu za znakowanie rowerów, który jest odpowiedzialny za identyfikator umieszczony na rowerze.</w:t>
      </w:r>
    </w:p>
    <w:p w14:paraId="768E0C7C" w14:textId="77777777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Sprzedawca przekazuje nabywcy dowód zakupu, na którym widnieje identyfikator roweru.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Przekazuje mu również niezbędne informacje umożliwiające właścicielowi bezpośrednie korzystanie z prawa dostępu do jego danych i ich korygowania.</w:t>
      </w:r>
    </w:p>
    <w:p w14:paraId="4281E6FC" w14:textId="77777777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Obowiązki przewidziane w niniejszym artykule mają zastosowanie do każdego sprzedawcy w rozumieniu art. L. 121-1 kodeksu handlowego.</w:t>
      </w:r>
    </w:p>
    <w:p w14:paraId="0C8727CB" w14:textId="7D35990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Każde niedopełnienie obowiązku znakowania roweru lub przekazania identyfikatora i statusu roweru przez sprzedawcę zatwierdzonemu podmiotowi podlega karze grzywny przewidzianej za wykroczenia pierwszego stopnia.</w:t>
      </w:r>
    </w:p>
    <w:p w14:paraId="386D938F" w14:textId="764EC743" w:rsidR="00CC17BA" w:rsidRPr="00043C42" w:rsidRDefault="00CC17BA" w:rsidP="00043C42">
      <w:pPr>
        <w:rPr>
          <w:rFonts w:ascii="Times New Roman" w:hAnsi="Times New Roman" w:cs="Times New Roman"/>
        </w:rPr>
      </w:pPr>
    </w:p>
    <w:p w14:paraId="17A6D9DB" w14:textId="0240AEBC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Artykuł R. 1271-4.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Rowery dla dzieci, których koła mają średnicę nieprzekraczającą 16 cali, nie są objęte wymogami przewidzianymi w art. R. 1271-3.</w:t>
      </w:r>
      <w:r>
        <w:rPr>
          <w:rFonts w:ascii="Times New Roman" w:hAnsi="Times New Roman"/>
        </w:rPr>
        <w:t xml:space="preserve"> </w:t>
      </w:r>
    </w:p>
    <w:p w14:paraId="770062CC" w14:textId="5EC41C7A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Na wniosek właściciela, do jednolitego rejestru krajowego oznakowanych rowerów można wpisać rower, o którym mowa w art. R. 311-1 pkt 6.14 kodeksu drogowego (urządzenie transportu osobistego), a także przyczepy do rowerów.</w:t>
      </w:r>
      <w:r>
        <w:rPr>
          <w:rFonts w:ascii="Times New Roman" w:hAnsi="Times New Roman"/>
        </w:rPr>
        <w:t xml:space="preserve"> </w:t>
      </w:r>
    </w:p>
    <w:p w14:paraId="6DC98C47" w14:textId="38F34250" w:rsidR="00CC17BA" w:rsidRPr="00043C42" w:rsidRDefault="00CC17BA" w:rsidP="00043C42">
      <w:pPr>
        <w:rPr>
          <w:rFonts w:ascii="Times New Roman" w:hAnsi="Times New Roman" w:cs="Times New Roman"/>
        </w:rPr>
      </w:pPr>
    </w:p>
    <w:p w14:paraId="47794839" w14:textId="37476270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Artykuł R. 1271-5.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Każdy zatwierdzony podmiot odpowiedzialny za znakowanie rowerów jest odpowiedzialny za przetwarzanie danych w bazie danych rowerów oznakowanych, które obejmują w przypadku każdego identyfikatora roweru:</w:t>
      </w:r>
      <w:r>
        <w:rPr>
          <w:rFonts w:ascii="Times New Roman" w:hAnsi="Times New Roman"/>
        </w:rPr>
        <w:t xml:space="preserve"> </w:t>
      </w:r>
    </w:p>
    <w:p w14:paraId="12D48D60" w14:textId="2091A642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dane osobowe umożliwiające identyfikację właściciela roweru i kontakt z nim (nazwisko i imię lub nazwa firmy, telefon, adres elektroniczny), opis roweru (rodzaj roweru, marka, model, kolor) i status roweru;</w:t>
      </w:r>
    </w:p>
    <w:p w14:paraId="7F40471B" w14:textId="35279618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2. dobrowolne dane osobowe (adres pocztowy, data urodzenia, nazwisko i imię współwłaściciela);</w:t>
      </w:r>
    </w:p>
    <w:p w14:paraId="5FF4CF97" w14:textId="3DF4D0FD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3. dobrowolny opis roweru (numer seryjny roweru, numer seryjny silnika, numer seryjny akumulatora).</w:t>
      </w:r>
    </w:p>
    <w:p w14:paraId="4DCCCC90" w14:textId="169ED21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Bazy danych oznakowanych rowerów prowadzone przez zatwierdzone podmioty służą tym samym celom, które zostały określone w art. R. 1271-2.</w:t>
      </w:r>
    </w:p>
    <w:p w14:paraId="44D0A20E" w14:textId="7D9CFF44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Jednolity rejestr krajowy oznakowanych rowerów zawiera informacje wymienione w niniejszym artykule i dostępne w bazach danych zatwierdzonych podmiotów odpowiedzialnych za znakowanie rowerów, które mają obowiązek je dostarczyć.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Parametry dostarczania tych danych są określone przez zarządcę jednolitego rejestru krajowego oznakowanych rowerów, o którym mowa w art. R. 1271-12.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Mogą one być przedmiotem wspólnego rozporządzenia ministrów właściwych do spraw transportu i spraw wewnętrznych.</w:t>
      </w:r>
      <w:r>
        <w:rPr>
          <w:rFonts w:ascii="Times New Roman" w:hAnsi="Times New Roman"/>
        </w:rPr>
        <w:t xml:space="preserve"> </w:t>
      </w:r>
    </w:p>
    <w:p w14:paraId="12E5C297" w14:textId="2F65647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Format identyfikatora i różne statusy roweru określa się wspólnym rozporządzeniem ministrów właściwych do spraw transportu i spraw wewnętrznych.</w:t>
      </w:r>
      <w:r>
        <w:rPr>
          <w:rFonts w:ascii="Times New Roman" w:hAnsi="Times New Roman"/>
        </w:rPr>
        <w:t xml:space="preserve"> </w:t>
      </w:r>
    </w:p>
    <w:p w14:paraId="64D056D6" w14:textId="45BA35D5" w:rsidR="00CC17BA" w:rsidRPr="00043C42" w:rsidRDefault="00CC17BA" w:rsidP="00043C42">
      <w:pPr>
        <w:rPr>
          <w:rFonts w:ascii="Times New Roman" w:hAnsi="Times New Roman" w:cs="Times New Roman"/>
        </w:rPr>
      </w:pPr>
    </w:p>
    <w:p w14:paraId="686B570B" w14:textId="23BD8F8D" w:rsidR="007D0AE1" w:rsidRPr="00043C42" w:rsidRDefault="00B96DA8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Artykuł R. 1271-6.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Właściciele oznakowanych rowerów mogą skorzystać z przysługującego im prawa dostępu do danych i ich korygowania u zatwierdzonego podmiotu odpowiedzialnego za znakowanie danego roweru.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Zmiany uwzględnia bezpośrednio zarządca jednolitego rejestru krajowego oznakowanych rowerów.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Prawo sprzeciwu nie ma zastosowania do przetwarzania baz danych oznakowanych rowerów prowadzonych przez zatwierdzone podmioty oraz do przetwarzania jednolitego rejestru krajowego oznakowanych rowerów.</w:t>
      </w:r>
    </w:p>
    <w:p w14:paraId="47EC1957" w14:textId="77777777" w:rsidR="00CC17BA" w:rsidRPr="00043C42" w:rsidRDefault="00CC17BA" w:rsidP="00043C42">
      <w:pPr>
        <w:jc w:val="left"/>
        <w:rPr>
          <w:rFonts w:ascii="Times New Roman" w:hAnsi="Times New Roman" w:cs="Times New Roman"/>
        </w:rPr>
      </w:pPr>
    </w:p>
    <w:p w14:paraId="23DA0B7E" w14:textId="307A0261" w:rsidR="00B96DA8" w:rsidRPr="00043C42" w:rsidRDefault="008B3028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Artykuł R. 1271-7.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Dane osobowe, o których mowa w art. R. 1271-5 dotyczące oznakowanego roweru są usuwane w sposób zabezpieczony przez zatwierdzony podmiot odpowiedzialny za znakowanie rowerów oraz przez zarządcę jednolitego rejestru krajowego oznakowanych rowerów, o którym mowa w art. R. 1271-12, jeżeli właściciel nie jest już w posiadaniu roweru, na podstawie jego oświadczenia złożonego u danego zatwierdzonego podmiotu.</w:t>
      </w:r>
      <w:r>
        <w:rPr>
          <w:rFonts w:ascii="Times New Roman" w:hAnsi="Times New Roman"/>
        </w:rPr>
        <w:t xml:space="preserve"> </w:t>
      </w:r>
    </w:p>
    <w:p w14:paraId="3BD7BEE2" w14:textId="68E8F484" w:rsidR="00CC17BA" w:rsidRPr="00043C42" w:rsidRDefault="00CC17BA" w:rsidP="00043C42">
      <w:pPr>
        <w:rPr>
          <w:rFonts w:ascii="Times New Roman" w:hAnsi="Times New Roman" w:cs="Times New Roman"/>
        </w:rPr>
      </w:pPr>
    </w:p>
    <w:p w14:paraId="08160D95" w14:textId="258A3EFC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Artykuł R. 1271-8.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Odbiorcami danych z jednolitego rejestru krajowego oznakowanych rowerów, w granicach swoich uprawnień oraz wyłącznie w celach przewidzianych w art. L. 1271-3 kodeksu transportu, mogą być:</w:t>
      </w:r>
    </w:p>
    <w:p w14:paraId="5113BA29" w14:textId="4663351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– osoby, służby lub organizacje, które uczestniczą w znakowaniu rowerów;</w:t>
      </w:r>
    </w:p>
    <w:p w14:paraId="7CD99719" w14:textId="75CA640B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– służby policji, żandarmerii i służby celne;</w:t>
      </w:r>
    </w:p>
    <w:p w14:paraId="4286A2FA" w14:textId="51E1FFBD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– dyrektor administracji centralnej odpowiedzialny za transport i mobilność lub osoby przez niego delegowane;</w:t>
      </w:r>
    </w:p>
    <w:p w14:paraId="42272544" w14:textId="46E34FAA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– parkingi pojazdów odholowanych;</w:t>
      </w:r>
    </w:p>
    <w:p w14:paraId="72CD7060" w14:textId="1278D568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– funkcjonariusze straży miejskiej, straży leśnej, a także pracownicy służb miejskich oddelegowani do pracy w biurze rzeczy znalezionych przez burmistrzów w swoich gminach.</w:t>
      </w:r>
    </w:p>
    <w:p w14:paraId="4E5D0870" w14:textId="46EC27D0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Status roweru jest ogólnie dostępny na podstawie identyfikatora.</w:t>
      </w:r>
    </w:p>
    <w:p w14:paraId="62198A60" w14:textId="2671F58C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Dane znajdujące się w jednolitym rejestrze krajowym oznakowanych rowerów nie mogą być używane do celów handlowych, lecz można je wykorzystywać anonimowo do celów statystycznych.</w:t>
      </w:r>
    </w:p>
    <w:p w14:paraId="715F2850" w14:textId="493CC26B" w:rsidR="00CC17BA" w:rsidRPr="00043C42" w:rsidRDefault="00CC17BA" w:rsidP="00043C42">
      <w:pPr>
        <w:rPr>
          <w:rFonts w:ascii="Times New Roman" w:hAnsi="Times New Roman" w:cs="Times New Roman"/>
        </w:rPr>
      </w:pPr>
    </w:p>
    <w:p w14:paraId="58542816" w14:textId="132540AD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Artykuł R. 1271-9.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–</w:t>
      </w:r>
      <w:r>
        <w:rPr>
          <w:rFonts w:ascii="Times New Roman" w:hAnsi="Times New Roman"/>
        </w:rPr>
        <w:t xml:space="preserve"> W przypadku zmiany statusu roweru, w szczególności po kradzieży, zwrotu po kradzieży, złomowania lub demontażu, właściciel oznakowanego roweru ma obowiązek poinformować odpowiedni zatwierdzony podmiot odpowiedzialny za znakowanie rowerów.</w:t>
      </w:r>
    </w:p>
    <w:p w14:paraId="2F92C7D5" w14:textId="6A9A7CA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W przypadku zbycia oznakowanego rowery sprzedający, jeżeli nie jest sprzedawcą ani specjalistą przygotowującym rower do ponownego użycia lub wykorzystania, ma obowiązek zgłosić zmianę właściciela u odpowiedniego zatwierdzonego podmiotu odpowiedzialnego za znakowanie rowerów.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momencie zbycia przekazuje informacje niezbędne do dostępu do rejestru tego zatwierdzonego podmiotu, aby nabywca mógł zarejestrować dotyczące go dane.</w:t>
      </w:r>
    </w:p>
    <w:p w14:paraId="43ACC23F" w14:textId="68CA9382" w:rsidR="00CC17BA" w:rsidRPr="00043C42" w:rsidRDefault="00CC17BA" w:rsidP="00043C42">
      <w:pPr>
        <w:rPr>
          <w:rFonts w:ascii="Times New Roman" w:hAnsi="Times New Roman" w:cs="Times New Roman"/>
        </w:rPr>
      </w:pPr>
    </w:p>
    <w:p w14:paraId="4EB1D22C" w14:textId="7C3E235F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Artykuł R. 1271-10.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–</w:t>
      </w:r>
      <w:r>
        <w:rPr>
          <w:rFonts w:ascii="Times New Roman" w:hAnsi="Times New Roman"/>
        </w:rPr>
        <w:t xml:space="preserve"> Podmioty odpowiedzialne za znakowanie rowerów otrzymują zatwierdzenie od ministra właściwego do spraw transportu na podstawie opinii ministra właściwego do spraw wewnętrznych i zarządcy jednolitego rejestru krajowego oznakowanych rowerów, o którym mowa w art. R. 1271-12, na okres jednego roku z możliwością automatycznego przedłużenia przez okres 6 lat, jeżeli minister ten ustali, że podmioty gwarantują wypłacalność, kompetencję i wiarygodność, o których mowa we wspólnym rozporządzeniu ministrów właściwych do spraw transportu i spraw wewnętrznych.</w:t>
      </w:r>
    </w:p>
    <w:p w14:paraId="16D8BF20" w14:textId="0A2DB2DE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Jeżeli zatwierdzony operator nie przestrzega zasad wyznaczonych w rozporządzeniu, o którym mowa w ww. rozporządzeniu, lub jeżeli nie przestrzega wymogów określonych w art. R. 1271-5 i R. 1271-11, zatwierdzenie zostaje zawieszone na okres, który nie może przekraczać jednego roku, lub zostaje cofnięte.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Zainteresowany podmiot zostaje wcześniej powiadomiony o powodach i charakterze przewidywanych środków oraz uzyskuje możliwość przedstawienia uwag pisemnych, a w stosownym przypadku, na swój wniosek, uwag ustnych.</w:t>
      </w:r>
    </w:p>
    <w:p w14:paraId="1428D9A3" w14:textId="5566BCBA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W okresie zawieszenia podmiot przechowuje dane dotyczące oznakowanych rowerów i rejestruje przesłane wpisy lub zmiany.</w:t>
      </w:r>
    </w:p>
    <w:p w14:paraId="2F12EE9D" w14:textId="48341CF5" w:rsidR="00CC17BA" w:rsidRPr="00043C42" w:rsidRDefault="00CC17BA" w:rsidP="00043C42">
      <w:pPr>
        <w:rPr>
          <w:rFonts w:ascii="Times New Roman" w:hAnsi="Times New Roman" w:cs="Times New Roman"/>
        </w:rPr>
      </w:pPr>
    </w:p>
    <w:p w14:paraId="5F2C87A4" w14:textId="31B33DB6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Artykuł R. 1271-11.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Zatwierdzony podmiot odpowiedzialny za znakowanie rowerów posiada rozwiązanie techniczne, które musi być trwałe, którego nie można zmienić bez zniszczenia go i które jest umieszczane priorytetowo na ramie roweru.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Identyfikator musi być łatwy do odczytania na rowerze w czasie postoju i jest dostarczany wyłącznie przez zarządcę jednolitego rejestru krajowego oznakowanych rowerów, o którym mowa w art. R. 1271-12.</w:t>
      </w:r>
    </w:p>
    <w:p w14:paraId="4A5C8F32" w14:textId="4731928F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Proces techniczny używany do znakowania rowerów może być przedmiotem wymogów określonych w drodze rozporządzenia ministra właściwego do spraw transportu i spraw wewnętrznych.</w:t>
      </w:r>
    </w:p>
    <w:p w14:paraId="5A8F36B7" w14:textId="1CCF343F" w:rsidR="00CC17BA" w:rsidRPr="00043C42" w:rsidRDefault="00CC17BA" w:rsidP="00043C42">
      <w:pPr>
        <w:rPr>
          <w:rFonts w:ascii="Times New Roman" w:hAnsi="Times New Roman" w:cs="Times New Roman"/>
        </w:rPr>
      </w:pPr>
    </w:p>
    <w:p w14:paraId="5FC8D6A5" w14:textId="1F3FD279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i/>
          <w:rFonts w:ascii="Times New Roman" w:hAnsi="Times New Roman"/>
        </w:rPr>
        <w:t xml:space="preserve">Artykuł R. 1271-12.</w:t>
      </w: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– Zarządzanie jednolitym rejestrem krajowym oznakowanych rowerów powierza się organizacji spełniającej warunki kwalifikacji, doświadczenia i kompetencji technicznych niezbędnych do prowadzenia jednolitego rejestru krajowego oznakowanych rowerów zawierającego dane imienne w sposób wiarygodny i zabezpieczony.</w:t>
      </w: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Organizację wybiera się na podstawie znajomości branży rowerowej.</w:t>
      </w: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Organizacja jest odpowiedzialna za przetwarzanie jednolitego rejestru krajowego oznakowanych rowerów.</w:t>
      </w:r>
    </w:p>
    <w:p w14:paraId="36DF6B55" w14:textId="7AA1FB42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Minister odpowiedzialny za transport wyznacza organizację na okres sześciu lat.</w:t>
      </w: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Wyznaczenie podlega przedłużeniu.</w:t>
      </w:r>
    </w:p>
    <w:p w14:paraId="34256B3B" w14:textId="7AE7F268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Minister właściwy do spraw transportu może cofnąć decyzję o wyznaczeniu w dowolnym momencie:</w:t>
      </w:r>
    </w:p>
    <w:p w14:paraId="1A8F77A0" w14:textId="7C04348A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1. jeżeli wyznaczona organizacja przestaje spełniać kryteria, na podstawie których została wyznaczona;</w:t>
      </w:r>
    </w:p>
    <w:p w14:paraId="0CECE9A7" w14:textId="7E981892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2. jeżeli organizacja nie przestrzega wymogów określonych w art. R. 1271-13;</w:t>
      </w:r>
    </w:p>
    <w:p w14:paraId="77CC6BCE" w14:textId="387931A8" w:rsidR="00927B0A" w:rsidRPr="00043C42" w:rsidRDefault="00927B0A" w:rsidP="00043C42">
      <w:pPr>
        <w:spacing w:line="240" w:lineRule="auto"/>
        <w:rPr>
          <w:iCs/>
          <w:color w:val="000000"/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3. w razie poważnego lub powtarzającego się niewypełniania przez organizację jej obowiązków;</w:t>
      </w:r>
    </w:p>
    <w:p w14:paraId="7850AA41" w14:textId="7BEF06EA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4. z przyczyn związanych z interesem ogólnym.</w:t>
      </w:r>
    </w:p>
    <w:p w14:paraId="49A07985" w14:textId="5C4AC1E3" w:rsidR="00927B0A" w:rsidRPr="00043C42" w:rsidRDefault="00927B0A" w:rsidP="00043C42">
      <w:pPr>
        <w:spacing w:line="240" w:lineRule="auto"/>
        <w:rPr>
          <w:iCs/>
          <w:color w:val="000000"/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W pierwszym i drugim przypadku minister wysyła wcześniej wezwanie do usunięcia uchybienia i zastosowania się do wymogów w wyznaczonym przez niego terminie.</w:t>
      </w:r>
    </w:p>
    <w:p w14:paraId="15B269D4" w14:textId="77777777" w:rsidR="00CC17BA" w:rsidRPr="00043C42" w:rsidRDefault="00CC17BA" w:rsidP="00043C42">
      <w:pPr>
        <w:spacing w:line="240" w:lineRule="auto"/>
        <w:rPr>
          <w:rFonts w:ascii="Times New Roman" w:hAnsi="Times New Roman" w:cs="Times New Roman"/>
        </w:rPr>
      </w:pPr>
    </w:p>
    <w:p w14:paraId="660D5606" w14:textId="49E12492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Cs/>
          <w:color w:val="000000"/>
          <w:i/>
          <w:rFonts w:ascii="Times New Roman" w:hAnsi="Times New Roman"/>
        </w:rPr>
        <w:t xml:space="preserve">Artykuł R. 1271-13.</w:t>
      </w:r>
      <w:r>
        <w:rPr>
          <w:iCs/>
          <w:color w:val="000000"/>
          <w:i/>
          <w:rFonts w:ascii="Times New Roman" w:hAnsi="Times New Roman"/>
        </w:rPr>
        <w:t xml:space="preserve"> </w:t>
      </w:r>
      <w:r>
        <w:rPr>
          <w:iCs/>
          <w:color w:val="000000"/>
          <w:i/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Jeżeli zatwierdzony podmiot odpowiedzialny za znakowanie rowerów zakończy działalność lub jego zatwierdzenie zostanie cofnięte, zarządzanie danymi dotyczącymi rowerów oznakowanych przez ten podmiot przejmuje zarządca jednolitego rejestru krajowego oznakowanych rowerów.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Zarządca wykorzystuje wszystkie funkcje niezbędne do nadzorowania identyfikacji tych rowerów, w tym prawa dostępu do danych i ich korygowania przysługujące właścicielom oznakowanych rowerów.</w:t>
      </w:r>
    </w:p>
    <w:p w14:paraId="28AA1B8B" w14:textId="70B57C9E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Warunki dostępu do jednolitego rejestru krajowego oznakowanych rowerów przysługującego różnym odbiorcom określonym w art. R. 1271-8 mogą być zdefiniowane w drodze wspólnego rozporządzenia ministrów właściwych do spraw transportu i spraw wewnętrznych.</w:t>
      </w:r>
    </w:p>
    <w:p w14:paraId="2FE0EC35" w14:textId="77777777" w:rsidR="00CC17BA" w:rsidRPr="00043C42" w:rsidRDefault="00CC17BA" w:rsidP="00043C42">
      <w:pPr>
        <w:rPr>
          <w:rFonts w:ascii="Times New Roman" w:hAnsi="Times New Roman" w:cs="Times New Roman"/>
        </w:rPr>
      </w:pPr>
    </w:p>
    <w:p w14:paraId="1AF0A8B9" w14:textId="0A31D38F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Cs/>
          <w:color w:val="000000"/>
          <w:i/>
          <w:rFonts w:ascii="Times New Roman" w:hAnsi="Times New Roman"/>
        </w:rPr>
        <w:t xml:space="preserve">Artykuł R. 1271-14.</w:t>
      </w:r>
      <w:r>
        <w:rPr>
          <w:iCs/>
          <w:color w:val="000000"/>
          <w:i/>
          <w:rFonts w:ascii="Times New Roman" w:hAnsi="Times New Roman"/>
        </w:rPr>
        <w:t xml:space="preserve"> </w:t>
      </w:r>
      <w:r>
        <w:rPr>
          <w:iCs/>
          <w:color w:val="000000"/>
          <w:i/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Każdy specjalista, który prowadzi działalność polegającą na demontażu rowerów lub ich przygotowaniu do ponownego użycia lub ponownego wykorzystania, ma obowiązek zarejestrować się u zarządcy jednolitego rejestru krajowego oznakowanych rowerów, o którym mowa w art. </w:t>
      </w:r>
      <w:r>
        <w:rPr>
          <w:iCs/>
          <w:color w:val="000000"/>
          <w:rFonts w:ascii="Times New Roman" w:hAnsi="Times New Roman"/>
        </w:rPr>
        <w:t xml:space="preserve">R. 1271-12</w:t>
      </w:r>
      <w:r>
        <w:rPr>
          <w:rFonts w:ascii="Times New Roman" w:hAnsi="Times New Roman"/>
        </w:rPr>
        <w:t xml:space="preserve">.</w:t>
      </w:r>
    </w:p>
    <w:p w14:paraId="1D858997" w14:textId="645871AE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Zgodnie z art. L. 1271-4 kodeksu transportu, jeżeli oznakowany rower zostanie przekazany takiemu specjaliście, zwraca się on do zarządcy jednolitego rejestru krajowego oznakowanych rowerów, o którym mowa w art. </w:t>
      </w:r>
      <w:r>
        <w:rPr>
          <w:iCs/>
          <w:color w:val="000000"/>
          <w:rFonts w:ascii="Times New Roman" w:hAnsi="Times New Roman"/>
        </w:rPr>
        <w:t xml:space="preserve">R. 1271-12, który podejmuje niezbędne czynności we współpracy z zatwierdzonym podmiotem odpowiedzialnym za znakowanie rowerów w celu powiadomienia właściciela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</w:t>
      </w:r>
    </w:p>
    <w:p w14:paraId="26FC2B2A" w14:textId="26FEAB34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Jeżeli właściciel nie jest znany lub jeżeli w ciągu trzech miesięcy od uzyskania informacji nie udzielił odpowiedzi, zarządca jednolitego rejestru krajowego oznakowanych rowerów usuwa wszelkie dane osobowe powiązane z rowerem i podejmuje niezbędne czynności w celu usunięcia takich danych u odpowiedniego zatwierdzonego operatora odpowiedzialnego za znakowanie rowerów.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Zarządca przekazuje specjaliście informacje niezbędne do uzyskania dostępu do rejestru odpowiedniego zatwierdzonego podmiotu odpowiedzialnego za znakowanie rowerów.</w:t>
      </w:r>
    </w:p>
    <w:p w14:paraId="3310C4C6" w14:textId="3414E994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Jeżeli specjalista dokonuje zbycia oznakowanego roweru, spoczywają na nim obowiązki przewidziane w art. R. 1271-3.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Każde niedopełnienie obowiązku przekazania identyfikatora i statusu roweru przez specjalistę zatwierdzonemu podmiotowi podlega karze grzywny przewidzianej za wykroczenia pierwszego stopnia.</w:t>
      </w:r>
      <w:r>
        <w:rPr>
          <w:rFonts w:ascii="Times New Roman" w:hAnsi="Times New Roman"/>
        </w:rPr>
        <w:t xml:space="preserve"> </w:t>
      </w:r>
    </w:p>
    <w:p w14:paraId="0F49B294" w14:textId="77777777" w:rsidR="00146DE8" w:rsidRPr="00043C42" w:rsidRDefault="00146DE8" w:rsidP="00043C42">
      <w:pPr>
        <w:rPr>
          <w:rFonts w:ascii="Times New Roman" w:hAnsi="Times New Roman" w:cs="Times New Roman"/>
        </w:rPr>
      </w:pPr>
    </w:p>
    <w:p w14:paraId="33320881" w14:textId="4157202E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b/>
          <w:rFonts w:ascii="Times New Roman" w:hAnsi="Times New Roman"/>
        </w:rPr>
        <w:t xml:space="preserve">Artykuł 2</w:t>
      </w:r>
      <w:r>
        <w:rPr>
          <w:rFonts w:ascii="Times New Roman" w:hAnsi="Times New Roman"/>
        </w:rPr>
        <w:t xml:space="preserve"> – Wykonanie</w:t>
      </w:r>
    </w:p>
    <w:p w14:paraId="217D162E" w14:textId="59C9AE38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Minister Sprawiedliwości, Minister ds. Transformacji Ekologicznej i Solidarnej, Minister Spraw Wewnętrznych i Sekretarz Stanu przy Ministrze ds. Transformacji Ekologicznej i Solidarnej właściwy ds. transportu są odpowiedzialni, każdy w swoim zakresie, za wykonanie niniejszego dekretu, który zostanie opublikowany w </w:t>
      </w:r>
      <w:r>
        <w:rPr>
          <w:i/>
          <w:iCs/>
          <w:rFonts w:ascii="Times New Roman" w:hAnsi="Times New Roman"/>
        </w:rPr>
        <w:t xml:space="preserve">Dzienniku Urzędowym</w:t>
      </w:r>
      <w:r>
        <w:rPr>
          <w:rFonts w:ascii="Times New Roman" w:hAnsi="Times New Roman"/>
        </w:rPr>
        <w:t xml:space="preserve"> Republiki Francuskiej.</w:t>
      </w:r>
    </w:p>
    <w:p w14:paraId="56C8A9F7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Sporządzono dnia ...</w:t>
      </w:r>
      <w:r>
        <w:rPr>
          <w:sz w:val="24"/>
          <w:szCs w:val="24"/>
          <w:rFonts w:ascii="Times New Roman" w:hAnsi="Times New Roman"/>
        </w:rPr>
        <w:t xml:space="preserve"> </w:t>
      </w:r>
    </w:p>
    <w:p w14:paraId="122EB71B" w14:textId="77777777" w:rsidR="00043C42" w:rsidRDefault="00043C42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C88CF13" w14:textId="77777777" w:rsidR="00043C42" w:rsidRDefault="00927B0A" w:rsidP="00043C42">
      <w:pPr>
        <w:spacing w:before="100" w:beforeAutospacing="1" w:after="100" w:afterAutospacing="1" w:line="240" w:lineRule="auto"/>
        <w:jc w:val="left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Edouard Philippe</w:t>
      </w:r>
      <w:r>
        <w:rPr>
          <w:sz w:val="24"/>
          <w:szCs w:val="24"/>
          <w:rFonts w:ascii="Times New Roman" w:hAnsi="Times New Roman"/>
        </w:rPr>
        <w:t xml:space="preserve"> </w:t>
      </w:r>
    </w:p>
    <w:p w14:paraId="3E6F5138" w14:textId="5D5F75B4" w:rsidR="00043C42" w:rsidRDefault="00043C42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B2D5EF7" w14:textId="677CEBCF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Z upoważnienia Premiera:</w:t>
      </w:r>
    </w:p>
    <w:p w14:paraId="3DD988BC" w14:textId="32335953" w:rsidR="00043C42" w:rsidRDefault="00043C42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6A11BB2" w14:textId="4F8BB632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Minister Sprawiedliwości</w:t>
      </w:r>
      <w:r>
        <w:rPr>
          <w:rFonts w:ascii="Times New Roman" w:hAnsi="Times New Roman"/>
        </w:rPr>
        <w:t xml:space="preserve"> </w:t>
      </w:r>
    </w:p>
    <w:p w14:paraId="2DB06025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Nicole Belloubet</w:t>
      </w:r>
    </w:p>
    <w:p w14:paraId="6265352B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</w:p>
    <w:p w14:paraId="5FB5A8A2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Minister Transformacji Ekologicznej i Solidarnej</w:t>
      </w:r>
      <w:r>
        <w:rPr>
          <w:rFonts w:ascii="Times New Roman" w:hAnsi="Times New Roman"/>
        </w:rPr>
        <w:t xml:space="preserve"> </w:t>
      </w:r>
    </w:p>
    <w:p w14:paraId="57132BE9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Elisabeth Borne</w:t>
      </w:r>
    </w:p>
    <w:p w14:paraId="0FFBEB12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E75D9D8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Minister Spraw Wewnętrznych</w:t>
      </w:r>
    </w:p>
    <w:p w14:paraId="1A33182D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Christophe Castaner</w:t>
      </w:r>
    </w:p>
    <w:p w14:paraId="35332E9F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</w:p>
    <w:p w14:paraId="07904D0D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Sekretarz Stanu przy Minister ds. Transformacji Ekologicznej i Solidarnej, właściwy ds. transportu</w:t>
      </w:r>
      <w:r>
        <w:rPr>
          <w:rFonts w:ascii="Times New Roman" w:hAnsi="Times New Roman"/>
        </w:rPr>
        <w:t xml:space="preserve"> </w:t>
      </w:r>
    </w:p>
    <w:p w14:paraId="45E8A38B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i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Jean-Baptiste Djebbari</w:t>
      </w:r>
    </w:p>
    <w:sectPr w:rsidR="00927B0A" w:rsidRPr="00043C42" w:rsidSect="004632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14E7D" w14:textId="77777777" w:rsidR="00810B50" w:rsidRDefault="00810B50">
      <w:pPr>
        <w:spacing w:after="0" w:line="240" w:lineRule="auto"/>
      </w:pPr>
      <w:r>
        <w:separator/>
      </w:r>
    </w:p>
  </w:endnote>
  <w:endnote w:type="continuationSeparator" w:id="0">
    <w:p w14:paraId="6FA9C3AB" w14:textId="77777777" w:rsidR="00810B50" w:rsidRDefault="0081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EDB6" w14:textId="77777777" w:rsidR="00927B0A" w:rsidRDefault="00927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D943D" w14:textId="77777777" w:rsidR="00810B50" w:rsidRDefault="00810B50">
      <w:pPr>
        <w:spacing w:after="0" w:line="240" w:lineRule="auto"/>
      </w:pPr>
      <w:r>
        <w:separator/>
      </w:r>
    </w:p>
  </w:footnote>
  <w:footnote w:type="continuationSeparator" w:id="0">
    <w:p w14:paraId="67C39A6A" w14:textId="77777777" w:rsidR="00810B50" w:rsidRDefault="00810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06802" w14:textId="7220558C" w:rsidR="00927B0A" w:rsidRDefault="002E36D7">
    <w:pPr>
      <w:pStyle w:val="Head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5F223B26" wp14:editId="3F43FC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Forme libr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635000 w 21600"/>
                          <a:gd name="T3" fmla="*/ 0 h 21600"/>
                          <a:gd name="T4" fmla="*/ 0 w 21600"/>
                          <a:gd name="T5" fmla="*/ 635000 h 21600"/>
                          <a:gd name="T6" fmla="*/ 635000 w 21600"/>
                          <a:gd name="T7" fmla="*/ 635000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  <a:gd name="T12" fmla="*/ 3163 w 21600"/>
                          <a:gd name="T13" fmla="*/ 3163 h 21600"/>
                          <a:gd name="T14" fmla="*/ 18437 w 21600"/>
                          <a:gd name="T15" fmla="*/ 18437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CADED" id="Forme libre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" path="m,l21600,em,21600r21600,e">
              <v:stroke joinstyle="miter"/>
              <v:path o:connecttype="custom" o:connectlocs="0,0;18667824,0;0,18667824;18667824,18667824" o:connectangles="0,0,0,0" textboxrect="3163,3163,18437,18437"/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21A59"/>
    <w:multiLevelType w:val="hybridMultilevel"/>
    <w:tmpl w:val="5914E240"/>
    <w:lvl w:ilvl="0" w:tplc="F14206BA">
      <w:start w:val="5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dirty" w:grammar="dirty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86"/>
    <w:rsid w:val="00002ED8"/>
    <w:rsid w:val="00003867"/>
    <w:rsid w:val="00003980"/>
    <w:rsid w:val="0000785E"/>
    <w:rsid w:val="00022630"/>
    <w:rsid w:val="00036BB9"/>
    <w:rsid w:val="00040D1E"/>
    <w:rsid w:val="00043C42"/>
    <w:rsid w:val="00043E44"/>
    <w:rsid w:val="0004718A"/>
    <w:rsid w:val="00054531"/>
    <w:rsid w:val="00064B87"/>
    <w:rsid w:val="00077D99"/>
    <w:rsid w:val="00084CD2"/>
    <w:rsid w:val="00086AB3"/>
    <w:rsid w:val="00086EB4"/>
    <w:rsid w:val="00092D2A"/>
    <w:rsid w:val="000953B6"/>
    <w:rsid w:val="000A3C50"/>
    <w:rsid w:val="000A5DC2"/>
    <w:rsid w:val="000B7343"/>
    <w:rsid w:val="000C497E"/>
    <w:rsid w:val="000C4B7E"/>
    <w:rsid w:val="000C4D65"/>
    <w:rsid w:val="0010033B"/>
    <w:rsid w:val="001148CD"/>
    <w:rsid w:val="00114B3C"/>
    <w:rsid w:val="00115795"/>
    <w:rsid w:val="00120062"/>
    <w:rsid w:val="00120376"/>
    <w:rsid w:val="00127D6A"/>
    <w:rsid w:val="00130024"/>
    <w:rsid w:val="001304CA"/>
    <w:rsid w:val="00132FE8"/>
    <w:rsid w:val="00133E86"/>
    <w:rsid w:val="00137262"/>
    <w:rsid w:val="00140368"/>
    <w:rsid w:val="0014576E"/>
    <w:rsid w:val="00145CA6"/>
    <w:rsid w:val="00145D85"/>
    <w:rsid w:val="00146DE8"/>
    <w:rsid w:val="0015789B"/>
    <w:rsid w:val="00164B8C"/>
    <w:rsid w:val="00164EB0"/>
    <w:rsid w:val="00172050"/>
    <w:rsid w:val="0017689B"/>
    <w:rsid w:val="00180B01"/>
    <w:rsid w:val="00182FDC"/>
    <w:rsid w:val="00184CFA"/>
    <w:rsid w:val="001A39B5"/>
    <w:rsid w:val="001A45D9"/>
    <w:rsid w:val="001D70CF"/>
    <w:rsid w:val="001E1DE7"/>
    <w:rsid w:val="001E3338"/>
    <w:rsid w:val="001E5D81"/>
    <w:rsid w:val="001F0321"/>
    <w:rsid w:val="001F37F6"/>
    <w:rsid w:val="001F7C01"/>
    <w:rsid w:val="00205D91"/>
    <w:rsid w:val="00215379"/>
    <w:rsid w:val="00224BEF"/>
    <w:rsid w:val="00235F8F"/>
    <w:rsid w:val="00245AC4"/>
    <w:rsid w:val="00261B04"/>
    <w:rsid w:val="00267268"/>
    <w:rsid w:val="0027062B"/>
    <w:rsid w:val="00271A38"/>
    <w:rsid w:val="00276572"/>
    <w:rsid w:val="00282625"/>
    <w:rsid w:val="00286415"/>
    <w:rsid w:val="002A1D37"/>
    <w:rsid w:val="002A534B"/>
    <w:rsid w:val="002A5A1E"/>
    <w:rsid w:val="002B2528"/>
    <w:rsid w:val="002B57E3"/>
    <w:rsid w:val="002D26A9"/>
    <w:rsid w:val="002D74E8"/>
    <w:rsid w:val="002E36D7"/>
    <w:rsid w:val="002E737F"/>
    <w:rsid w:val="00300A44"/>
    <w:rsid w:val="00301DF0"/>
    <w:rsid w:val="00303A02"/>
    <w:rsid w:val="003043DC"/>
    <w:rsid w:val="00311BD1"/>
    <w:rsid w:val="0033313F"/>
    <w:rsid w:val="00337AB3"/>
    <w:rsid w:val="003524E1"/>
    <w:rsid w:val="00355945"/>
    <w:rsid w:val="0035761A"/>
    <w:rsid w:val="00364E91"/>
    <w:rsid w:val="0037758C"/>
    <w:rsid w:val="00390F5D"/>
    <w:rsid w:val="003944B0"/>
    <w:rsid w:val="003A11EC"/>
    <w:rsid w:val="003B19E1"/>
    <w:rsid w:val="003B23F0"/>
    <w:rsid w:val="003B27E3"/>
    <w:rsid w:val="003B2C6E"/>
    <w:rsid w:val="003B7E27"/>
    <w:rsid w:val="003C0D41"/>
    <w:rsid w:val="003C450E"/>
    <w:rsid w:val="003C4B27"/>
    <w:rsid w:val="003D3E3B"/>
    <w:rsid w:val="003E158D"/>
    <w:rsid w:val="003F606E"/>
    <w:rsid w:val="003F6DCC"/>
    <w:rsid w:val="003F749A"/>
    <w:rsid w:val="00400837"/>
    <w:rsid w:val="00401EA2"/>
    <w:rsid w:val="0042224E"/>
    <w:rsid w:val="00427423"/>
    <w:rsid w:val="0043231E"/>
    <w:rsid w:val="00433767"/>
    <w:rsid w:val="004457CC"/>
    <w:rsid w:val="00446D0D"/>
    <w:rsid w:val="00451B21"/>
    <w:rsid w:val="0045272B"/>
    <w:rsid w:val="004553C3"/>
    <w:rsid w:val="004632E4"/>
    <w:rsid w:val="00473E6E"/>
    <w:rsid w:val="00480245"/>
    <w:rsid w:val="00487565"/>
    <w:rsid w:val="004954CC"/>
    <w:rsid w:val="004B2481"/>
    <w:rsid w:val="004B370E"/>
    <w:rsid w:val="004D6C3B"/>
    <w:rsid w:val="00504917"/>
    <w:rsid w:val="005206BA"/>
    <w:rsid w:val="00523EC1"/>
    <w:rsid w:val="005251A7"/>
    <w:rsid w:val="00525350"/>
    <w:rsid w:val="00534CDD"/>
    <w:rsid w:val="00564F07"/>
    <w:rsid w:val="005652E0"/>
    <w:rsid w:val="005732EB"/>
    <w:rsid w:val="005821B8"/>
    <w:rsid w:val="00587B0C"/>
    <w:rsid w:val="005949BC"/>
    <w:rsid w:val="005A12B0"/>
    <w:rsid w:val="005A277E"/>
    <w:rsid w:val="005A5F72"/>
    <w:rsid w:val="005B34C7"/>
    <w:rsid w:val="005B53DC"/>
    <w:rsid w:val="005B6506"/>
    <w:rsid w:val="005D1239"/>
    <w:rsid w:val="005D6D47"/>
    <w:rsid w:val="005F5FEE"/>
    <w:rsid w:val="005F602F"/>
    <w:rsid w:val="005F7A43"/>
    <w:rsid w:val="0061113A"/>
    <w:rsid w:val="006116A5"/>
    <w:rsid w:val="00612F70"/>
    <w:rsid w:val="00615063"/>
    <w:rsid w:val="0062484B"/>
    <w:rsid w:val="00661B55"/>
    <w:rsid w:val="00670FBD"/>
    <w:rsid w:val="006861F7"/>
    <w:rsid w:val="006977A8"/>
    <w:rsid w:val="006B37FF"/>
    <w:rsid w:val="006C01A0"/>
    <w:rsid w:val="006D6CDB"/>
    <w:rsid w:val="006E1D67"/>
    <w:rsid w:val="006E6C15"/>
    <w:rsid w:val="007120B6"/>
    <w:rsid w:val="0071281E"/>
    <w:rsid w:val="0071488D"/>
    <w:rsid w:val="00725226"/>
    <w:rsid w:val="00730307"/>
    <w:rsid w:val="00740C34"/>
    <w:rsid w:val="007442D3"/>
    <w:rsid w:val="007516C3"/>
    <w:rsid w:val="00754169"/>
    <w:rsid w:val="0075689E"/>
    <w:rsid w:val="007645BB"/>
    <w:rsid w:val="00776DA3"/>
    <w:rsid w:val="007774B4"/>
    <w:rsid w:val="00785547"/>
    <w:rsid w:val="007861DE"/>
    <w:rsid w:val="0078761B"/>
    <w:rsid w:val="007A5D5B"/>
    <w:rsid w:val="007B1EAE"/>
    <w:rsid w:val="007B7F47"/>
    <w:rsid w:val="007C2C64"/>
    <w:rsid w:val="007C61A8"/>
    <w:rsid w:val="007D0AE1"/>
    <w:rsid w:val="007E099E"/>
    <w:rsid w:val="007E1105"/>
    <w:rsid w:val="007E6325"/>
    <w:rsid w:val="007E79EE"/>
    <w:rsid w:val="007F4325"/>
    <w:rsid w:val="00802F41"/>
    <w:rsid w:val="00810B50"/>
    <w:rsid w:val="00812375"/>
    <w:rsid w:val="00815496"/>
    <w:rsid w:val="00817D8D"/>
    <w:rsid w:val="00823CFA"/>
    <w:rsid w:val="00823FA9"/>
    <w:rsid w:val="00824A78"/>
    <w:rsid w:val="00826657"/>
    <w:rsid w:val="008302D2"/>
    <w:rsid w:val="00833D20"/>
    <w:rsid w:val="008366FF"/>
    <w:rsid w:val="008369AA"/>
    <w:rsid w:val="00846245"/>
    <w:rsid w:val="00851BAB"/>
    <w:rsid w:val="00852245"/>
    <w:rsid w:val="00854E3C"/>
    <w:rsid w:val="00857488"/>
    <w:rsid w:val="00860AD0"/>
    <w:rsid w:val="00882E10"/>
    <w:rsid w:val="008858FF"/>
    <w:rsid w:val="0088590B"/>
    <w:rsid w:val="008A5F2F"/>
    <w:rsid w:val="008B3028"/>
    <w:rsid w:val="008C2237"/>
    <w:rsid w:val="008D48E3"/>
    <w:rsid w:val="008D66CA"/>
    <w:rsid w:val="008E05F0"/>
    <w:rsid w:val="008E2190"/>
    <w:rsid w:val="008F4E1C"/>
    <w:rsid w:val="00902809"/>
    <w:rsid w:val="0090663B"/>
    <w:rsid w:val="00923436"/>
    <w:rsid w:val="0092723B"/>
    <w:rsid w:val="00927B0A"/>
    <w:rsid w:val="00927F0F"/>
    <w:rsid w:val="00931B30"/>
    <w:rsid w:val="00941E6B"/>
    <w:rsid w:val="00945101"/>
    <w:rsid w:val="009458B4"/>
    <w:rsid w:val="0095247A"/>
    <w:rsid w:val="009632AA"/>
    <w:rsid w:val="009653C6"/>
    <w:rsid w:val="00973A85"/>
    <w:rsid w:val="00982D98"/>
    <w:rsid w:val="00992ADB"/>
    <w:rsid w:val="0099384D"/>
    <w:rsid w:val="009A22C9"/>
    <w:rsid w:val="009B2783"/>
    <w:rsid w:val="009B2A08"/>
    <w:rsid w:val="009B4EA0"/>
    <w:rsid w:val="009B6D5C"/>
    <w:rsid w:val="009B7C25"/>
    <w:rsid w:val="009C08DD"/>
    <w:rsid w:val="009D6E9D"/>
    <w:rsid w:val="009E0CBF"/>
    <w:rsid w:val="009E1276"/>
    <w:rsid w:val="009E7670"/>
    <w:rsid w:val="009F1E52"/>
    <w:rsid w:val="009F48F1"/>
    <w:rsid w:val="009F6E52"/>
    <w:rsid w:val="00A00D50"/>
    <w:rsid w:val="00A13F80"/>
    <w:rsid w:val="00A21914"/>
    <w:rsid w:val="00A32277"/>
    <w:rsid w:val="00A324CF"/>
    <w:rsid w:val="00A37D6D"/>
    <w:rsid w:val="00A43CFB"/>
    <w:rsid w:val="00A57C3A"/>
    <w:rsid w:val="00A6152B"/>
    <w:rsid w:val="00A70B55"/>
    <w:rsid w:val="00A77346"/>
    <w:rsid w:val="00A85ADF"/>
    <w:rsid w:val="00A93C4C"/>
    <w:rsid w:val="00A97D8D"/>
    <w:rsid w:val="00AB48CC"/>
    <w:rsid w:val="00AB4FAE"/>
    <w:rsid w:val="00AC1656"/>
    <w:rsid w:val="00AC2F40"/>
    <w:rsid w:val="00AD0464"/>
    <w:rsid w:val="00AF2957"/>
    <w:rsid w:val="00B04659"/>
    <w:rsid w:val="00B04870"/>
    <w:rsid w:val="00B2715B"/>
    <w:rsid w:val="00B328F4"/>
    <w:rsid w:val="00B32AEB"/>
    <w:rsid w:val="00B52236"/>
    <w:rsid w:val="00B54622"/>
    <w:rsid w:val="00B61A60"/>
    <w:rsid w:val="00B65E0F"/>
    <w:rsid w:val="00B8646F"/>
    <w:rsid w:val="00B8724F"/>
    <w:rsid w:val="00B906F9"/>
    <w:rsid w:val="00B961C1"/>
    <w:rsid w:val="00B96DA8"/>
    <w:rsid w:val="00BA1F15"/>
    <w:rsid w:val="00BA3FCE"/>
    <w:rsid w:val="00BB1F48"/>
    <w:rsid w:val="00BD1A55"/>
    <w:rsid w:val="00BF49C3"/>
    <w:rsid w:val="00BF61E9"/>
    <w:rsid w:val="00C0369E"/>
    <w:rsid w:val="00C200E6"/>
    <w:rsid w:val="00C226BE"/>
    <w:rsid w:val="00C24441"/>
    <w:rsid w:val="00C423C8"/>
    <w:rsid w:val="00C57105"/>
    <w:rsid w:val="00C7772C"/>
    <w:rsid w:val="00CA6CD3"/>
    <w:rsid w:val="00CB237B"/>
    <w:rsid w:val="00CB32FD"/>
    <w:rsid w:val="00CC17BA"/>
    <w:rsid w:val="00CD125E"/>
    <w:rsid w:val="00CF6BED"/>
    <w:rsid w:val="00CF6D73"/>
    <w:rsid w:val="00D007DF"/>
    <w:rsid w:val="00D02AA7"/>
    <w:rsid w:val="00D15805"/>
    <w:rsid w:val="00D22537"/>
    <w:rsid w:val="00D60180"/>
    <w:rsid w:val="00D67113"/>
    <w:rsid w:val="00D939ED"/>
    <w:rsid w:val="00DA22BE"/>
    <w:rsid w:val="00DA755E"/>
    <w:rsid w:val="00DB3C81"/>
    <w:rsid w:val="00DC02D8"/>
    <w:rsid w:val="00DD33A9"/>
    <w:rsid w:val="00DD4BAA"/>
    <w:rsid w:val="00DE041A"/>
    <w:rsid w:val="00DF14EB"/>
    <w:rsid w:val="00DF62F2"/>
    <w:rsid w:val="00E006A9"/>
    <w:rsid w:val="00E00FC9"/>
    <w:rsid w:val="00E01E5B"/>
    <w:rsid w:val="00E0693A"/>
    <w:rsid w:val="00E163B6"/>
    <w:rsid w:val="00E35876"/>
    <w:rsid w:val="00E4016C"/>
    <w:rsid w:val="00E4062B"/>
    <w:rsid w:val="00E567D6"/>
    <w:rsid w:val="00E708D5"/>
    <w:rsid w:val="00E710DD"/>
    <w:rsid w:val="00E720D5"/>
    <w:rsid w:val="00E7447A"/>
    <w:rsid w:val="00E8681F"/>
    <w:rsid w:val="00EA3243"/>
    <w:rsid w:val="00EA7250"/>
    <w:rsid w:val="00EC10D8"/>
    <w:rsid w:val="00ED2AC1"/>
    <w:rsid w:val="00F015E2"/>
    <w:rsid w:val="00F04F47"/>
    <w:rsid w:val="00F13F0F"/>
    <w:rsid w:val="00F27415"/>
    <w:rsid w:val="00F33F43"/>
    <w:rsid w:val="00F34B59"/>
    <w:rsid w:val="00F37861"/>
    <w:rsid w:val="00F52270"/>
    <w:rsid w:val="00F52774"/>
    <w:rsid w:val="00F66450"/>
    <w:rsid w:val="00F66E27"/>
    <w:rsid w:val="00F81673"/>
    <w:rsid w:val="00F96797"/>
    <w:rsid w:val="00FA0D1A"/>
    <w:rsid w:val="00FB2517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1DB22E9C"/>
  <w15:docId w15:val="{BE41C0F1-F86D-43B7-BAF5-DCB78681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B"/>
    <w:pPr>
      <w:spacing w:after="160" w:line="259" w:lineRule="auto"/>
      <w:jc w:val="both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4E1C"/>
    <w:pPr>
      <w:keepNext/>
      <w:keepLines/>
      <w:spacing w:before="240" w:after="0"/>
      <w:jc w:val="center"/>
      <w:outlineLvl w:val="0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20D5"/>
    <w:pPr>
      <w:keepNext/>
      <w:keepLines/>
      <w:spacing w:before="40" w:after="0"/>
      <w:outlineLvl w:val="2"/>
    </w:pPr>
    <w:rPr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4E1C"/>
    <w:rPr>
      <w:rFonts w:ascii="Calibri Light" w:eastAsia="Times New Roman" w:hAnsi="Calibri Light" w:cs="Calibri Light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720D5"/>
    <w:rPr>
      <w:rFonts w:ascii="Calibri Light" w:eastAsia="Times New Roman" w:hAnsi="Calibri Light" w:cs="Calibri Light"/>
      <w:color w:val="1F4D78"/>
      <w:sz w:val="24"/>
      <w:szCs w:val="24"/>
    </w:rPr>
  </w:style>
  <w:style w:type="character" w:customStyle="1" w:styleId="En-tteCar">
    <w:name w:val="En-tête Car"/>
    <w:basedOn w:val="DefaultParagraphFont"/>
    <w:uiPriority w:val="99"/>
    <w:rsid w:val="00390F5D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0F5D"/>
    <w:rPr>
      <w:rFonts w:cs="Times New Roman"/>
    </w:rPr>
  </w:style>
  <w:style w:type="character" w:customStyle="1" w:styleId="LienInternet">
    <w:name w:val="Lien Internet"/>
    <w:basedOn w:val="DefaultParagraphFont"/>
    <w:uiPriority w:val="99"/>
    <w:semiHidden/>
    <w:rsid w:val="003F749A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3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qFormat/>
    <w:rsid w:val="00040D1E"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040D1E"/>
    <w:rPr>
      <w:rFonts w:ascii="Calibri Light" w:hAnsi="Calibri Light" w:cs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0D1E"/>
    <w:rPr>
      <w:rFonts w:ascii="Calibri Light" w:hAnsi="Calibri Light" w:cs="Calibri Light"/>
      <w:b/>
      <w:bCs/>
      <w:sz w:val="20"/>
      <w:szCs w:val="20"/>
    </w:rPr>
  </w:style>
  <w:style w:type="paragraph" w:styleId="Title">
    <w:name w:val="Title"/>
    <w:basedOn w:val="Normal"/>
    <w:next w:val="BodyText"/>
    <w:link w:val="TitleChar"/>
    <w:uiPriority w:val="99"/>
    <w:qFormat/>
    <w:rsid w:val="004632E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A0F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632E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0F67"/>
    <w:rPr>
      <w:rFonts w:ascii="Calibri Light" w:hAnsi="Calibri Light" w:cs="Calibri Light"/>
    </w:rPr>
  </w:style>
  <w:style w:type="paragraph" w:styleId="List">
    <w:name w:val="List"/>
    <w:basedOn w:val="BodyText"/>
    <w:uiPriority w:val="99"/>
    <w:rsid w:val="004632E4"/>
    <w:rPr>
      <w:rFonts w:cs="Lucida Sans"/>
    </w:rPr>
  </w:style>
  <w:style w:type="paragraph" w:styleId="Caption">
    <w:name w:val="caption"/>
    <w:basedOn w:val="Normal"/>
    <w:uiPriority w:val="99"/>
    <w:qFormat/>
    <w:rsid w:val="004632E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632E4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5A5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9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F67"/>
    <w:rPr>
      <w:rFonts w:ascii="Calibri Light" w:hAnsi="Calibri Light" w:cs="Calibri Light"/>
    </w:rPr>
  </w:style>
  <w:style w:type="paragraph" w:styleId="Footer">
    <w:name w:val="footer"/>
    <w:basedOn w:val="Normal"/>
    <w:link w:val="FooterChar"/>
    <w:uiPriority w:val="99"/>
    <w:rsid w:val="0039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8A0F67"/>
    <w:rPr>
      <w:rFonts w:ascii="Calibri Light" w:hAnsi="Calibri Light" w:cs="Calibri Light"/>
    </w:rPr>
  </w:style>
  <w:style w:type="paragraph" w:customStyle="1" w:styleId="Textbody">
    <w:name w:val="Text body"/>
    <w:basedOn w:val="Normal"/>
    <w:uiPriority w:val="99"/>
    <w:rsid w:val="00DE041A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3B23F0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rsid w:val="003F749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0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8A0F67"/>
    <w:rPr>
      <w:rFonts w:ascii="Times New Roman" w:hAnsi="Times New Roman" w:cs="Calibri Light"/>
      <w:sz w:val="0"/>
      <w:szCs w:val="0"/>
    </w:rPr>
  </w:style>
  <w:style w:type="paragraph" w:styleId="Revision">
    <w:name w:val="Revision"/>
    <w:uiPriority w:val="99"/>
    <w:semiHidden/>
    <w:rsid w:val="0010033B"/>
  </w:style>
  <w:style w:type="paragraph" w:styleId="CommentText">
    <w:name w:val="annotation text"/>
    <w:basedOn w:val="Normal"/>
    <w:link w:val="CommentTextChar"/>
    <w:uiPriority w:val="99"/>
    <w:semiHidden/>
    <w:qFormat/>
    <w:rsid w:val="00040D1E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A0F67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rsid w:val="00040D1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8A0F67"/>
    <w:rPr>
      <w:rFonts w:ascii="Calibri Light" w:hAnsi="Calibri Light" w:cs="Calibri Light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824A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120062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NREPUBLIQUE">
    <w:name w:val="SNREPUBLIQUE"/>
    <w:basedOn w:val="Normal"/>
    <w:uiPriority w:val="99"/>
    <w:rsid w:val="00077D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NTimbreCar">
    <w:name w:val="SNTimbre Car"/>
    <w:link w:val="SNTimbre"/>
    <w:uiPriority w:val="99"/>
    <w:locked/>
    <w:rsid w:val="00077D99"/>
    <w:rPr>
      <w:rFonts w:ascii="Times New Roman" w:eastAsia="Times New Roman" w:hAnsi="Times New Roman"/>
      <w:sz w:val="24"/>
    </w:rPr>
  </w:style>
  <w:style w:type="paragraph" w:customStyle="1" w:styleId="SNTimbre">
    <w:name w:val="SNTimbre"/>
    <w:basedOn w:val="Normal"/>
    <w:link w:val="SNTimbreCar"/>
    <w:autoRedefine/>
    <w:uiPriority w:val="99"/>
    <w:rsid w:val="00077D99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NNature">
    <w:name w:val="SNNature"/>
    <w:basedOn w:val="Normal"/>
    <w:next w:val="Normal"/>
    <w:autoRedefine/>
    <w:uiPriority w:val="99"/>
    <w:rsid w:val="00077D99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NNORCentr">
    <w:name w:val="SNNOR+Centré"/>
    <w:next w:val="Normal"/>
    <w:uiPriority w:val="99"/>
    <w:rsid w:val="00077D99"/>
    <w:pPr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SNActe">
    <w:name w:val="SNActe"/>
    <w:basedOn w:val="Normal"/>
    <w:autoRedefine/>
    <w:uiPriority w:val="99"/>
    <w:rsid w:val="005F7A43"/>
    <w:pPr>
      <w:spacing w:before="48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uiPriority w:val="22"/>
    <w:qFormat/>
    <w:locked/>
    <w:rsid w:val="007B7F4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6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6D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2390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MDLJ</Company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CREST Thierry</dc:creator>
  <cp:lastModifiedBy>Diana STOICA</cp:lastModifiedBy>
  <cp:revision>3</cp:revision>
  <cp:lastPrinted>2020-03-05T13:34:00Z</cp:lastPrinted>
  <dcterms:created xsi:type="dcterms:W3CDTF">2020-03-30T14:14:00Z</dcterms:created>
  <dcterms:modified xsi:type="dcterms:W3CDTF">2020-04-01T09:58:00Z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