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1248" w14:textId="77777777" w:rsidR="00E504C2" w:rsidRPr="00E504C2" w:rsidRDefault="00E504C2" w:rsidP="00E504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Rozporządzenie z dnia 30 grudnia 2021 r. do artykułu R. 5132-86 kodeksu zdrowia publicznego</w:t>
      </w:r>
    </w:p>
    <w:p w14:paraId="6D983689" w14:textId="77777777" w:rsidR="00E504C2" w:rsidRPr="00E504C2" w:rsidRDefault="00E504C2" w:rsidP="00E5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SSAP2139161A</w:t>
      </w:r>
      <w:r>
        <w:rPr>
          <w:rFonts w:ascii="Times New Roman" w:hAnsi="Times New Roman"/>
          <w:sz w:val="24"/>
        </w:rPr>
        <w:br/>
        <w:t>ELI: https://www.legifrance.gouv.fr/eli/arrete/2021/12/30/SSAP2139161A/jo/texte</w:t>
      </w:r>
      <w:r>
        <w:rPr>
          <w:rFonts w:ascii="Times New Roman" w:hAnsi="Times New Roman"/>
          <w:sz w:val="24"/>
        </w:rPr>
        <w:br/>
        <w:t>Dz.U. RF nr 0304 z dnia 31 grudnia 2021 r.</w:t>
      </w:r>
      <w:r>
        <w:rPr>
          <w:rFonts w:ascii="Times New Roman" w:hAnsi="Times New Roman"/>
          <w:sz w:val="24"/>
        </w:rPr>
        <w:br/>
        <w:t>Tekst nr 110</w:t>
      </w:r>
    </w:p>
    <w:p w14:paraId="03711292" w14:textId="77777777" w:rsidR="00E504C2" w:rsidRPr="00E504C2" w:rsidRDefault="00E504C2" w:rsidP="00E5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Załącznik</w:t>
      </w:r>
    </w:p>
    <w:p w14:paraId="23E214A0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solidarności i zdrowia, minister rolnictwa i gospodarki żywnościowej, minister delegowany przy ministrze gospodarki, finansów i odbudowy, odpowiedzialny za rachunkowość publiczną oraz minister delegowany przy ministrze gospodarki, finansów i odbudowy, odpowiedzialny za przemysł,</w:t>
      </w:r>
      <w:r>
        <w:rPr>
          <w:rFonts w:ascii="Times New Roman" w:hAnsi="Times New Roman"/>
          <w:sz w:val="24"/>
        </w:rPr>
        <w:br/>
        <w:t>Uwzględniając rozporządzenie (WE) nr 178/2002 Parlamentu Europejskiego i Rady z dnia 28 stycznia 2002 r. ustanawiające ogólne zasady i wymagania prawa żywnościowego, powołujące Europejski Urząd ds. Bezpieczeństwa Żywności oraz ustanawiające procedury w zakresie bezpieczeństwa żywności, w szczególności jego art. 14 i 15;</w:t>
      </w:r>
      <w:r>
        <w:rPr>
          <w:rFonts w:ascii="Times New Roman" w:hAnsi="Times New Roman"/>
          <w:sz w:val="24"/>
        </w:rPr>
        <w:br/>
        <w:t>Uwzględniając rozporządzenie Parlamentu Europejskiego i Rady (WE) nr 767/2009 z dnia 13 lipca 2009 r. w sprawie wprowadzania na rynek i stosowania pasz, zmieniające rozporządzenie (WE) nr 1831/2003 Parlamentu Europejskiego i Rady i uchylające dyrektywę Rady 79/373/EWG, dyrektywę Komisji 80/511/EWG, dyrektywy Rady 82/471/EWG, 83/228/EWG, 93/74/EWG, 93/113/WE i 96/25/WE oraz decyzję Komisji 2004/217/WE, w szczególności jego art. 4;</w:t>
      </w:r>
      <w:r>
        <w:rPr>
          <w:rFonts w:ascii="Times New Roman" w:hAnsi="Times New Roman"/>
          <w:sz w:val="24"/>
        </w:rPr>
        <w:br/>
        <w:t>Uwzględniając rozporządzenie Parlamentu Europejskiego i Rady (UE) 2015/2283 z dnia 25 listopada 2015 r. w sprawie nowej żywności, zmieniające rozporządzenie Parlamentu Europejskiego i Rady (UE) nr 1169/2011 oraz uchylające rozporządzenie (WE) nr 258/97 Parlamentu Europejskiego i Rady oraz rozporządzenie Komisji (WE) nr 1852/2001;</w:t>
      </w:r>
      <w:r>
        <w:rPr>
          <w:rFonts w:ascii="Times New Roman" w:hAnsi="Times New Roman"/>
          <w:sz w:val="24"/>
        </w:rPr>
        <w:br/>
        <w:t>Uwzględniając dyrektywę Rady 2002/53/WE z dnia 13 czerwca 2002 r. w sprawie Wspólnego katalogu odmian gatunków roślin rolniczych;</w:t>
      </w:r>
      <w:r>
        <w:rPr>
          <w:rFonts w:ascii="Times New Roman" w:hAnsi="Times New Roman"/>
          <w:sz w:val="24"/>
        </w:rPr>
        <w:br/>
        <w:t>Uwzględniając dyrektywę (UE) 2015/1535 Parlamentu Europejskiego i Rady z dnia 9 września 2015 r. ustanawiającą procedurę udzielania informacji w dziedzinie przepisów technicznych oraz zasad dotyczących usług społeczeństwa informacyjnego, w szczególności powiadomienie nr 2021/481/F;</w:t>
      </w:r>
      <w:r>
        <w:rPr>
          <w:rFonts w:ascii="Times New Roman" w:hAnsi="Times New Roman"/>
          <w:sz w:val="24"/>
        </w:rPr>
        <w:br/>
        <w:t>Uwzględniając francuski kodeks zdrowia publicznego, w szczególności jego art. L. 5132-8 i R. 5132-86;</w:t>
      </w:r>
      <w:r>
        <w:rPr>
          <w:rFonts w:ascii="Times New Roman" w:hAnsi="Times New Roman"/>
          <w:sz w:val="24"/>
        </w:rPr>
        <w:br/>
        <w:t>Uwzględniając dekret nr 81-605 z dnia 18 maja 1981 r. ze zmianami, przyjęty dla wykonania ustawy z dnia 1 sierpnia 1905 r. o zapobieganiu oszustwom związanym z handlem nasionami i roślinami;</w:t>
      </w:r>
      <w:r>
        <w:rPr>
          <w:rFonts w:ascii="Times New Roman" w:hAnsi="Times New Roman"/>
          <w:sz w:val="24"/>
        </w:rPr>
        <w:br/>
        <w:t>Na wniosek Dyrektora Generalnego Narodowej Agencji Bezpieczeństwa Leków i Produktów Zdrowotnych z dnia 22 grudnia 2021 r., niniejszym rozporządzają, co następuje:</w:t>
      </w:r>
    </w:p>
    <w:p w14:paraId="333E10B2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1</w:t>
      </w:r>
    </w:p>
    <w:p w14:paraId="6F135CF2" w14:textId="193D4702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I.</w:t>
      </w:r>
      <w:r w:rsidR="00967BF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Zgodnie z art. R. 5132-86 kodeksu zdrowia publicznego zezwala się na uprawę, import, eksport oraz wykorzystywanie w przemyśle i handlu wyłącznie odmian Cannabis sativa L. o zawartości delta-9-tetrahydrokannabinolu nieprzekraczającej 0,30 % </w:t>
      </w:r>
      <w:r>
        <w:rPr>
          <w:rFonts w:ascii="Times New Roman" w:hAnsi="Times New Roman"/>
          <w:sz w:val="24"/>
        </w:rPr>
        <w:lastRenderedPageBreak/>
        <w:t>i wymienionych we Wspólnym katalogu odmian gatunków roślin rolniczych lub w Urzędowym katalogu gatunków i odmian roślin uprawianych we Francji. Oznaczanie zawartości delta-9-tetrahydrokanabinolu w wyżej wymienionych odmianach oraz pobieranie próbek do tego oznaczenia przeprowadza się zgodnie z metodą ustanowioną w Załączniku;</w:t>
      </w:r>
      <w:r>
        <w:rPr>
          <w:rFonts w:ascii="Times New Roman" w:hAnsi="Times New Roman"/>
          <w:sz w:val="24"/>
        </w:rPr>
        <w:br/>
        <w:t>Kwiaty i liście są produkowane z roślin wyhodowanych z kwalifikowanego materiału siewnego. Sprzedaż sadzonek i rozmnażanie przez sadzonkowanie są zabronione.</w:t>
      </w:r>
      <w:r>
        <w:rPr>
          <w:rFonts w:ascii="Times New Roman" w:hAnsi="Times New Roman"/>
          <w:sz w:val="24"/>
        </w:rPr>
        <w:br/>
        <w:t>Uprawą kwiatów i liści konopi mogą zajmować się wyłącznie rolnicy czynni zawodowo w rozumieniu obowiązujących przepisów europejskich i krajowych.</w:t>
      </w:r>
      <w:r>
        <w:rPr>
          <w:rFonts w:ascii="Times New Roman" w:hAnsi="Times New Roman"/>
          <w:sz w:val="24"/>
        </w:rPr>
        <w:br/>
        <w:t>II.</w:t>
      </w:r>
      <w:r w:rsidR="00967BF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Kwiaty i liście odmian wymienionych w punkcie i mogą być zbierane, przywożone lub wykorzystywane wyłącznie do przemysłowej produkcji ekstraktów konopnych. W szczególności zakazuje się sprzedaży konsumentom kwiatów lub surowych liści w jakiejkolwiek formie, pojedynczych lub zmieszanych z innymi składnikami, posiadania ich przez konsumentów oraz ich spożywania.</w:t>
      </w:r>
      <w:r>
        <w:rPr>
          <w:rFonts w:ascii="Times New Roman" w:hAnsi="Times New Roman"/>
          <w:sz w:val="24"/>
        </w:rPr>
        <w:br/>
        <w:t>Zakup kwiatów i liści konopi wyprodukowanych na terytorium Francji jest przedmiotem pisemnej umowy między producentem a nabywcą. Umowa zawiera informacje na temat ilości i ceny produktów. Umowa może zawierać informacje na temat oczekiwanej jakości produktów. Umowa zostaje zawarta przed rozpoczęciem roku produkcyjnego.</w:t>
      </w:r>
      <w:r>
        <w:rPr>
          <w:rFonts w:ascii="Times New Roman" w:hAnsi="Times New Roman"/>
          <w:sz w:val="24"/>
        </w:rPr>
        <w:br/>
        <w:t>III.</w:t>
      </w:r>
      <w:r w:rsidR="00967BF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Zawartość delta-9-tetrahydrokanabinolu w ekstraktach konopi, jak również w produktach je zawierających, nie przekracza 0,30 %, bez uszczerbku dla przepisów art. 14 i 15 rozporządzenia (WE) nr 178/2002 oraz art. 4 rozporządzenia (WE) nr 767/2009.</w:t>
      </w:r>
    </w:p>
    <w:p w14:paraId="54E1996A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2</w:t>
      </w:r>
    </w:p>
    <w:p w14:paraId="6DC747C1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Produkty otrzymane z konopi, o których mowa w art. 1, mogą być przywożone z krajów spoza Unii Europejskiej lub wywożone poza Unię Europejską wyłącznie wtedy, gdy towarzyszą im dokumenty poświadczające ich zgodność z niniejszym rozporządzeniem.</w:t>
      </w:r>
    </w:p>
    <w:p w14:paraId="1118A590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3</w:t>
      </w:r>
    </w:p>
    <w:p w14:paraId="79942EE5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Rozporządzenie z dnia 22 sierpnia 1990 r. w sprawie wykonywania art. R. 5132-86 kodeksu zdrowia publicznego dotyczącego konopi traci moc.</w:t>
      </w:r>
    </w:p>
    <w:p w14:paraId="44D80020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4</w:t>
      </w:r>
    </w:p>
    <w:p w14:paraId="2D89AC0F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Dyrektor generalny ds. zdrowia, dyrektor generalny ds. żywności i dyrektor generalny ds. przedsiębiorstw oraz dyrektor generalny ds. ceł i akcyzy są odpowiedzialni za wykonanie niniejszego rozporządzenia, które zostanie opublikowane w Dzienniku Urzędowym Republiki Francuskiej.</w:t>
      </w:r>
    </w:p>
    <w:p w14:paraId="159A8C86" w14:textId="77777777" w:rsidR="00E504C2" w:rsidRPr="00E504C2" w:rsidRDefault="00E504C2" w:rsidP="00E504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Załącznik</w:t>
      </w:r>
    </w:p>
    <w:p w14:paraId="650DB8AF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</w:t>
      </w:r>
    </w:p>
    <w:p w14:paraId="5A7300C4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ZAŁĄCZNIK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METODA ILOŚCIOWEGO OZNACZANIA DELTA-9-TETRAHYDROKANABINOLU (9-THC) W ODMIANACH KONOPI</w:t>
      </w:r>
    </w:p>
    <w:p w14:paraId="08F14E53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1. Przedmiot i zakres zastosowania</w:t>
      </w:r>
      <w:r>
        <w:rPr>
          <w:rFonts w:ascii="Times New Roman" w:hAnsi="Times New Roman"/>
          <w:sz w:val="24"/>
        </w:rPr>
        <w:br/>
        <w:t>Metodę tę stosuje się do oznaczania zawartości delta-9-tetrahydrokanabinolu (9-THC) w Cannabis sativa L.</w:t>
      </w:r>
      <w:r>
        <w:rPr>
          <w:rFonts w:ascii="Times New Roman" w:hAnsi="Times New Roman"/>
          <w:sz w:val="24"/>
        </w:rPr>
        <w:br/>
        <w:t>W zależności od przypadku stosuje się ją zgodnie z procedurą a lub procedurą B, które opisano poniżej. Metoda ta oparta jest na ilościowym oznaczaniu 9-THC metodą chromatografii gazowej (GC) po ekstrakcji za pomocą rozpuszczalnika.</w:t>
      </w:r>
      <w:r>
        <w:rPr>
          <w:rFonts w:ascii="Times New Roman" w:hAnsi="Times New Roman"/>
          <w:sz w:val="24"/>
        </w:rPr>
        <w:br/>
        <w:t>1.1. Procedura A</w:t>
      </w:r>
      <w:r>
        <w:rPr>
          <w:rFonts w:ascii="Times New Roman" w:hAnsi="Times New Roman"/>
          <w:sz w:val="24"/>
        </w:rPr>
        <w:br/>
        <w:t>Procedura a jest stosowana do celów kontroli odmian, o których mowa w art. 1 rozporządzenia nr xxx w sprawie wykonania art. R. 5181 kodeksu zdrowia publicznego dla konopi.</w:t>
      </w:r>
      <w:r>
        <w:rPr>
          <w:rFonts w:ascii="Times New Roman" w:hAnsi="Times New Roman"/>
          <w:sz w:val="24"/>
        </w:rPr>
        <w:br/>
        <w:t>Jeżeli wyniki wskazują, że w przypadku znacznej liczby próbek danej odmiany zawartość 9-THC jest wyższa niż zawartość dozwolona w art. 1 wyżej wymienionego rozporządzenia, można zastosować procedurę B.</w:t>
      </w:r>
      <w:r>
        <w:rPr>
          <w:rFonts w:ascii="Times New Roman" w:hAnsi="Times New Roman"/>
          <w:sz w:val="24"/>
        </w:rPr>
        <w:br/>
        <w:t>1.2. Procedura B</w:t>
      </w:r>
      <w:r>
        <w:rPr>
          <w:rFonts w:ascii="Times New Roman" w:hAnsi="Times New Roman"/>
          <w:sz w:val="24"/>
        </w:rPr>
        <w:br/>
        <w:t>Procedurę B stosuje się w przypadkach, o których mowa w pkt 1.1 akapit drugi.</w:t>
      </w:r>
      <w:r>
        <w:rPr>
          <w:rFonts w:ascii="Times New Roman" w:hAnsi="Times New Roman"/>
          <w:sz w:val="24"/>
        </w:rPr>
        <w:br/>
        <w:t>2. Pobieranie próbek</w:t>
      </w:r>
      <w:r>
        <w:rPr>
          <w:rFonts w:ascii="Times New Roman" w:hAnsi="Times New Roman"/>
          <w:sz w:val="24"/>
        </w:rPr>
        <w:br/>
        <w:t>2.1. Próbki</w:t>
      </w:r>
      <w:r>
        <w:rPr>
          <w:rFonts w:ascii="Times New Roman" w:hAnsi="Times New Roman"/>
          <w:sz w:val="24"/>
        </w:rPr>
        <w:br/>
        <w:t>Procedura A: W danej populacji konopi, z każdej wybranej rośliny pobiera się odcinek 30 cm zawierający co najmniej jeden kwiatostan żeński. Pobieranie próbek przeprowadza się w okresie od 20 dni po rozpoczęciu do 10 dni po zakończeniu kwitnienia, w ciągu dnia, podążając systematycznie trasą umożliwiającą reprezentatywny zbiór na powierzchni, z wyłączeniem obrzeży.</w:t>
      </w:r>
      <w:r>
        <w:rPr>
          <w:rFonts w:ascii="Times New Roman" w:hAnsi="Times New Roman"/>
          <w:sz w:val="24"/>
        </w:rPr>
        <w:br/>
        <w:t>Procedura B: W populacji danej odmiany Cannabis sativa L. pobiera się próbki z jednej trzeciej górnej części każdej wybranej rośliny. Pobieranie próbek przeprowadza się w ciągu dziesięciu dni po zakończeniu kwitnienia, w ciągu dnia, zgodnie z systematyczną trasą umożliwiającą reprezentatywny zbiór na powierzchni i z wyłączeniem obrzeży. W przypadku odmiany dwupiennej próbki pobiera się tylko z roślin żeńskich.</w:t>
      </w:r>
      <w:r>
        <w:rPr>
          <w:rFonts w:ascii="Times New Roman" w:hAnsi="Times New Roman"/>
          <w:sz w:val="24"/>
        </w:rPr>
        <w:br/>
        <w:t>2.2. Liczebność próby</w:t>
      </w:r>
      <w:r>
        <w:rPr>
          <w:rFonts w:ascii="Times New Roman" w:hAnsi="Times New Roman"/>
          <w:sz w:val="24"/>
        </w:rPr>
        <w:br/>
        <w:t>Procedura A: Dla każdej działki próbkę pobiera się z 50 roślin.</w:t>
      </w:r>
      <w:r>
        <w:rPr>
          <w:rFonts w:ascii="Times New Roman" w:hAnsi="Times New Roman"/>
          <w:sz w:val="24"/>
        </w:rPr>
        <w:br/>
        <w:t>Procedura B: Dla każdej działki próbkę pobiera się z 200 roślin.</w:t>
      </w:r>
      <w:r>
        <w:rPr>
          <w:rFonts w:ascii="Times New Roman" w:hAnsi="Times New Roman"/>
          <w:sz w:val="24"/>
        </w:rPr>
        <w:br/>
        <w:t>Każdą próbkę umieszcza się w torebce płóciennej lub papierowej bez ubijania i wysyła do laboratorium w celu oznaczenia 9-THC.</w:t>
      </w:r>
      <w:r>
        <w:rPr>
          <w:rFonts w:ascii="Times New Roman" w:hAnsi="Times New Roman"/>
          <w:sz w:val="24"/>
        </w:rPr>
        <w:br/>
        <w:t>Druga próbka może być pobrana do ewentualnego badania porównawczego i przechowywana albo przez producenta, albo przez laboratorium.</w:t>
      </w:r>
      <w:r>
        <w:rPr>
          <w:rFonts w:ascii="Times New Roman" w:hAnsi="Times New Roman"/>
          <w:sz w:val="24"/>
        </w:rPr>
        <w:br/>
        <w:t>2.3. Suszenie i przechowywanie próbek</w:t>
      </w:r>
      <w:r>
        <w:rPr>
          <w:rFonts w:ascii="Times New Roman" w:hAnsi="Times New Roman"/>
          <w:sz w:val="24"/>
        </w:rPr>
        <w:br/>
        <w:t>Suszenie próbek rozpoczyna się tak szybko, jak to możliwe, a w każdym przypadku w ciągu 48 godzin przy użyciu dowolnej metody w temperaturze poniżej 70 °C. Próbki suszy się do stałej masy, przy wilgotności od 8 do 13 %.</w:t>
      </w:r>
      <w:r>
        <w:rPr>
          <w:rFonts w:ascii="Times New Roman" w:hAnsi="Times New Roman"/>
          <w:sz w:val="24"/>
        </w:rPr>
        <w:br/>
        <w:t>Suche próbki przechowuje się luzem w ciemności i w temperaturze poniżej 25 °C.</w:t>
      </w:r>
      <w:r>
        <w:rPr>
          <w:rFonts w:ascii="Times New Roman" w:hAnsi="Times New Roman"/>
          <w:sz w:val="24"/>
        </w:rPr>
        <w:br/>
        <w:t>3. Analiza zawartości 9-THC</w:t>
      </w:r>
      <w:r>
        <w:rPr>
          <w:rFonts w:ascii="Times New Roman" w:hAnsi="Times New Roman"/>
          <w:sz w:val="24"/>
        </w:rPr>
        <w:br/>
        <w:t>3.1. Przygotowanie próbki do badań</w:t>
      </w:r>
      <w:r>
        <w:rPr>
          <w:rFonts w:ascii="Times New Roman" w:hAnsi="Times New Roman"/>
          <w:sz w:val="24"/>
        </w:rPr>
        <w:br/>
        <w:t>Suche próbki należy oczyścić z łodyg i nasion większych niż 2 mm.</w:t>
      </w:r>
      <w:r>
        <w:rPr>
          <w:rFonts w:ascii="Times New Roman" w:hAnsi="Times New Roman"/>
          <w:sz w:val="24"/>
        </w:rPr>
        <w:br/>
        <w:t>Wysuszone próbki są mielone na półdrobny proszek (sito o średnicy oczek 1 mm).</w:t>
      </w:r>
      <w:r>
        <w:rPr>
          <w:rFonts w:ascii="Times New Roman" w:hAnsi="Times New Roman"/>
          <w:sz w:val="24"/>
        </w:rPr>
        <w:br/>
        <w:t>Proszek przechowuje się maksymalnie przez 10 tygodni w suchym, ciemnym miejscu, w temperaturze poniżej 25 °C.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3.2. Odczynniki, roztwór ekstrakcyjny</w:t>
      </w:r>
      <w:r>
        <w:rPr>
          <w:rFonts w:ascii="Times New Roman" w:hAnsi="Times New Roman"/>
          <w:sz w:val="24"/>
        </w:rPr>
        <w:br/>
        <w:t>Odczynniki:</w:t>
      </w:r>
      <w:r>
        <w:rPr>
          <w:rFonts w:ascii="Times New Roman" w:hAnsi="Times New Roman"/>
          <w:sz w:val="24"/>
        </w:rPr>
        <w:br/>
        <w:t>Chromatograficznie czysty 9-tetrahydrokanabinol;</w:t>
      </w:r>
      <w:r>
        <w:rPr>
          <w:rFonts w:ascii="Times New Roman" w:hAnsi="Times New Roman"/>
          <w:sz w:val="24"/>
        </w:rPr>
        <w:br/>
        <w:t>Chromatograficznie czysty skwalan jako wzorzec wewnętrzny.</w:t>
      </w:r>
      <w:r>
        <w:rPr>
          <w:rFonts w:ascii="Times New Roman" w:hAnsi="Times New Roman"/>
          <w:sz w:val="24"/>
        </w:rPr>
        <w:br/>
        <w:t>Roztwór ekstrakcyjny:</w:t>
      </w:r>
      <w:r>
        <w:rPr>
          <w:rFonts w:ascii="Times New Roman" w:hAnsi="Times New Roman"/>
          <w:sz w:val="24"/>
        </w:rPr>
        <w:br/>
        <w:t>35 mg skwalanu na 100 ml heksanu.</w:t>
      </w:r>
      <w:r>
        <w:rPr>
          <w:rFonts w:ascii="Times New Roman" w:hAnsi="Times New Roman"/>
          <w:sz w:val="24"/>
        </w:rPr>
        <w:br/>
        <w:t>3.3. Ekstrakcja 9-THC</w:t>
      </w:r>
      <w:r>
        <w:rPr>
          <w:rFonts w:ascii="Times New Roman" w:hAnsi="Times New Roman"/>
          <w:sz w:val="24"/>
        </w:rPr>
        <w:br/>
        <w:t>Odważyć 100 mg sproszkowanej próbki i umieścić w probówce wirówkowej; dodać 5 ml roztworu ekstrakcyjnego zawierającego wzorzec wewnętrzny.</w:t>
      </w:r>
      <w:r>
        <w:rPr>
          <w:rFonts w:ascii="Times New Roman" w:hAnsi="Times New Roman"/>
          <w:sz w:val="24"/>
        </w:rPr>
        <w:br/>
        <w:t>Zanurzyć na 20 minut w łaźni ultradźwiękowej. Odwirowywać przez 5 minut przy 3 000 obr/min i zebrać supernatant 9-THC. Wstrzyknąć supernatant do aparatury chromatograficznej i przeprowadzić analizę ilościową.</w:t>
      </w:r>
      <w:r>
        <w:rPr>
          <w:rFonts w:ascii="Times New Roman" w:hAnsi="Times New Roman"/>
          <w:sz w:val="24"/>
        </w:rPr>
        <w:br/>
        <w:t>3.4. Chromatografia gazowa</w:t>
      </w:r>
      <w:r>
        <w:rPr>
          <w:rFonts w:ascii="Times New Roman" w:hAnsi="Times New Roman"/>
          <w:sz w:val="24"/>
        </w:rPr>
        <w:br/>
        <w:t>a) Aparatura:</w:t>
      </w:r>
    </w:p>
    <w:p w14:paraId="2C5687F1" w14:textId="11DBE729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967BF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chromatograf gazowy wyposażony w detektor jonizacji płomienia i wtryskiwacz rozdzielny/nierozdzielny;</w:t>
      </w:r>
      <w:r>
        <w:rPr>
          <w:rFonts w:ascii="Times New Roman" w:hAnsi="Times New Roman"/>
          <w:sz w:val="24"/>
        </w:rPr>
        <w:br/>
      </w:r>
      <w:r w:rsidR="00967BF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kolumna umożliwiająca dobre rozdzielenie kannabinoidów, np. szklana kolumna kapilarna o długości 25 m i grubości 0,22 mm, impregnowana fazą apolarną 5 % fenylo-metylosiloksanu.</w:t>
      </w:r>
    </w:p>
    <w:p w14:paraId="0EA9EE76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b) Zakresy kalibracji:</w:t>
      </w:r>
      <w:r>
        <w:rPr>
          <w:rFonts w:ascii="Times New Roman" w:hAnsi="Times New Roman"/>
          <w:sz w:val="24"/>
        </w:rPr>
        <w:br/>
        <w:t>Co najmniej 3 punkty dla procedury a i 5 punktów dla procedury B, z punktami 0,04 i 0,50 mg/ml 9-THC w roztworze ekstrakcyjnym.</w:t>
      </w:r>
      <w:r>
        <w:rPr>
          <w:rFonts w:ascii="Times New Roman" w:hAnsi="Times New Roman"/>
          <w:sz w:val="24"/>
        </w:rPr>
        <w:br/>
        <w:t>c) Warunki pracy aparatury:</w:t>
      </w:r>
      <w:r>
        <w:rPr>
          <w:rFonts w:ascii="Times New Roman" w:hAnsi="Times New Roman"/>
          <w:sz w:val="24"/>
        </w:rPr>
        <w:br/>
        <w:t>Jako przykład dla kolumny, o której mowa w lit. a), podano następujące warunki:</w:t>
      </w:r>
    </w:p>
    <w:p w14:paraId="282DEA67" w14:textId="295FCAB3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967BF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temperatura pieca: 260 °C;</w:t>
      </w:r>
      <w:r>
        <w:rPr>
          <w:rFonts w:ascii="Times New Roman" w:hAnsi="Times New Roman"/>
          <w:sz w:val="24"/>
        </w:rPr>
        <w:br/>
      </w:r>
      <w:r w:rsidR="00967BF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temperatura wtryskiwacza: 300 °C;</w:t>
      </w:r>
      <w:r>
        <w:rPr>
          <w:rFonts w:ascii="Times New Roman" w:hAnsi="Times New Roman"/>
          <w:sz w:val="24"/>
        </w:rPr>
        <w:br/>
      </w:r>
      <w:r w:rsidR="00967BF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temperatura detektora: 300 °C.</w:t>
      </w:r>
    </w:p>
    <w:p w14:paraId="04863A7A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d) objętość wtrysku: 1 ml.</w:t>
      </w:r>
      <w:r>
        <w:rPr>
          <w:rFonts w:ascii="Times New Roman" w:hAnsi="Times New Roman"/>
          <w:sz w:val="24"/>
        </w:rPr>
        <w:br/>
        <w:t>4. Wyniki</w:t>
      </w:r>
      <w:r>
        <w:rPr>
          <w:rFonts w:ascii="Times New Roman" w:hAnsi="Times New Roman"/>
          <w:sz w:val="24"/>
        </w:rPr>
        <w:br/>
        <w:t>Wynik wyraża się z dokładnością do dwóch miejsc po przecinku, w gramach 9-THC na 100 gramów badanej próbki, wysuszonej do stałej masy. Wynik podlega tolerancji 0,03 % wartości bezwzględnej.</w:t>
      </w:r>
      <w:r>
        <w:rPr>
          <w:rFonts w:ascii="Times New Roman" w:hAnsi="Times New Roman"/>
          <w:sz w:val="24"/>
        </w:rPr>
        <w:br/>
        <w:t>Procedura A: Wynik odpowiada jednemu oznaczeniu ilościowym na badaną próbkę. Jednakże w przypadku gdy uzyskany w ten sposób wynik przekracza limit określony w art. 1 rozporządzenia wykonawczego xxx do art. R. 5181 kodeksu zdrowia publicznego w odniesieniu do konopi, dla każdej badanej próbki dokonuje się drugiego oznaczenia ilościowego, a wynik jest średnią z tych dwóch oznaczeń.</w:t>
      </w:r>
      <w:r>
        <w:rPr>
          <w:rFonts w:ascii="Times New Roman" w:hAnsi="Times New Roman"/>
          <w:sz w:val="24"/>
        </w:rPr>
        <w:br/>
        <w:t>Procedura B: Wynik odpowiada średniej z dwóch oznaczeń ilościowych na badaną próbkę.</w:t>
      </w:r>
    </w:p>
    <w:p w14:paraId="2C7E119E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Sporządzono dnia 30 grudnia 2021 r.</w:t>
      </w:r>
    </w:p>
    <w:p w14:paraId="7B76B62F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Minister solidarności i zdrowia</w:t>
      </w:r>
      <w:r>
        <w:rPr>
          <w:rFonts w:ascii="Times New Roman" w:hAnsi="Times New Roman"/>
          <w:sz w:val="24"/>
        </w:rPr>
        <w:br/>
        <w:t>Olivier Véran</w:t>
      </w:r>
    </w:p>
    <w:p w14:paraId="14381679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rolnictwa i żywności</w:t>
      </w:r>
      <w:r>
        <w:rPr>
          <w:rFonts w:ascii="Times New Roman" w:hAnsi="Times New Roman"/>
          <w:sz w:val="24"/>
        </w:rPr>
        <w:br/>
        <w:t>Julien Denormandie</w:t>
      </w:r>
    </w:p>
    <w:p w14:paraId="46C2DAED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delegowany przy ministrze gospodarki, finansów i odbudowy odpowiedzialny za rachunkowość publiczną</w:t>
      </w:r>
      <w:r>
        <w:rPr>
          <w:rFonts w:ascii="Times New Roman" w:hAnsi="Times New Roman"/>
          <w:sz w:val="24"/>
        </w:rPr>
        <w:br/>
        <w:t>Olivier Dussopt</w:t>
      </w:r>
    </w:p>
    <w:p w14:paraId="3C558E10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delegowany przy ministrze gospodarki, finansów i odbudowy odpowiedzialny za przemysł</w:t>
      </w:r>
      <w:r>
        <w:rPr>
          <w:rFonts w:ascii="Times New Roman" w:hAnsi="Times New Roman"/>
          <w:sz w:val="24"/>
        </w:rPr>
        <w:br/>
        <w:t>Agnès Pannier-Runacher</w:t>
      </w:r>
    </w:p>
    <w:p w14:paraId="3937DF18" w14:textId="77777777" w:rsidR="002352A1" w:rsidRDefault="002352A1"/>
    <w:sectPr w:rsidR="0023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3274"/>
    <w:multiLevelType w:val="multilevel"/>
    <w:tmpl w:val="AFE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C2"/>
    <w:rsid w:val="002352A1"/>
    <w:rsid w:val="003459A3"/>
    <w:rsid w:val="005C1719"/>
    <w:rsid w:val="0088365F"/>
    <w:rsid w:val="00967BF6"/>
    <w:rsid w:val="00E504C2"/>
    <w:rsid w:val="00E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B637"/>
  <w15:chartTrackingRefBased/>
  <w15:docId w15:val="{18256E79-2D95-456D-9B5C-7836B6D6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8819</Characters>
  <Application>Microsoft Office Word</Application>
  <DocSecurity>0</DocSecurity>
  <Lines>195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Čarija</cp:lastModifiedBy>
  <cp:revision>2</cp:revision>
  <dcterms:created xsi:type="dcterms:W3CDTF">2022-04-01T14:31:00Z</dcterms:created>
  <dcterms:modified xsi:type="dcterms:W3CDTF">2022-04-01T14:31:00Z</dcterms:modified>
</cp:coreProperties>
</file>