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E504C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 xml:space="preserve">Förordning av den 30 december 2021 om genomförande av artikel R. </w:t>
      </w:r>
      <w:proofErr w:type="gramStart"/>
      <w:r>
        <w:rPr>
          <w:rFonts w:ascii="Times New Roman" w:hAnsi="Times New Roman"/>
          <w:b/>
          <w:sz w:val="36"/>
        </w:rPr>
        <w:t>5132-86</w:t>
      </w:r>
      <w:proofErr w:type="gramEnd"/>
      <w:r>
        <w:rPr>
          <w:rFonts w:ascii="Times New Roman" w:hAnsi="Times New Roman"/>
          <w:b/>
          <w:sz w:val="36"/>
        </w:rPr>
        <w:t xml:space="preserve"> i folkhälsolagen</w:t>
      </w:r>
    </w:p>
    <w:p w14:paraId="6D983689" w14:textId="77777777"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NOR: SSAP2139161A</w:t>
      </w:r>
      <w:r>
        <w:rPr>
          <w:rFonts w:ascii="Times New Roman" w:hAnsi="Times New Roman"/>
          <w:sz w:val="24"/>
        </w:rPr>
        <w:br/>
        <w:t>ELI: https://www.legifrance.gouv.fr/eli/arrete/2021/12/30/SSAP2139161A/jo/texte</w:t>
      </w:r>
      <w:r>
        <w:rPr>
          <w:rFonts w:ascii="Times New Roman" w:hAnsi="Times New Roman"/>
          <w:sz w:val="24"/>
        </w:rPr>
        <w:br/>
        <w:t>JORF nr 0304 av den 31 december 2021</w:t>
      </w:r>
      <w:r>
        <w:rPr>
          <w:rFonts w:ascii="Times New Roman" w:hAnsi="Times New Roman"/>
          <w:sz w:val="24"/>
        </w:rPr>
        <w:br/>
        <w:t>Text nr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Bilaga</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solidaritet och hälsa, ministern för jordbruk och livsmedel, ministern som delegerats till ministern för ekonomi, finanser och återhämtning, med ansvar för offentliga räkenskaper, och ministern som delegerats till ministern för ekonomi, finanser och återhämtning, med ansvar för industri,</w:t>
      </w:r>
      <w:r>
        <w:rPr>
          <w:rFonts w:ascii="Times New Roman" w:hAnsi="Times New Roman"/>
          <w:sz w:val="24"/>
        </w:rPr>
        <w:br/>
        <w:t>Med beaktande av Europaparlamentets och rådets förordning (EG) nr 178/2002 av den 28 januari 2002 om allmänna principer och krav för livsmedelslagstiftning, om inrättande av Europeiska myndigheten för livsmedelssäkerhet och om förfaranden i frågor som gäller livsmedelssäkerhet, särskilt artiklarna 14 och 15;</w:t>
      </w:r>
      <w:r>
        <w:rPr>
          <w:rFonts w:ascii="Times New Roman" w:hAnsi="Times New Roman"/>
          <w:sz w:val="24"/>
        </w:rPr>
        <w:br/>
        <w:t>Med beaktande av Europaparlamentets och rådets förordning (EG) nr 767/2009 av den 13 juli 2009 om utsläppande på marknaden och användning av foder, om ändring av Europaparlamentets och rådets förordning (EG) nr 1831/2003 och om upphävande av rådets direktiv 79/373/EEG, kommissionens direktiv 80/511/EEG, rådets direktiv 82/471/EEG, 83/228/EEG, 93/74/EEG, 93/113/EG och 96/25/EG samt kommissionens beslut 2004/217/EG och särskilt artikel 4;</w:t>
      </w:r>
      <w:r>
        <w:rPr>
          <w:rFonts w:ascii="Times New Roman" w:hAnsi="Times New Roman"/>
          <w:sz w:val="24"/>
        </w:rPr>
        <w:br/>
        <w:t>Med beaktande av Europaparlamentets och rådets förordning (EG) nr 2015/2283 av den 25 november 2015 om nya livsmedel och om ändring av Europaparlamentets och rådets förordning (EU) nr 1169/2011 och upphävande av Europaparlamentets och rådets förordning (EG) nr 258/97 och kommissionens förordning (EG) nr 1852/2001;</w:t>
      </w:r>
      <w:r>
        <w:rPr>
          <w:rFonts w:ascii="Times New Roman" w:hAnsi="Times New Roman"/>
          <w:sz w:val="24"/>
        </w:rPr>
        <w:br/>
        <w:t>Med beaktande av rådets direktiv 2002/53/EG av den 13 juni 2002 om den gemensamma sortlistan för arter av lantbruksväxter;</w:t>
      </w:r>
      <w:r>
        <w:rPr>
          <w:rFonts w:ascii="Times New Roman" w:hAnsi="Times New Roman"/>
          <w:sz w:val="24"/>
        </w:rPr>
        <w:br/>
        <w:t>Med beaktande av Europaparlamentets och rådets direktiv (EU) 2015/1535 av den 9 september 2015 om ett informationsförfarande beträffande tekniska föreskrifter och beträffande föreskrifter för informationssamhällets tjänster och i synnerhet anmälan nr 2021/481/F;</w:t>
      </w:r>
      <w:r>
        <w:rPr>
          <w:rFonts w:ascii="Times New Roman" w:hAnsi="Times New Roman"/>
          <w:sz w:val="24"/>
        </w:rPr>
        <w:br/>
        <w:t>Med beaktande av den franska folkhälsolagen, särskilt artiklarna L. 5132-8 och R. 5132-86 därav;</w:t>
      </w:r>
      <w:r>
        <w:rPr>
          <w:rFonts w:ascii="Times New Roman" w:hAnsi="Times New Roman"/>
          <w:sz w:val="24"/>
        </w:rPr>
        <w:br/>
        <w:t>Med beaktande av dekret nr 81-605 av den 18 maj 1981, i dess ändrade lydelse, som antagits för att genomföra lagen av den 1 augusti 1905 om förebyggande av bedrägeri i samband med handel med utsäde och växter;</w:t>
      </w:r>
      <w:r>
        <w:rPr>
          <w:rFonts w:ascii="Times New Roman" w:hAnsi="Times New Roman"/>
          <w:sz w:val="24"/>
        </w:rPr>
        <w:br/>
        <w:t>Enligt förslag från generaldirektören för den nationella myndigheten för läkemedelssäkerhet och hälsoprodukter av den 22 december 2021;</w:t>
      </w:r>
      <w:r>
        <w:rPr>
          <w:rFonts w:ascii="Times New Roman" w:hAnsi="Times New Roman"/>
          <w:sz w:val="24"/>
        </w:rPr>
        <w:br/>
        <w:t>Beslutas härmed:</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Enligt artikel R. </w:t>
      </w:r>
      <w:proofErr w:type="gramStart"/>
      <w:r>
        <w:rPr>
          <w:rFonts w:ascii="Times New Roman" w:hAnsi="Times New Roman"/>
          <w:sz w:val="24"/>
        </w:rPr>
        <w:t>5132-86</w:t>
      </w:r>
      <w:proofErr w:type="gramEnd"/>
      <w:r>
        <w:rPr>
          <w:rFonts w:ascii="Times New Roman" w:hAnsi="Times New Roman"/>
          <w:sz w:val="24"/>
        </w:rPr>
        <w:t xml:space="preserve"> i folkhälsolagen är det tillåtet att odla, importera, exportera samt industriellt och kommersiellt bruk av endast sorter av Cannabis </w:t>
      </w:r>
      <w:proofErr w:type="spellStart"/>
      <w:r>
        <w:rPr>
          <w:rFonts w:ascii="Times New Roman" w:hAnsi="Times New Roman"/>
          <w:sz w:val="24"/>
        </w:rPr>
        <w:t>sativa</w:t>
      </w:r>
      <w:proofErr w:type="spellEnd"/>
      <w:r>
        <w:rPr>
          <w:rFonts w:ascii="Times New Roman" w:hAnsi="Times New Roman"/>
          <w:sz w:val="24"/>
        </w:rPr>
        <w:t xml:space="preserve"> L., vars delta-</w:t>
      </w:r>
      <w:r>
        <w:rPr>
          <w:rFonts w:ascii="Times New Roman" w:hAnsi="Times New Roman"/>
          <w:sz w:val="24"/>
        </w:rPr>
        <w:lastRenderedPageBreak/>
        <w:t>9-tetrahydrokannabinolhalt inte överstiger 0,30 % och som ingår i den gemensamma sortlistan för arter av lantbruksväxter eller i den officiella sortlistan över arter och sorter av växter som odlas i Frankrike. Bestämningen av delta-9-tetrahydrokannabinolhalten i ovannämnda sorter och provtagningen för denna bestämning ska göras enligt den metod som anges i bilagan;</w:t>
      </w:r>
      <w:r>
        <w:rPr>
          <w:rFonts w:ascii="Times New Roman" w:hAnsi="Times New Roman"/>
          <w:sz w:val="24"/>
        </w:rPr>
        <w:br/>
        <w:t>Blommor och blad produceras från certifikatutsäde. Försäljning av växter och del av växter är förbjuden.</w:t>
      </w:r>
      <w:r>
        <w:rPr>
          <w:rFonts w:ascii="Times New Roman" w:hAnsi="Times New Roman"/>
          <w:sz w:val="24"/>
        </w:rPr>
        <w:br/>
        <w:t>Endast aktiva jordbrukare i den mening som avses i den nuvarande europeiska och nationella lagstiftningen får odla hampblommor och blad.</w:t>
      </w:r>
      <w:r>
        <w:rPr>
          <w:rFonts w:ascii="Times New Roman" w:hAnsi="Times New Roman"/>
          <w:sz w:val="24"/>
        </w:rPr>
        <w:br/>
        <w:t xml:space="preserve">II.- Blommor och blad av de sorter som anges i </w:t>
      </w:r>
      <w:proofErr w:type="spellStart"/>
      <w:r>
        <w:rPr>
          <w:rFonts w:ascii="Times New Roman" w:hAnsi="Times New Roman"/>
          <w:sz w:val="24"/>
        </w:rPr>
        <w:t>I</w:t>
      </w:r>
      <w:proofErr w:type="spellEnd"/>
      <w:r>
        <w:rPr>
          <w:rFonts w:ascii="Times New Roman" w:hAnsi="Times New Roman"/>
          <w:sz w:val="24"/>
        </w:rPr>
        <w:t xml:space="preserve"> får endast skördas, importeras eller användas för industriell framställning av hampextrakt. I synnerhet är det förbjudet att till konsumenter sälja blommor eller </w:t>
      </w:r>
      <w:proofErr w:type="spellStart"/>
      <w:r>
        <w:rPr>
          <w:rFonts w:ascii="Times New Roman" w:hAnsi="Times New Roman"/>
          <w:sz w:val="24"/>
        </w:rPr>
        <w:t>råblad</w:t>
      </w:r>
      <w:proofErr w:type="spellEnd"/>
      <w:r>
        <w:rPr>
          <w:rFonts w:ascii="Times New Roman" w:hAnsi="Times New Roman"/>
          <w:sz w:val="24"/>
        </w:rPr>
        <w:t xml:space="preserve"> i alla former, ensamma eller i kombination med andra ingredienser, konsumenternas innehav och konsumtion av dem.</w:t>
      </w:r>
      <w:r>
        <w:rPr>
          <w:rFonts w:ascii="Times New Roman" w:hAnsi="Times New Roman"/>
          <w:sz w:val="24"/>
        </w:rPr>
        <w:br/>
        <w:t>Inköp av hampblommor och blad som produceras på franskt territorium omfattas av ett skriftligt avtal mellan producenten och köparen. Avtalet innehåller information om produkternas volym och pris. Avtalet får innehålla information om produkternas förväntade kvalitet. Avtalet ingås före produktionsårets början.</w:t>
      </w:r>
      <w:r>
        <w:rPr>
          <w:rFonts w:ascii="Times New Roman" w:hAnsi="Times New Roman"/>
          <w:sz w:val="24"/>
        </w:rPr>
        <w:br/>
        <w:t>III.- Delta-9-tetrahydrokannabinolhalten i extrakt av hampa och de produkter som innehåller dessa får inte överstiga 0,30 %, utan att det påverkar tillämpningen av artiklarna 14 och 15 i förordning (EG) nr 178/2002 och artikel 4 i förordning (EG) nr 767/2009.</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Produkter som härrör från hampa enligt artikel 1 får importeras från länder utanför Europeiska unionen eller exporteras utanför Europeiska unionen endast om de åtföljs av handlingar som styrker att de överensstämmer med detta dekret.</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Förordningen av den 22 augusti 1990 om genomförande av artikel R. </w:t>
      </w:r>
      <w:proofErr w:type="gramStart"/>
      <w:r>
        <w:rPr>
          <w:rFonts w:ascii="Times New Roman" w:hAnsi="Times New Roman"/>
          <w:sz w:val="24"/>
        </w:rPr>
        <w:t>5132-86</w:t>
      </w:r>
      <w:proofErr w:type="gramEnd"/>
      <w:r>
        <w:rPr>
          <w:rFonts w:ascii="Times New Roman" w:hAnsi="Times New Roman"/>
          <w:sz w:val="24"/>
        </w:rPr>
        <w:t xml:space="preserve"> i folkhälsolagen för Cannabis ska upphöra att gälla.</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Generaldirektören för hälsa, generaldirektören för livsmedel och generaldirektören för företag samt generaldirektören för tull och indirekta avgifter ansvarar var för sig för genomförandet av denna förordning som ska offentliggöras i Frankrikes officiella tidning.</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BILAGA</w:t>
      </w:r>
      <w:r>
        <w:rPr>
          <w:rFonts w:ascii="Times New Roman" w:hAnsi="Times New Roman"/>
          <w:sz w:val="24"/>
        </w:rPr>
        <w:br/>
      </w:r>
      <w:r>
        <w:rPr>
          <w:rFonts w:ascii="Times New Roman" w:hAnsi="Times New Roman"/>
          <w:sz w:val="24"/>
        </w:rPr>
        <w:lastRenderedPageBreak/>
        <w:t>METOD FÖR KVANTITATIV BESTÄMNING AV DELTA-9-TETRAHYDROKANNABINOL (9-THC) I HAMPSORTER</w:t>
      </w:r>
    </w:p>
    <w:p w14:paraId="08F14E53"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Syfte och tillämpningsområde</w:t>
      </w:r>
      <w:r>
        <w:rPr>
          <w:rFonts w:ascii="Times New Roman" w:hAnsi="Times New Roman"/>
          <w:sz w:val="24"/>
        </w:rPr>
        <w:br/>
        <w:t xml:space="preserve">Metoden används för att bestämma halten delta-9-tetrahydrokannabinol (9-THC) av Cannabis </w:t>
      </w:r>
      <w:proofErr w:type="spellStart"/>
      <w:r>
        <w:rPr>
          <w:rFonts w:ascii="Times New Roman" w:hAnsi="Times New Roman"/>
          <w:sz w:val="24"/>
        </w:rPr>
        <w:t>sativa</w:t>
      </w:r>
      <w:proofErr w:type="spellEnd"/>
      <w:r>
        <w:rPr>
          <w:rFonts w:ascii="Times New Roman" w:hAnsi="Times New Roman"/>
          <w:sz w:val="24"/>
        </w:rPr>
        <w:t xml:space="preserve"> L.</w:t>
      </w:r>
      <w:r>
        <w:rPr>
          <w:rFonts w:ascii="Times New Roman" w:hAnsi="Times New Roman"/>
          <w:sz w:val="24"/>
        </w:rPr>
        <w:br/>
        <w:t>I förekommande fall ska den tillämpas i enlighet med ett förfarande A eller förfarande B som beskrivs nedan. Denna metod baseras på kvantitativ bestämning genom gaskromatografi (GCP) av 9-THC efter lösningsmedelsextraktion.</w:t>
      </w:r>
      <w:r>
        <w:rPr>
          <w:rFonts w:ascii="Times New Roman" w:hAnsi="Times New Roman"/>
          <w:sz w:val="24"/>
        </w:rPr>
        <w:br/>
        <w:t>1.1. Förfarande A</w:t>
      </w:r>
      <w:r>
        <w:rPr>
          <w:rFonts w:ascii="Times New Roman" w:hAnsi="Times New Roman"/>
          <w:sz w:val="24"/>
        </w:rPr>
        <w:br/>
        <w:t>Förfarande A används för kontroll av de sorter som avses i artikel 1 i dekret xxx om tillämpning av artikel R. 5181 i folkhälsolagen för Cannabis.</w:t>
      </w:r>
      <w:r>
        <w:rPr>
          <w:rFonts w:ascii="Times New Roman" w:hAnsi="Times New Roman"/>
          <w:sz w:val="24"/>
        </w:rPr>
        <w:br/>
        <w:t>Om resultaten visar att ett betydande antal prover av en viss sort har en högre halt av 9-THC än vad som är tillåtet enligt artikel 1 i ovannämnda dekret, får förfarande B användas.</w:t>
      </w:r>
      <w:r>
        <w:rPr>
          <w:rFonts w:ascii="Times New Roman" w:hAnsi="Times New Roman"/>
          <w:sz w:val="24"/>
        </w:rPr>
        <w:br/>
        <w:t>1.2. Förfarande B</w:t>
      </w:r>
      <w:r>
        <w:rPr>
          <w:rFonts w:ascii="Times New Roman" w:hAnsi="Times New Roman"/>
          <w:sz w:val="24"/>
        </w:rPr>
        <w:br/>
        <w:t>Förfarande B ska användas i de fall som avses i punkt 1.1 andra underparagrafen.</w:t>
      </w:r>
      <w:r>
        <w:rPr>
          <w:rFonts w:ascii="Times New Roman" w:hAnsi="Times New Roman"/>
          <w:sz w:val="24"/>
        </w:rPr>
        <w:br/>
        <w:t>2. Test</w:t>
      </w:r>
      <w:r>
        <w:rPr>
          <w:rFonts w:ascii="Times New Roman" w:hAnsi="Times New Roman"/>
          <w:sz w:val="24"/>
        </w:rPr>
        <w:br/>
        <w:t xml:space="preserve">2.1. </w:t>
      </w:r>
      <w:proofErr w:type="spellStart"/>
      <w:r>
        <w:rPr>
          <w:rFonts w:ascii="Times New Roman" w:hAnsi="Times New Roman"/>
          <w:sz w:val="24"/>
        </w:rPr>
        <w:t>Stickprover</w:t>
      </w:r>
      <w:proofErr w:type="spellEnd"/>
      <w:r>
        <w:rPr>
          <w:rFonts w:ascii="Times New Roman" w:hAnsi="Times New Roman"/>
          <w:sz w:val="24"/>
        </w:rPr>
        <w:br/>
        <w:t>Förfarande A: I en given population av hampa kommer en 30 cm sektion av minst en kvinnlig blomställning att samlas in för varje vald växt. Provtagningen sker under perioden mellan tjugo dagar efter början och tio dagar efter blomningens slut, under dagen, enligt en systematisk väg som möjliggör en representativ samling av tomten, exklusive gränserna.</w:t>
      </w:r>
      <w:r>
        <w:rPr>
          <w:rFonts w:ascii="Times New Roman" w:hAnsi="Times New Roman"/>
          <w:sz w:val="24"/>
        </w:rPr>
        <w:br/>
        <w:t xml:space="preserve">Förfarande B: I en population av en viss sort Cannabis </w:t>
      </w:r>
      <w:proofErr w:type="spellStart"/>
      <w:r>
        <w:rPr>
          <w:rFonts w:ascii="Times New Roman" w:hAnsi="Times New Roman"/>
          <w:sz w:val="24"/>
        </w:rPr>
        <w:t>sativa</w:t>
      </w:r>
      <w:proofErr w:type="spellEnd"/>
      <w:r>
        <w:rPr>
          <w:rFonts w:ascii="Times New Roman" w:hAnsi="Times New Roman"/>
          <w:sz w:val="24"/>
        </w:rPr>
        <w:t xml:space="preserve"> L. kommer den övre tredjedelen av varje vald växt att tas. Provtagningen sker inom tio dagar efter blomningens slut, under dagen, enligt en systematisk rutt som möjliggör en representativ samling av tomten och exklusive gränserna. När det gäller en </w:t>
      </w:r>
      <w:proofErr w:type="spellStart"/>
      <w:r>
        <w:rPr>
          <w:rFonts w:ascii="Times New Roman" w:hAnsi="Times New Roman"/>
          <w:sz w:val="24"/>
        </w:rPr>
        <w:t>dioecious</w:t>
      </w:r>
      <w:proofErr w:type="spellEnd"/>
      <w:r>
        <w:rPr>
          <w:rFonts w:ascii="Times New Roman" w:hAnsi="Times New Roman"/>
          <w:sz w:val="24"/>
        </w:rPr>
        <w:t xml:space="preserve"> sort kommer endast honplantorna att samlas in.</w:t>
      </w:r>
      <w:r>
        <w:rPr>
          <w:rFonts w:ascii="Times New Roman" w:hAnsi="Times New Roman"/>
          <w:sz w:val="24"/>
        </w:rPr>
        <w:br/>
        <w:t>2.2. Provstorlek</w:t>
      </w:r>
      <w:r>
        <w:rPr>
          <w:rFonts w:ascii="Times New Roman" w:hAnsi="Times New Roman"/>
          <w:sz w:val="24"/>
        </w:rPr>
        <w:br/>
        <w:t>Förfarande A: För varje observationsyta tas prover från 50 plantor.</w:t>
      </w:r>
      <w:r>
        <w:rPr>
          <w:rFonts w:ascii="Times New Roman" w:hAnsi="Times New Roman"/>
          <w:sz w:val="24"/>
        </w:rPr>
        <w:br/>
        <w:t>Förfarande B: För varje observationsyta tas prover från 200 plantor.</w:t>
      </w:r>
      <w:r>
        <w:rPr>
          <w:rFonts w:ascii="Times New Roman" w:hAnsi="Times New Roman"/>
          <w:sz w:val="24"/>
        </w:rPr>
        <w:br/>
        <w:t>Varje prov placeras utan manipulering i en trasa eller papperspåse och skickas sedan till det laboratorium som ansvarar för att fastställa 9-THC-innehållet.</w:t>
      </w:r>
      <w:r>
        <w:rPr>
          <w:rFonts w:ascii="Times New Roman" w:hAnsi="Times New Roman"/>
          <w:sz w:val="24"/>
        </w:rPr>
        <w:br/>
        <w:t>Ett andra prov kan tas för eventuell motanalys och lagras antingen av producenten eller av laboratoriet.</w:t>
      </w:r>
      <w:r>
        <w:rPr>
          <w:rFonts w:ascii="Times New Roman" w:hAnsi="Times New Roman"/>
          <w:sz w:val="24"/>
        </w:rPr>
        <w:br/>
        <w:t>2.3. Torkning och lagring av provet</w:t>
      </w:r>
      <w:r>
        <w:rPr>
          <w:rFonts w:ascii="Times New Roman" w:hAnsi="Times New Roman"/>
          <w:sz w:val="24"/>
        </w:rPr>
        <w:br/>
        <w:t>Torkningen av provexemplaren ska inledas så snabbt som möjligt och under alla omständigheter inom 48 timmar med någon metod vid en temperatur under 70 °C. Proverna ska torkas upp till konstant vikt med en fuktighet på mellan 8 och 13 %.</w:t>
      </w:r>
      <w:r>
        <w:rPr>
          <w:rFonts w:ascii="Times New Roman" w:hAnsi="Times New Roman"/>
          <w:sz w:val="24"/>
        </w:rPr>
        <w:br/>
        <w:t>Torra prover förvaras inte i mörker och vid temperaturer under 25 °C.</w:t>
      </w:r>
      <w:r>
        <w:rPr>
          <w:rFonts w:ascii="Times New Roman" w:hAnsi="Times New Roman"/>
          <w:sz w:val="24"/>
        </w:rPr>
        <w:br/>
        <w:t>3. Innehållsanalys i 9-THC</w:t>
      </w:r>
      <w:r>
        <w:rPr>
          <w:rFonts w:ascii="Times New Roman" w:hAnsi="Times New Roman"/>
          <w:sz w:val="24"/>
        </w:rPr>
        <w:br/>
        <w:t>3.1. Beredning av analysprovet</w:t>
      </w:r>
      <w:r>
        <w:rPr>
          <w:rFonts w:ascii="Times New Roman" w:hAnsi="Times New Roman"/>
          <w:sz w:val="24"/>
        </w:rPr>
        <w:br/>
        <w:t>Torra prover avlägsnas från stjälkar och frön större än 2 mm.</w:t>
      </w:r>
      <w:r>
        <w:rPr>
          <w:rFonts w:ascii="Times New Roman" w:hAnsi="Times New Roman"/>
          <w:sz w:val="24"/>
        </w:rPr>
        <w:br/>
        <w:t>De torkade proverna mals till ett halvfint pulver (1 mm masksikt).</w:t>
      </w:r>
      <w:r>
        <w:rPr>
          <w:rFonts w:ascii="Times New Roman" w:hAnsi="Times New Roman"/>
          <w:sz w:val="24"/>
        </w:rPr>
        <w:br/>
        <w:t>Maximal lagring av pulvret i 10 veckor på en torr, mörk plats vid temperaturer under 25 °C.</w:t>
      </w:r>
      <w:r>
        <w:rPr>
          <w:rFonts w:ascii="Times New Roman" w:hAnsi="Times New Roman"/>
          <w:sz w:val="24"/>
        </w:rPr>
        <w:br/>
        <w:t>3.2. Reagenser, extraktionslösning</w:t>
      </w:r>
      <w:r>
        <w:rPr>
          <w:rFonts w:ascii="Times New Roman" w:hAnsi="Times New Roman"/>
          <w:sz w:val="24"/>
        </w:rPr>
        <w:br/>
        <w:t>Reagenser:</w:t>
      </w:r>
      <w:r>
        <w:rPr>
          <w:rFonts w:ascii="Times New Roman" w:hAnsi="Times New Roman"/>
          <w:sz w:val="24"/>
        </w:rPr>
        <w:br/>
      </w:r>
      <w:r>
        <w:rPr>
          <w:rFonts w:ascii="Times New Roman" w:hAnsi="Times New Roman"/>
          <w:sz w:val="24"/>
        </w:rPr>
        <w:lastRenderedPageBreak/>
        <w:t xml:space="preserve">9-tetrahydrokannabinol </w:t>
      </w:r>
      <w:proofErr w:type="spellStart"/>
      <w:r>
        <w:rPr>
          <w:rFonts w:ascii="Times New Roman" w:hAnsi="Times New Roman"/>
          <w:sz w:val="24"/>
        </w:rPr>
        <w:t>kromatografiskt</w:t>
      </w:r>
      <w:proofErr w:type="spellEnd"/>
      <w:r>
        <w:rPr>
          <w:rFonts w:ascii="Times New Roman" w:hAnsi="Times New Roman"/>
          <w:sz w:val="24"/>
        </w:rPr>
        <w:t xml:space="preserve"> ren;</w:t>
      </w:r>
      <w:r>
        <w:rPr>
          <w:rFonts w:ascii="Times New Roman" w:hAnsi="Times New Roman"/>
          <w:sz w:val="24"/>
        </w:rPr>
        <w:br/>
      </w:r>
      <w:proofErr w:type="spellStart"/>
      <w:r>
        <w:rPr>
          <w:rFonts w:ascii="Times New Roman" w:hAnsi="Times New Roman"/>
          <w:sz w:val="24"/>
        </w:rPr>
        <w:t>Kromatografiskt</w:t>
      </w:r>
      <w:proofErr w:type="spellEnd"/>
      <w:r>
        <w:rPr>
          <w:rFonts w:ascii="Times New Roman" w:hAnsi="Times New Roman"/>
          <w:sz w:val="24"/>
        </w:rPr>
        <w:t xml:space="preserve"> ren </w:t>
      </w:r>
      <w:proofErr w:type="spellStart"/>
      <w:r>
        <w:rPr>
          <w:rFonts w:ascii="Times New Roman" w:hAnsi="Times New Roman"/>
          <w:sz w:val="24"/>
        </w:rPr>
        <w:t>squalan</w:t>
      </w:r>
      <w:proofErr w:type="spellEnd"/>
      <w:r>
        <w:rPr>
          <w:rFonts w:ascii="Times New Roman" w:hAnsi="Times New Roman"/>
          <w:sz w:val="24"/>
        </w:rPr>
        <w:t xml:space="preserve"> som intern standard.</w:t>
      </w:r>
      <w:r>
        <w:rPr>
          <w:rFonts w:ascii="Times New Roman" w:hAnsi="Times New Roman"/>
          <w:sz w:val="24"/>
        </w:rPr>
        <w:br/>
        <w:t>Extraktionslösning:</w:t>
      </w:r>
      <w:r>
        <w:rPr>
          <w:rFonts w:ascii="Times New Roman" w:hAnsi="Times New Roman"/>
          <w:sz w:val="24"/>
        </w:rPr>
        <w:br/>
        <w:t xml:space="preserve">35 mg </w:t>
      </w:r>
      <w:proofErr w:type="spellStart"/>
      <w:r>
        <w:rPr>
          <w:rFonts w:ascii="Times New Roman" w:hAnsi="Times New Roman"/>
          <w:sz w:val="24"/>
        </w:rPr>
        <w:t>skvalan</w:t>
      </w:r>
      <w:proofErr w:type="spellEnd"/>
      <w:r>
        <w:rPr>
          <w:rFonts w:ascii="Times New Roman" w:hAnsi="Times New Roman"/>
          <w:sz w:val="24"/>
        </w:rPr>
        <w:t xml:space="preserve"> per 100 ml </w:t>
      </w:r>
      <w:proofErr w:type="spellStart"/>
      <w:r>
        <w:rPr>
          <w:rFonts w:ascii="Times New Roman" w:hAnsi="Times New Roman"/>
          <w:sz w:val="24"/>
        </w:rPr>
        <w:t>hexan</w:t>
      </w:r>
      <w:proofErr w:type="spellEnd"/>
      <w:r>
        <w:rPr>
          <w:rFonts w:ascii="Times New Roman" w:hAnsi="Times New Roman"/>
          <w:sz w:val="24"/>
        </w:rPr>
        <w:t>.</w:t>
      </w:r>
      <w:r>
        <w:rPr>
          <w:rFonts w:ascii="Times New Roman" w:hAnsi="Times New Roman"/>
          <w:sz w:val="24"/>
        </w:rPr>
        <w:br/>
        <w:t>3.3. Extraktion av 9-THC</w:t>
      </w:r>
      <w:r>
        <w:rPr>
          <w:rFonts w:ascii="Times New Roman" w:hAnsi="Times New Roman"/>
          <w:sz w:val="24"/>
        </w:rPr>
        <w:br/>
        <w:t>Väg upp 100 mg av provpulvret och lägg dem i ett centrifugrör; tillsätt 5 ml extraktionslösning som innehåller den interna kontrollen.</w:t>
      </w:r>
      <w:r>
        <w:rPr>
          <w:rFonts w:ascii="Times New Roman" w:hAnsi="Times New Roman"/>
          <w:sz w:val="24"/>
        </w:rPr>
        <w:br/>
        <w:t xml:space="preserve">Doppa allt i ett ultraljudsbad i 20 minuter. Centrifugera i 5 minuter vid 3 000 varv/min och ta </w:t>
      </w:r>
      <w:proofErr w:type="spellStart"/>
      <w:r>
        <w:rPr>
          <w:rFonts w:ascii="Times New Roman" w:hAnsi="Times New Roman"/>
          <w:sz w:val="24"/>
        </w:rPr>
        <w:t>supernatanten</w:t>
      </w:r>
      <w:proofErr w:type="spellEnd"/>
      <w:r>
        <w:rPr>
          <w:rFonts w:ascii="Times New Roman" w:hAnsi="Times New Roman"/>
          <w:sz w:val="24"/>
        </w:rPr>
        <w:t xml:space="preserve"> 9-THC-lösning. Injicera den senare i kromatografiapparaten och utför kvantitativ analys.</w:t>
      </w:r>
      <w:r>
        <w:rPr>
          <w:rFonts w:ascii="Times New Roman" w:hAnsi="Times New Roman"/>
          <w:sz w:val="24"/>
        </w:rPr>
        <w:br/>
        <w:t>3.4. Gaskromatografi</w:t>
      </w:r>
      <w:r>
        <w:rPr>
          <w:rFonts w:ascii="Times New Roman" w:hAnsi="Times New Roman"/>
          <w:sz w:val="24"/>
        </w:rPr>
        <w:br/>
        <w:t>a) Utrustning:</w:t>
      </w:r>
    </w:p>
    <w:p w14:paraId="2C5687F1" w14:textId="286968AB"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A7E60">
        <w:rPr>
          <w:rFonts w:ascii="Times New Roman" w:hAnsi="Times New Roman"/>
          <w:sz w:val="24"/>
        </w:rPr>
        <w:t>-</w:t>
      </w:r>
      <w:r>
        <w:rPr>
          <w:rFonts w:ascii="Times New Roman" w:hAnsi="Times New Roman"/>
          <w:sz w:val="24"/>
        </w:rPr>
        <w:t xml:space="preserve"> gaskromatograf utrustad med en flamjoniseringsdetektor och delad/splitlös injektor;</w:t>
      </w:r>
      <w:r>
        <w:rPr>
          <w:rFonts w:ascii="Times New Roman" w:hAnsi="Times New Roman"/>
          <w:sz w:val="24"/>
        </w:rPr>
        <w:br/>
      </w:r>
      <w:r w:rsidR="009A7E60">
        <w:rPr>
          <w:rFonts w:ascii="Times New Roman" w:hAnsi="Times New Roman"/>
          <w:sz w:val="24"/>
        </w:rPr>
        <w:t>-</w:t>
      </w:r>
      <w:r>
        <w:rPr>
          <w:rFonts w:ascii="Times New Roman" w:hAnsi="Times New Roman"/>
          <w:sz w:val="24"/>
        </w:rPr>
        <w:t xml:space="preserve"> kolumn som möjliggör god separation av </w:t>
      </w:r>
      <w:proofErr w:type="spellStart"/>
      <w:r>
        <w:rPr>
          <w:rFonts w:ascii="Times New Roman" w:hAnsi="Times New Roman"/>
          <w:sz w:val="24"/>
        </w:rPr>
        <w:t>cannabinoider</w:t>
      </w:r>
      <w:proofErr w:type="spellEnd"/>
      <w:r>
        <w:rPr>
          <w:rFonts w:ascii="Times New Roman" w:hAnsi="Times New Roman"/>
          <w:sz w:val="24"/>
        </w:rPr>
        <w:t xml:space="preserve">, </w:t>
      </w:r>
      <w:proofErr w:type="gramStart"/>
      <w:r>
        <w:rPr>
          <w:rFonts w:ascii="Times New Roman" w:hAnsi="Times New Roman"/>
          <w:sz w:val="24"/>
        </w:rPr>
        <w:t>t.ex.</w:t>
      </w:r>
      <w:proofErr w:type="gramEnd"/>
      <w:r>
        <w:rPr>
          <w:rFonts w:ascii="Times New Roman" w:hAnsi="Times New Roman"/>
          <w:sz w:val="24"/>
        </w:rPr>
        <w:t xml:space="preserve"> en 25 m lång och 0,22 mm glaskapillärkolonn impregnerad med en 5-procentig </w:t>
      </w:r>
      <w:proofErr w:type="spellStart"/>
      <w:r>
        <w:rPr>
          <w:rFonts w:ascii="Times New Roman" w:hAnsi="Times New Roman"/>
          <w:sz w:val="24"/>
        </w:rPr>
        <w:t>apolär</w:t>
      </w:r>
      <w:proofErr w:type="spellEnd"/>
      <w:r>
        <w:rPr>
          <w:rFonts w:ascii="Times New Roman" w:hAnsi="Times New Roman"/>
          <w:sz w:val="24"/>
        </w:rPr>
        <w:t xml:space="preserve"> fas av </w:t>
      </w:r>
      <w:proofErr w:type="spellStart"/>
      <w:r>
        <w:rPr>
          <w:rFonts w:ascii="Times New Roman" w:hAnsi="Times New Roman"/>
          <w:sz w:val="24"/>
        </w:rPr>
        <w:t>fenylmetylsiloxan</w:t>
      </w:r>
      <w:proofErr w:type="spellEnd"/>
      <w:r>
        <w:rPr>
          <w:rFonts w:ascii="Times New Roman" w:hAnsi="Times New Roman"/>
          <w:sz w:val="24"/>
        </w:rPr>
        <w:t>.</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Kalibreringsområden:</w:t>
      </w:r>
      <w:r>
        <w:rPr>
          <w:rFonts w:ascii="Times New Roman" w:hAnsi="Times New Roman"/>
          <w:sz w:val="24"/>
        </w:rPr>
        <w:br/>
        <w:t>Minst 3 punkter för förfarande A och 5 punkter för förfarande B, med punkterna 0,04 och 0,50 mg/ml 9-THC i extraktionslösning.</w:t>
      </w:r>
      <w:r>
        <w:rPr>
          <w:rFonts w:ascii="Times New Roman" w:hAnsi="Times New Roman"/>
          <w:sz w:val="24"/>
        </w:rPr>
        <w:br/>
        <w:t>c) Utrustningsförhållanden:</w:t>
      </w:r>
      <w:r>
        <w:rPr>
          <w:rFonts w:ascii="Times New Roman" w:hAnsi="Times New Roman"/>
          <w:sz w:val="24"/>
        </w:rPr>
        <w:br/>
        <w:t>Följande villkor anges som exempel för den kolumn som nämns i punkt a:</w:t>
      </w:r>
    </w:p>
    <w:p w14:paraId="282DEA67" w14:textId="25E6C224"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A7E60">
        <w:rPr>
          <w:rFonts w:ascii="Times New Roman" w:hAnsi="Times New Roman"/>
          <w:sz w:val="24"/>
        </w:rPr>
        <w:t>-</w:t>
      </w:r>
      <w:r>
        <w:rPr>
          <w:rFonts w:ascii="Times New Roman" w:hAnsi="Times New Roman"/>
          <w:sz w:val="24"/>
        </w:rPr>
        <w:t xml:space="preserve"> ugnstemperatur: 260 °C;</w:t>
      </w:r>
      <w:r>
        <w:rPr>
          <w:rFonts w:ascii="Times New Roman" w:hAnsi="Times New Roman"/>
          <w:sz w:val="24"/>
        </w:rPr>
        <w:br/>
      </w:r>
      <w:r w:rsidR="009A7E60">
        <w:rPr>
          <w:rFonts w:ascii="Times New Roman" w:hAnsi="Times New Roman"/>
          <w:sz w:val="24"/>
        </w:rPr>
        <w:t>-</w:t>
      </w:r>
      <w:r>
        <w:rPr>
          <w:rFonts w:ascii="Times New Roman" w:hAnsi="Times New Roman"/>
          <w:sz w:val="24"/>
        </w:rPr>
        <w:t xml:space="preserve"> injektortemperatur: 300 °C;</w:t>
      </w:r>
      <w:r>
        <w:rPr>
          <w:rFonts w:ascii="Times New Roman" w:hAnsi="Times New Roman"/>
          <w:sz w:val="24"/>
        </w:rPr>
        <w:br/>
      </w:r>
      <w:r w:rsidR="009A7E60">
        <w:rPr>
          <w:rFonts w:ascii="Times New Roman" w:hAnsi="Times New Roman"/>
          <w:sz w:val="24"/>
        </w:rPr>
        <w:t>-</w:t>
      </w:r>
      <w:r>
        <w:rPr>
          <w:rFonts w:ascii="Times New Roman" w:hAnsi="Times New Roman"/>
          <w:sz w:val="24"/>
        </w:rPr>
        <w:t xml:space="preserve"> detektortemperatur: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injicerad volym: 1 ml.</w:t>
      </w:r>
      <w:r>
        <w:rPr>
          <w:rFonts w:ascii="Times New Roman" w:hAnsi="Times New Roman"/>
          <w:sz w:val="24"/>
        </w:rPr>
        <w:br/>
        <w:t>4. Resultat</w:t>
      </w:r>
      <w:r>
        <w:rPr>
          <w:rFonts w:ascii="Times New Roman" w:hAnsi="Times New Roman"/>
          <w:sz w:val="24"/>
        </w:rPr>
        <w:br/>
        <w:t>Resultatet uttrycks med två decimaler, i gram 9-THC per 100 gram prov, torkat upp till konstant vikt. Resultatet är föremål för en tolerans på 0,03 % i absolut värde.</w:t>
      </w:r>
      <w:r>
        <w:rPr>
          <w:rFonts w:ascii="Times New Roman" w:hAnsi="Times New Roman"/>
          <w:sz w:val="24"/>
        </w:rPr>
        <w:br/>
        <w:t xml:space="preserve">Förfarande A: Resultatet motsvarar en bestämning per analysprov. Om det erhållna resultatet överskrider det gränsvärde som anges i </w:t>
      </w:r>
      <w:proofErr w:type="spellStart"/>
      <w:r>
        <w:rPr>
          <w:rFonts w:ascii="Times New Roman" w:hAnsi="Times New Roman"/>
          <w:sz w:val="24"/>
        </w:rPr>
        <w:t>asvnitt</w:t>
      </w:r>
      <w:proofErr w:type="spellEnd"/>
      <w:r>
        <w:rPr>
          <w:rFonts w:ascii="Times New Roman" w:hAnsi="Times New Roman"/>
          <w:sz w:val="24"/>
        </w:rPr>
        <w:t xml:space="preserve"> 1 i dekret xxx med tillämpning av artikel R. 5181 i folkhälsolagen för Cannabis, ska en andra bestämning göras per prov och resultatet ska vara genomsnittet av dessa två bestämningar.</w:t>
      </w:r>
      <w:r>
        <w:rPr>
          <w:rFonts w:ascii="Times New Roman" w:hAnsi="Times New Roman"/>
          <w:sz w:val="24"/>
        </w:rPr>
        <w:br/>
        <w:t>Förfarande B: Resultatet motsvarar genomsnittet av två bestämningar per prov.</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Utfärdat den 30 december 2021</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solidaritet och hälsa,</w:t>
      </w:r>
      <w:r>
        <w:rPr>
          <w:rFonts w:ascii="Times New Roman" w:hAnsi="Times New Roman"/>
          <w:sz w:val="24"/>
        </w:rPr>
        <w:br/>
        <w:t xml:space="preserve">Olivier </w:t>
      </w:r>
      <w:proofErr w:type="spellStart"/>
      <w:r>
        <w:rPr>
          <w:rFonts w:ascii="Times New Roman" w:hAnsi="Times New Roman"/>
          <w:sz w:val="24"/>
        </w:rPr>
        <w:t>Véran</w:t>
      </w:r>
      <w:proofErr w:type="spellEnd"/>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Ministern för jordbruk och livsmedel,</w:t>
      </w:r>
      <w:r>
        <w:rPr>
          <w:rFonts w:ascii="Times New Roman" w:hAnsi="Times New Roman"/>
          <w:sz w:val="24"/>
        </w:rPr>
        <w:br/>
        <w:t xml:space="preserve">Julien </w:t>
      </w:r>
      <w:proofErr w:type="spellStart"/>
      <w:r>
        <w:rPr>
          <w:rFonts w:ascii="Times New Roman" w:hAnsi="Times New Roman"/>
          <w:sz w:val="24"/>
        </w:rPr>
        <w:t>Denormandie</w:t>
      </w:r>
      <w:proofErr w:type="spellEnd"/>
    </w:p>
    <w:p w14:paraId="46C2DAED"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Biträdande minister för offentliga räkenskaper, knuten till ministern för ekonomi, finans och återhämtning</w:t>
      </w:r>
      <w:r>
        <w:rPr>
          <w:rFonts w:ascii="Times New Roman" w:hAnsi="Times New Roman"/>
          <w:sz w:val="24"/>
        </w:rPr>
        <w:br/>
        <w:t xml:space="preserve">Olivier </w:t>
      </w:r>
      <w:proofErr w:type="spellStart"/>
      <w:r>
        <w:rPr>
          <w:rFonts w:ascii="Times New Roman" w:hAnsi="Times New Roman"/>
          <w:sz w:val="24"/>
        </w:rPr>
        <w:t>Dussopt</w:t>
      </w:r>
      <w:proofErr w:type="spellEnd"/>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Biträdande minister till ministern för ekonomi, finans och återhämtning, ansvarig för industrin,</w:t>
      </w:r>
      <w:r>
        <w:rPr>
          <w:rFonts w:ascii="Times New Roman" w:hAnsi="Times New Roman"/>
          <w:sz w:val="24"/>
        </w:rPr>
        <w:br/>
      </w:r>
      <w:proofErr w:type="spellStart"/>
      <w:r>
        <w:rPr>
          <w:rFonts w:ascii="Times New Roman" w:hAnsi="Times New Roman"/>
          <w:sz w:val="24"/>
        </w:rPr>
        <w:t>Agnès</w:t>
      </w:r>
      <w:proofErr w:type="spellEnd"/>
      <w:r>
        <w:rPr>
          <w:rFonts w:ascii="Times New Roman" w:hAnsi="Times New Roman"/>
          <w:sz w:val="24"/>
        </w:rPr>
        <w:t xml:space="preserve"> </w:t>
      </w:r>
      <w:proofErr w:type="spellStart"/>
      <w:r>
        <w:rPr>
          <w:rFonts w:ascii="Times New Roman" w:hAnsi="Times New Roman"/>
          <w:sz w:val="24"/>
        </w:rPr>
        <w:t>Pannier-Runacher</w:t>
      </w:r>
      <w:proofErr w:type="spellEnd"/>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2352A1"/>
    <w:rsid w:val="005C1719"/>
    <w:rsid w:val="009A7E60"/>
    <w:rsid w:val="00B148B3"/>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8297</Characters>
  <Application>Microsoft Office Word</Application>
  <DocSecurity>0</DocSecurity>
  <Lines>188</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2022-04-01T14:41:00Z</dcterms:created>
  <dcterms:modified xsi:type="dcterms:W3CDTF">2022-04-01T14:41:00Z</dcterms:modified>
</cp:coreProperties>
</file>