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Ministerin määräys perusteista sen määrittämiseksi, milloin muovituotteiden valmistukseen tarkoitettu mekaanisesti käsitelty muovijäte lakkaa olemasta jätettä jätteistä ja pilaantuneesta maaperästä kiertotalouden hyväksi 8 päivänä huhtikuuta 2022 annetun lain 7/2022 mukaisesti</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Jätteistä ja tiettyjen direktiivien kumoamisesta 19 päivänä marraskuuta 2008 annetussa Euroopan parlamentin ja neuvoston direktiivissä 2008/98/EY (jäljempänä ’jätepuitedirektiivi’) ja jätteistä ja pilaantuneesta maaperästä kiertotalouden hyväksi 8 päivänä huhtikuuta 2022 annetussa laissa 7/2022,</w:t>
      </w:r>
      <w:r>
        <w:t xml:space="preserve"> </w:t>
      </w:r>
      <w:r>
        <w:rPr>
          <w:rFonts w:ascii="Arial" w:hAnsi="Arial"/>
          <w:sz w:val="20"/>
        </w:rPr>
        <w:t xml:space="preserve"> jolla direktiivi saatetaan osaksi Espanjan lainsäädäntöä, säädetään joukko vaatimuksia, jotka on täytettävä, jotta tiettyä jätelajia</w:t>
      </w:r>
      <w:r>
        <w:rPr>
          <w:rFonts w:ascii="Arial" w:hAnsi="Arial"/>
          <w:color w:val="FF0000"/>
          <w:sz w:val="20"/>
        </w:rPr>
        <w:t xml:space="preserve"> </w:t>
      </w:r>
      <w:r>
        <w:rPr>
          <w:rFonts w:ascii="Arial" w:hAnsi="Arial"/>
          <w:sz w:val="20"/>
        </w:rPr>
        <w:t xml:space="preserve"> ei hyödyntämisen jälkeen enää pidetä jätteenä.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Tätä oikeudellisen aseman muutosta koskevat neljä vaatimusta ovat seuraavat: syntyvää ainetta tai esinettä on määrä käyttää erityisiin tarkoituksiin; aineelle tai esineelle on olemassa markkinat tai kysyntää; syntyvä aine tai esine täyttää tiettyjen tarkoitusten mukaiset tekniset vaatimukset ja on tuotteisiin sovellettavien olemassa olevien säännösten ja standardien mukainen; ja syntyvän aineen tai esineen käytöstä ei aiheudu haitallisia kokonaisvaikutuksia ympäristölle eikä ihmisten terveydelle.</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Jätepuitedirektiivin, sellaisena kuin se on muutettuna 30 päivänä toukokuuta 2018 annetulla Euroopan parlamentin ja neuvoston direktiivillä (EU) 2018/851, 6 artiklassa säädetään, että jätteeksi luokittelun päättymisen oikeudellista käsitettä voidaan soveltaa Euroopan unionin tasolla, jäsenvaltion tasolla tai tapauskohtaisesti.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Ensimmäisellä tasolla Euroopan komissio voi arvioida tarpeen hyväksyä tällaiset perusteet tietyille jätevirroille täytäntöönpanosäädöksillä koko Euroopan unionin tasolla. Toisessa tapauksessa, jos perusteita ei ole vahvistettu yhteisön tasolla, jäsenvaltiot voivat vahvistaa tällaisia perusteita tietyille</w:t>
      </w:r>
      <w:r>
        <w:rPr>
          <w:rFonts w:ascii="Arial" w:hAnsi="Arial"/>
          <w:color w:val="FF0000"/>
          <w:sz w:val="20"/>
        </w:rPr>
        <w:t xml:space="preserve"> </w:t>
      </w:r>
      <w:r>
        <w:rPr>
          <w:rFonts w:ascii="Arial" w:hAnsi="Arial"/>
          <w:sz w:val="20"/>
        </w:rPr>
        <w:t>jätelajeille. Molemmissa tapauksissa direktiivissä säädettyjä jätteeksi luokittelun päättymistä koskevia vaatimuksia sovelletaan jätteeseen, joka on sallittua toimittaa hyödyntämistoimeen; sallittuihin käsittelyprosesseihin ja -tekniikoihin; sovellettavien tuotestandardien mukaisiin laatuvaatimuksiin materiaaleille, joita ei hyödyntämistoimen seurauksena enää luokitella jätteeksi, mukaan lukien tarvittaessa epäpuhtauksien raja-arvot; hallintajärjestelmiin, jotta ne osoittavat noudattavansa jätteeksi luokittelun päättymistä koskevia perusteita, mukaan lukien laadunvalvontaa ja omavalvontaa sekä akkreditointia koskevat perusteet, jos tämä on asianmukaista; ja vaatimustenmukaisuusilmoituksen toimittamiseen.</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Kolmannessa tapauksessa eli niin sanotussa tapauskohtaisessa tilanteessa jäsenvaltioilla on oikeus päättää tietyistä jätevirroista tapauskohtaisesti, jos perusteita ei ole vahvistettu Euroopan unionin eikä kansallisella tasolla. Toukokuun 30. päivänä 2018 annetussa direktiivissä (EU) 2018/851 säädetään, että kussakin tapauksessa on esitettävä tarvittaessa samat vaatimukset kuin mitä edellä kuvatuille kahdelle vaihtoehdolle asetettiin. Viimeksi mainitussa tapauksessa otetaan lisäksi huomioon epäpuhtauksien raja-arvot ja mahdolliset haittavaikutukset ympäristöön ja ihmisten terveyteen.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Huhtikuun 8. päivänä 2022 annetun lain 7/2022 5 §:ssä säädetään, että hyödyntämistoimen, kierrätys mukaan lukien, kohteena olevia tiettyjä jätteitä koskevat erityiset perusteet voidaan vahvistaa ministerin määräyksellä, jotta ne lakkaavat olemasta jätettä. Tätä tarkoitusta varten Euroopan unionin perustaman jätealan koordinointikomitean tekemän alustavan tutkimuksen mukaan sovellettavassa tapaoikeudessa otetaan tarvittaessa huomioon ennalta varautumisen ja ehkäisemisen periaatteet sekä syntyvän materiaalin mahdolliset haittavaikutukset.</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On syytä huomata, että uudella direktiivillä hyväksytty lähestymistapa Euroopan unionin ja kansallisen tason kehitykseen on sama kuin se, jota on sovellettu Espanjassa 8 päivänä huhtikuuta 2022 annetun lain 7/2022 5 §:n täytäntöönpanossa ministeriön määräyksillä, jotka koskevat jätteeksi luokittelun päättymistä.</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Tiettyjen muovijätteiden jätteeksi luokittelun päättymistä koskevia perusteita koskevan ehdotuksen osalta Euroopan komissio nimitti Euroopan unionin tasolla Yhteisen tutkimuskeskuksen (jäljempänä ’YTK’) tutkimaan tiettyjen muovijätteiden ehdotettuja jätteeksi luokittelun päättymistä </w:t>
      </w:r>
      <w:r>
        <w:rPr>
          <w:rFonts w:ascii="Arial" w:hAnsi="Arial"/>
          <w:sz w:val="20"/>
        </w:rPr>
        <w:lastRenderedPageBreak/>
        <w:t>koskevia perusteita ja sisällyttämään niihin kaikki perustiedot, jotka ovat tarpeen 19 päivänä marraskuuta 2008 annetun direktiivin 2008/98/EY 6 artiklan edellytysten noudattamisen varmistamiseksi. Tutkimus julkaistiin vuonna 2014, ja siihen kerättiin näkemyksiä jäsenvaltioiden asiantuntijoilta ja sidosryhmiltä.</w:t>
      </w:r>
      <w:r>
        <w:rPr>
          <w:rFonts w:ascii="Arial" w:hAnsi="Arial"/>
          <w:sz w:val="20"/>
          <w:shd w:val="clear" w:color="auto" w:fill="FFFFFF"/>
        </w:rPr>
        <w:t xml:space="preserve"> Tämän asiakirjan </w:t>
      </w:r>
      <w:r>
        <w:rPr>
          <w:rFonts w:ascii="Arial" w:hAnsi="Arial"/>
          <w:sz w:val="20"/>
        </w:rPr>
        <w:t xml:space="preserve"> liitteessä VI esitetään yhteenveto niin kutsuttujen kestomuovien (kertamuoveja lukuun ottamatta) ehdotetuista jätteeksi luokittelun päättymistä koskevista perusteista jakamalla perusteet useisiin osiin. Tutkimuksen julkaisemisesta huolimatta Euroopan komissio ei ole vielä tehnyt lainsäädäntöaloitteita näiden perusteiden antamiseksi muovijätevirralle Euroopan unionin tasolla.</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Seuraavaksi komissio hyväksyi ensimmäisen kiertotaloutta koskevan toimintasuunnitelman puitteissa vuoden 2018 alussa </w:t>
      </w:r>
      <w:r>
        <w:rPr>
          <w:rFonts w:ascii="Arial" w:hAnsi="Arial"/>
          <w:i/>
          <w:sz w:val="20"/>
        </w:rPr>
        <w:t xml:space="preserve"> EU:n strategian muoveista kiertotaloudessa</w:t>
      </w:r>
      <w:r>
        <w:rPr>
          <w:rFonts w:ascii="Arial" w:hAnsi="Arial"/>
          <w:sz w:val="20"/>
        </w:rPr>
        <w:t>, jossa käsitellään erityisesti muovien suunnitteluun, tuotantoon ja käyttöön liittyviä näkökohtia sekä erilliskeräystä ja nykyisiä mahdollisuuksia tämäntyyppisten jätteiden asianmukaiseen käsittelyyn. Sen lisäksi, että strategia sisältää luettelon konkreettisista toimenpiteistä, siinä korostetaan tarvetta vähentää muovien käytöstä ja muovijätteestä yhteiskunnalle ja ympäristölle aiheutuvia epämieluisia vaikutuksia, ja siihen sisältyy tavoite käyttää uusien tuotteiden valmistukseen kierrätettyä muovia 10 miljoonaa tonnia vuodessa tästä hetkestä vuoteen 2025 ja siten edistää muovijätteen kierrätystä Euroopan unionissa.</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Käsite ”muovi” kattaa valtavan määrän erilaisia materiaaleja, joissa kaikissa on monomeereiksi kutsuttuja rakenteita pitkien ketjujen muodossa. Tämän perusyksikön perusteella kunkin muovin perustana on sekä polymeeri (monomeeriketju) että kaikki kemikaalit, joita lisätään erilaisia ominaisuuksia varten. Ominaisuuksista riippuen muoveja voidaan käyttää muun muassa eristys-, lämpö-, rakenne-, kevennys- ja suoja-aineina. Tunnustetun toiminnallisuutensa, monipuolisuutensa ja hintansa ansiosta muoveilla on lukuisia sovelluksia eri aloilla, jotka vaihtelevat säiliöiden ja pakkausten jokapäiväisestä kotitalouskäytöstä esimerkiksi rakentamiseen, autoteollisuuteen, koneteollisuuteen, elektroniikkaan, maatalouteen, kankaisiin ja huonekaluihin. Pakkauksissa käytettävien muovien kysyntä on määrällisesti suurinta muihin käyttötarkoituksiin verrattuna.</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Koska muoveilla on hyvin erilaisia ominaisuuksia ja niitä käytetään niin monissa eri sovelluksissa, muovien käyttö on niin laajaa ja siksi syntyvän muovijätteen määrä on erittäin tärkeä ja viime vuosina kasvussa. Monipuolisuutensa lisäksi muoveille ominaista on tuotteiden käyttöiän vaihtelevuus, ja se voi vaihdella tiettyjen kuluttajatuotteiden minuuteista esimerkiksi rakentamisessa tai koneteollisuudessa käytettyjen muovien useisiin vuosiin. Tällä näkökohdalla on myös suuri vaikutus jätevirtaan sekä tiettyjen kemiallisten aineiden tai seosten esiintymiseen joissakin jätteissä.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Muovijätteen sisältämät kemialliset aineet tai seokset ovat epäilemättä erittäin tärkeitä ympäristön ja ihmisten terveyden suojelun kannalta. Tästä syystä kansalaisten vaatimukset ratkaista sekä välittömään saastumiseen liittyvä ongelma että toteuttaa asianmukaisimpia käsittelyjä jätevirran hallitsemiseksi ovat lisääntyneet. Tältä osin pysyvistä orgaanisista yhdisteistä (POP-yhdisteet) 20 päivänä kesäkuuta 2019 annetussa Euroopan parlamentin ja neuvoston asetuksessa (EU) 2019/1021 edellytetään, että liitteessä IV luetelluista aineista koostuva, niitä sisältävä tai niiden saastuttama jäte pitoisuuksina, jotka ylittävät mainitussa liitteessä vahvistetut pitoisuudet, on loppukäsiteltävä tai hyödynnettävä tietyillä käsittelytoimilla, joilla varmistetaan POP-yhdisteiden pitoisuuden hävittäminen tai muuntaminen palautumattomasti, kun kierrätys ei ole mahdollista. Lisäksi sovelletaan säännöksiä, jotka koskevat näiden aineiden valmistusta, markkinoille saattamista ja käyttöä esineissä, jotka on valmistettu muoveista, joiden jätteeksi luokittelu päättyy.</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 xml:space="preserve">Baselin yleissopimuksen perusteella useat jäsenvaltiot ovat laatineet ohjeita POP-yhdisteitä sisältävien jätevirtojen asianmukaisesta hallinnasta. Euroopan komissio julkaisi vuonna 2019 kunnianhimoisen tutkimuksen, jossa keskitytään 20 päivänä kesäkuuta 2019 annetun Euroopan parlamentin ja neuvoston asetuksen (EU) 2019/1021 liitteissä IV ja V vahvistettujen rajojen tarkistamiseen. Tutkimuksessa korostetaan, että purkaminen ja mekaaninen erottaminen voidaan yleensä toteuttaa tehokkaana ensimmäisenä vaiheena, jolla vähennetään tuotantoon palaavan POP-yhdisteitä sisältävän jätteen määrää. Nämä käsittelyt soveltuvat paremmin sähkö- ja elektroniikkalaiteromulle, kun taas muihin virtoihin, kuten käytöstä poistettuihin ajoneuvoihin sekä </w:t>
      </w:r>
      <w:r>
        <w:rPr>
          <w:rFonts w:ascii="Arial" w:hAnsi="Arial"/>
          <w:sz w:val="20"/>
        </w:rPr>
        <w:lastRenderedPageBreak/>
        <w:t>rakennus- ja purkujätteeseen, liittyy enemmän käytännön esteitä. Ihannetapauksessa POP-yhdisteitä sisältävä jäte erotettaisiin mahdollisimman pian jätteenkäsittelyketjussa.</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Kun siitä tulee jätettä, kierrätyksen onnistuminen tästä virrasta on hyvin vaihtelevaa ja riippuu jätelajista ja alkuperästä. Komission omien tietojen mukaan Euroopassa kerätään vuosittain yli 27 miljoonaa tonnia muovijätettä. Tästä vuotuisesta määrästä alle kolmannes on tarkoitettu kierrätyslaitoksiin, ja suuria määriä päätyy kaatopaikalle, poltetaan tai viedään maasta. Euroopan komissio on todennut, että vuoteen 2030 mennessä kunkin jäsenvaltion on kierrätettävä 55 prosenttia muovipakkausjätteestä.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Muovi- tai muovien tuotantoteollisuus, joka tunnetaan jalostusteollisuutena, on erotettava muista näiden materiaalien kiertoon osallistuvista toimijoista, kun materiaaleista tulee jätettä, eli muovijätettä käsittelevistä tahoista. Jätteeksi luokittelun päättymisen yhteydessä, kun muovituotteet on saatettu markkinoille riippumatta siitä, kuinka paljon niiden käyttöikä vaihtelee, niistä tulee jätettä milloin tahansa. Ne on sen jälkeen käsiteltävä 8 päivänä huhtikuuta 2008 annetun lain 7/2022 mukaisesti sellaisten muovijätettä käsittelevien tahojen tiloissa, jotka on nimenomaisesti hyväksytty tällaista käsittelyä varten. Tässä virrassa on tavallista, että ennen lopullista hyödyntämistä tapahtuvaa käsittelyä muovijäte kulkee muiden sellaisten tahojen kautta, jotka yleensä toteuttavat vähintään yhden luokituksen. Asianmukaisesti käsiteltyä jätettä voidaan käyttää suoraan raaka-aineena, jonka jalostusteollisuus sisällyttää uusien valmiiden tai puolivalmiiden muovituotteiden valmistukseen, mikä muodostaa kiertotalousmallin.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Asiaan voidaan lisätä tarvittava vivahde, ja tämän määräyksen soveltamisala kattaa ainoastaan edellisessä kohdassa kuvatun virran eli muovijätteen, joka kulkee yhden tai useamman jätteenkäsittelylaitoksen kautta ennen kuin se saapuu lopulliseen käsittelylaitokseensa. Teollisuudessa kaikki muovituotteiden tuotannossa syntyvät jätteet (jäännökset, palat, vaatimustenvastaiset tuotteet jne.), jotka on saatu tehtaalta ja jotka sisällytetään suoraan jalostusteollisuuteen, kuuluvat sivutuotteen käsitteen piiriin, eivätkä ne lakkaa olemasta jätettä, koska ne eivät kulje minkään jätteitä käsittelevän tahon kautta. Tätä näkökohtaa, joka koskee ainoastaan teollisuusympäristön jätteitä, jotka eivät ole saavuttaneet kuluttajaa, eli teollisuusjätettä, ei säännellä tällä standardilla.</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Se on virta, jolla ei vielä ole yhtä yhtenäistä sääntelykehystä Euroopan unionin tasolla. Ainoastaan Portugali on julkaissut jätteeksi luokittelun päättymistä koskevat perusteet YTK:n teknisen tutkimuksen perusteella. Kun otetaan huomioon tämän jätevirran merkitys ja sääntelyn puuttuminen Euroopan unionin tasolla, katsotaan olennaisen tärkeäksi antaa ministerin määräys, jota sovelletaan Espanjassa. Se antaa suoria etuja kannustimeksi, jolla lisätään tämäntyyppisen jätteen erillistä ja tehokasta keräysmäärää; nostetaan kierrätysastetta; parannetaan jätteenkäsittelyä ja asianmukaisilla käsittelytoimilla talteen otetun raaka-aineen laadunvalvontaa. Jätteeksi luokittelun päättyminen vähentää myös jätteiden siirtoihin liittyviä hallinnollisia muodollisuuksia, eivätkä ne ole tarpeen ympäristöä ja ihmisten terveyttä koskevien materiaalien osalta, toisin kuin jätealalla, jolla siirtojen valvonta on välttämätöntä.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Tämän määräyksen tarkoituksena on vahvistaa jätteeksi luokittelun päättymistä koskevat perusteet erityisesti mekaanisesti käsitellylle kestomuovijätteelle, ja se on voimassa koko Espanjan alueella, kuten 8 päivänä huhtikuuta 2022 annetun lain 7/2022 5 §:ssä säädetään. Perusteet perustuvat edellä mainittuun YTK:n laatimaan tekniseen asiakirjaan.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Tämän määräyksen tarkoituksena on siten määrittää, mitkä vaatimukset mekaaniseen käsittelyyn soveltuvan kestomuovijätteen on täytettävä, mitä vaatimuksia jätteitä käsittelevien tahojen on täytettävä ja mitkä laatuvaatimukset syntyvän materiaalin on täytettävä hyödyntämistoimen jälkeen sovellettavien tuotestandardien mukaisesti, sekä menettely, jolla varmistetaan, että jätteeksi luokittelun päättymistä koskevia perusteita noudatetaan, hallintajärjestelmien avulla.</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On myös huomattava, että standardi kattaa ainoastaan mekaanisen käsittelyn eikä muita käsittelyjä, kuten erilaisia kemiallisia käsittelyjä, jotka voidaan suorittaa samalle jätevirralle.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lastRenderedPageBreak/>
        <w:t xml:space="preserve">Jotta pysyviä orgaanisia yhdisteitä (POP-yhdisteitä) koskeva monimutkainen kysymys voidaan varmistaa tietyissä muovijätevirroissa, ehdotetaan kahden tason eriyttämistä. Yhtäältä niissä kanavissa, joissa on suurempi varmuus siitä, että POP-yhdisteitä ja vaarallisia aineita ei esiinny, edistetään jäljitettävyyttä varmistamalla, mistä jätteeksi luokittelun päättämistä varten vastaanotetut jätteet ovat peräisin, ja varmistamalla, että kyseiset jätteet käsitellään erikseen ilman, että mikään välivaiheen taho sekoittaa niihin muista lähteistä peräisin olevia jätteitä. Ja lopuksi, kun tämä konkreettinen, tunnistettava ja jäljitettävissä oleva jäte saavuttaa lopullisen hyödyntäjän, jäljitettävyys varmistetaan yksinkertaisesti antamalla vaatimustenmukaisuusilmoitus kustakin aineen lähetyksestä, joka vastaanotetaan viimeksi mainitun tahon laitoksessa.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Toisaalta muun muassa vaarallisen jätteen, sähkö- ja elektroniikkalaiteromun, käytöstä poistettujen ajoneuvojen sekä rakennus- ja purkujätteen virroista, joissa tiedetään olevan vaarallisia aineita ja POP-yhdisteitä, peräisin olevien jätteiden osalta on myös varmistettava yksiselitteisesti jätteen alkuperä, ja edellä tarkoitetun jätteen käsittely on pidettävä erillään kaikissa ketjuun osallistuvissa tahoissa, kunnes se saavuttaa lopullisen hyödyntäjän. Tämä ei kuitenkaan rajoita näiden jätteiden erityistä puhdistamista 20 päivänä kesäkuuta 2019 annetun Euroopan parlamentin ja neuvoston asetuksen (EU) 2019/1021 säännösten mukaisesti. Yleiskuva tämän asetuksen vaikutuksista muovijätteisiin ja muovin alaryhmiin sekä tapauskohtaisesti sovellettavat toimet on sisällytetty ohjeena liitteeseen IV.</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Kierrätetyn muovimateriaalin, joka täyttää nämä jätteeksi luokittelun päättymistä koskevat perusteet ja jota ei sen vuoksi enää katsota jätteeksi, jokaisen lähetyksen mukana on oltava vastaava vaatimustenmukaisuusilmoitus, jonka sisältö ja tiedot ovat liitteen III mukaiset, kyseisen materiaalin myöhemmästä määränpäästä riippuen. Näin ollen jäljitettävyyden varmistamisen lisäksi tämä kutakin lähetystä koskeva asiakirjavaatimus on elintarvikkeiden kanssa kosketukseen joutuvista kierrätysmuovimateriaaleista ja -tarvikkeista ja asetuksen (EY) N:o 2023/2006 muuttamisesta 27 päivänä maaliskuuta 2008 annetusta komission asetuksesta (EY) N:o 282/2008 johtuvien velvoitteiden mukainen. Koska elintarvikkeiden kanssa kosketukseen joutuvien materiaalien alalla jätteenkerääjän on annettava käsittelijälle tiedot siitä, että kierrätetty muovimateriaali on tuotettu hyväksytyllä menetelmällä, ja täsmennettävä sen laajuus, tämän määräyksen mukaisen kierrätetyn, elintarvikkeiden kanssa kosketukseen joutuvien materiaalien tai -tarvikkeiden valmistukseen tarkoitetun muovimateriaalin mukana on oltava vaatimustenmukaisuusilmoitus, johon on sisällyttävä myös tiettyjä 27 päivänä maaliskuuta 2008 annetun komission asetuksen (EY) N:o 282/2008 12 artiklan 2 kohdassa säädettyjä lisätietoja, mukaan lukien kyseisen asetuksen liitteessä I olevassa B osassa täsmennetyt ja tämän määräyksen liitteessä III olevassa 1 osassa toistetut lisätiedot.</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Tämän määräyksen mukaisesti käsiteltyä muovijätettä on lopullisen hyödyntämisen jälkeen käytettävä suoraan jalostusteollisuudessa. Syntyvän materiaalin jätteeksi luokittelun päättymiseen liittyvä peruskysymys ei ole saatujen materiaalien fyysisessä muodossa vaan mahdollisuudessa käyttää niitä suoraan ja korvata niillä uudet muoviraaka-aineet eri muovituotteiden valmistusteollisuudessa.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Koska käyttöä elintarvikkeiden kanssa kosketukseen joutuvana materiaalina on jo rajoitettu ja säännelty EU:n lainsäädännöllä, tähän tarkoitukseen tarkoitettuun käsiteltyyn muovijätteeseen sovelletaan 27 päivänä maaliskuuta 2008 annetun komission asetuksen (EY) N:o 282/2008 erityissäännöksiä muiden asiaa koskevien eurooppalaisten standardien säännösten lisäksi. Sen vuoksi tässä ministerin määräyksessä on erotettava toisistaan kaksi myöhempää määränpäätä, vaikka nämä kaksi materiaalilajia ovat myös ehdokkaita vastaavalle jätteeksi luokittelun päättymiselle. Yhtäältä niiden materiaalien, jotka joutuvat kosketukseen elintarvikkeiden kanssa, on täytettävä voimassa olevissa EU:n asetuksissa säädetyt vaatimukset sekä kansallisella tasolla elintarvikkeiden kanssa kosketukseen joutuvissa materiaaleissa ja tarvikkeissa käytettäviä, kierrätettyihin polymeerimateriaaleihin perustuvia raaka-aineita koskevista ehdoista 17 päivänä kesäkuuta 2011 annetun kuninkaan asetuksen 846/2011 säännökset. Toisaalta kaikkien muiden mekaanisesti käsiteltyjen muovimateriaalien, jotka on tarkoitettu jalostusteollisuuteen muunlaisten muovituotteiden valmistukseen, on oltava vastaavan standardin tai käyttäjän vaatimien teknisten eritelmien mukaisia.</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lastRenderedPageBreak/>
        <w:t>Näin ollen muuta muovijätettä, joka ei sisälly liitteeseen I, sekä mekaanisesti käsiteltyä muovijätettä, joka ei täytä muita säädettyjä perusteita, pidetään edelleen 8 päivänä huhtikuuta 2022 annetussa laissa 7/2022 tarkoitettuna jätteenä, ja sitä on käsiteltävä kyseisessä laissa säädetyn oikeudellisen järjestelmän mukaisesti. Tai jos se on tarkoitettu energian hyödyntämislaitoksiin, kyseisten laitosten on noudatettava teollisuuden päästöjä koskevan määräyksen hyväksymisestä ja saastumisen ehkäisemisen ja vähentämisen yhtenäistämisestä 1 päivänä heinäkuuta 2002 annetun lain nro 16/2002 soveltamisesta 18 päivänä lokakuuta 2013 annetun kuninkaan asetuksen nro 815/2013 IV luvun säännöksiä kyseisissä säädöksissä säädetyn ympäristönsuojelun varmistamiseksi.</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Kun tämä määräys tulee voimaan, sen soveltaminen on vapaaehtoista muovijätettä käsitteleville tahoille, mutta jos lopullinen taho haluaa pitää käsiteltyä muovijätettä kaupan tuotteena, sen on noudatettava tätä standardia. Jotta voidaan varmistaa, että muovijätettä käsittelevä taho noudattaa standardia, on tarpeen, että kyseiset tahot ilmoittavat siitä asianomaiselle aluehallinnolle. Niiden on siis lähetettävä ilmoitus aluehallinnolle, joka on hyväksynyt laitoksen lain mukaisesti, käyttämällä liitteessä II olevaa mallia.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Kun otetaan huomioon, että jätteeksi luokittelun päättymistä koskevat perusteet ovat sitovia ainoastaan siinä jäsenvaltiossa, joka ne on säätänyt, kuten Euroopan komissio on todennut, vastaanottomaalla ei ole velvollisuutta hyväksyä materiaalin luokittelua muuksi kuin jätteeksi alkuperämaan jätteeksi luokittelun päättymistä koskevien perusteiden perusteella, kun materiaalit siirretään toiseen jäsenvaltioon. Tämän vuoksi siirrot toteutetaan jätteiden siirrosta 14 päivänä kesäkuuta 2006 annetun Euroopan parlamentin ja neuvoston asetuksen (EY) N:o 1013/2006 mukaisesti, jos vastaanottomaa ei ole ennalta erikseen ilmaissut hyväksyvänsä mainittua luokittelua tuotteeksi. Jos lähtömaa tai vastaanottomaa on kolmas maa eli maa, joka ei ole Euroopan unionin jäsen, siirto on joka tapauksessa suoritettava edellä mainitun asetuksen mukaisesti.</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Tämä määräys on julkishallinnon yhteisestä hallintomenettelystä 1 päivänä lokakuuta 2015 annetun lain 39/2015 129 §:ssä vahvistettujen hyvän sääntelyn periaatteiden mukainen. Tarpeellisuuden ja tehokkuuden periaatteiden mukaisesti tämä määräys perustuu ihmisten terveyden ja ympäristön asianmukaiseen suojeluun, ja sillä helpotetaan muovituotteiden palauttamista tuotantoon ainoastaan sellaisten turvallisten materiaalien osalta, jotka täyttävät myöhemmän käytön edellyttämät vaatimukset. Se perustuu lisäksi tavoitteiden selkeään määrittelyyn ja, koska asetetut vaatimukset ovat luonteeltaan erittäin teknisiä, sitä pidetään tarkoituksenmukaisena välineenä tavoitteiden saavuttamiseksi.</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Tämä säädös on suhteellisuusperiaatteen mukainen, koska sillä säännellään sen tavoitteen kannalta olennaisia seikkoja eli sitä, milloin tietty mekaanisesti ja asianmukaisesti käsitelty muovijäte lakkaa olemasta jätettä 8 päivänä huhtikuuta 2022 annetun lain 7/2022 mukaisesti.</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Oikeusvarmuuden periaatteen mukaisesti säädös on yhdenmukainen muun kansallisen ja Euroopan unionin oikeusjärjestyksen kanssa, mikä lisää oikeusvarmuutta luomalla vakaat, ennakoitavat, yhdenmukaiset ja tietyt sääntelypuitteet, joilla helpotetaan asianomaisten alojen tietoja ja ymmärrystä ja siten toimintaa ja päätöksentekoa.</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Siinä noudatetaan myös avoimuuden periaatetta, koska kaikkia julkisia tiedotus- ja kuulemismenettelyjä on noudatettu tunnollisesti.</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Lopuksi tehokkuusperiaatetta soveltamalla tällä standardilla varmistetaan, että sen tavoitteet saavutetaan mahdollisimman tehokkaasti mahdollisimman alhaisin soveltamiskustannuksin.</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 xml:space="preserve">Tähän ministerin määräykseen on sovellettu määräyksiä koskevien tietojen toimittamisessa noudatettavaa menettelyä, josta säädetään teknisiä standardeja ja määräyksiä ja tietoyhteiskunnan palveluja koskevia määräyksiä koskevien tietojen toimittamisesta 31 päivänä heinäkuuta 1999 annetussa kuninkaan asetuksessa nro 1337/1999, jolla pannaan täytäntöön teknisiä määräyksiä ja tietoyhteiskunnan </w:t>
      </w:r>
      <w:r>
        <w:rPr>
          <w:rFonts w:ascii="Arial" w:hAnsi="Arial"/>
          <w:sz w:val="20"/>
        </w:rPr>
        <w:lastRenderedPageBreak/>
        <w:t>palveluja koskevia määräyksiä koskevien tietojen toimittamisessa noudatettavasta menettelystä 9 päivänä syyskuuta 2015 annettu Euroopan parlamentin ja neuvoston direktiivi (EU) 2015/1535.</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Määräyksen täytäntöönpanovaltuuksista säädetään 8 päivänä huhtikuuta 2022 annetun lain 7/2022 5 §:ssä ja sen perustuslaillisesta perustasta perustuslain 149 §:n 1 momentin 23 alakohdassa, jossa valtiolle annetaan yksinomainen toimivalta ympäristönsuojelua koskevaan peruslainsäädäntöön liittyvissä asioissa, sanotun kuitenkaan rajoittamatta itsehallintoalueiden toimivaltaa asettaa suojelua koskevia täydentäviä standardeja.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Tätä määräystä laadittaessa on kuultu itsehallintoalueita ja asianomaisia aloja edustavia yksiköitä; siihen on myös sovellettu julkista tiedotusmenettelyä, ja se on toimitettu jätealan koordinointikomitealle ja ympäristöasioiden neuvoa-antavalle lautakunnalle tiedon saatavuutta, yleisön osallistumista sekä oikeuden saatavuutta koskevista oikeuksista ympäristöasioissa 18 päivänä heinäkuuta 2006 annetun lain 27/2006 säännösten mukaisesti.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Tämän perusteella, valtiovarain- ja julkishallintoministerin ennakkohyväksynnällä, valtioneuvoston suostumuksella / valtioneuvostoa kuultuani säädän seuraavaa:</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1 §. </w:t>
      </w:r>
      <w:r>
        <w:rPr>
          <w:rFonts w:ascii="Arial" w:hAnsi="Arial"/>
          <w:b/>
          <w:i/>
          <w:sz w:val="20"/>
          <w:shd w:val="clear" w:color="auto" w:fill="FFFFFF"/>
        </w:rPr>
        <w:t>Tarkoitus ja soveltamisala.</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Tämän määräyksen tarkoituksena on vahvistaa perusteet sen määrittämiseksi, milloin muovituotteiden valmistukseen tarkoitettu mekaanisesti käsitelty muovijäte lakkaa olemasta jätettä jätteistä ja pilaantuneesta maaperästä kiertotalouden hyväksi 8 päivänä huhtikuuta 2022 annetun lain 7/2022 mukaisesti.</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Muovijäte, joka ei ole tämän määräyksen säännösten mukaista, katsotaan jätteeksi, ja se hyödynnetään tai loppukäsitellään 8 päivänä huhtikuuta 2022 annetun lain 7/2022 ja muiden siihen sovellettavien säädösten mukaisesti.</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Tässä määräyksessä säädettyjä perusteita sovelletaan koko Espanjan valtion alueella.</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2 §. </w:t>
      </w:r>
      <w:r>
        <w:rPr>
          <w:rFonts w:ascii="Arial" w:hAnsi="Arial"/>
          <w:b/>
          <w:i/>
          <w:sz w:val="20"/>
        </w:rPr>
        <w:t>Määritelmät.</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Tässä määräyksessä sovelletaan 8 päivänä huhtikuuta 2022 annetussa laissa 7/2022 säädettyjen määritelmien lisäksi seuraavia määritelmiä:</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muovi’: materiaali, joka on valmistettu polymeeristä, sellaisena kuin se määritellään kemikaalien rekisteröinnistä, arvioinnista, lupamenettelyistä ja rajoituksista (REACH), Euroopan kemikaaliviraston perustamisesta, direktiivin 1999/45/EY muuttamisesta sekä neuvoston asetuksen (ETY) N:o 793/93, komission asetuksen (EY) N:o 1488/94, neuvoston direktiivin 76/769/ETY ja komission direktiivien 91/155/ETY, 93/67/ETY, 93/105/EY ja 2000/21/EY kumoamisesta 18 päivänä joulukuuta 2006 annetun Euroopan parlamentin ja neuvoston asetuksen (EY) N:o 1907/2006 3 artiklan 5 kohdassa, joka voi sisältää lisäaineita tai muita lisättyjä aineita ja joka voi toimia lopputuotteiden pääasiallisena rakenneosana, lukuun ottamatta kemiallisesti muunnettuja luonnonpolymeerejä;</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’muovijäte’: tuote, joka on valmistettu muovista tai joka sisältää muovia ja joka hävitetään tai joka on tarkoitettu hävitettäväksi tai joka on loppukäsiteltävä. Käsite kattaa teollisuusjätteet ja kulutusjätteet, sekä käsittelemättömät että käsitellyt jätteet;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t xml:space="preserve"> </w:t>
      </w:r>
      <w:r>
        <w:rPr>
          <w:rFonts w:ascii="Arial" w:hAnsi="Arial"/>
          <w:sz w:val="20"/>
          <w:shd w:val="clear" w:color="auto" w:fill="FFFFFF"/>
        </w:rPr>
        <w:t>c) ’kierrätetty muovimateriaali’: materiaali, joka on saatu muovijätteestä, jota käsitellään mekaanisesti hyväksytyissä käsittelylaitoksissa lopulliseksi käsittelyksi katsotulla käsittelyllä ja joka täyttää tämän standardin vaatimukset ja joka lakkaa olemasta jätettä 8 päivänä huhtikuuta 2022 annetun</w:t>
      </w:r>
      <w:bookmarkEnd w:id="0"/>
      <w:r>
        <w:rPr>
          <w:rFonts w:ascii="Arial" w:hAnsi="Arial"/>
          <w:sz w:val="20"/>
        </w:rPr>
        <w:t>lain 7/2022 mukaisesti;</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lastRenderedPageBreak/>
        <w:t xml:space="preserve">d) ’muu kuin muoviosa’: materiaali, joka on luonteeltaan muita kuin polymeerejä ja kemiallisia lisäaineita, jotka ovat osa jotakin muovijätettä tai </w:t>
      </w:r>
      <w:r>
        <w:rPr>
          <w:rFonts w:ascii="Arial" w:hAnsi="Arial"/>
          <w:sz w:val="20"/>
        </w:rPr>
        <w:t>kierrätettyä muovimateriaalia</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’tuottaja’: </w:t>
      </w:r>
      <w:r>
        <w:rPr>
          <w:rFonts w:ascii="Arial" w:hAnsi="Arial"/>
          <w:sz w:val="20"/>
        </w:rPr>
        <w:t>valtuutettu jätteen käsittelystä vastaava taho, joka suorittaa lopulliset käsittelytoimet saadakseen materiaalin tietyillä ominaisuuksilla ja joka siirtää sen ensimmäistä kertaa kierrätettynä muovimateriaalina, joka on lakannut olemasta jätettä;</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’haltija’: luonnollinen henkilö tai oikeushenkilö, jonka hallussa kierrätetty muovimateriaali on;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g) ’maahantuoja’: luonnollinen henkilö tai oikeushenkilö, joka tuo</w:t>
      </w:r>
      <w:r>
        <w:rPr>
          <w:rFonts w:ascii="Arial" w:hAnsi="Arial"/>
          <w:color w:val="FF0000"/>
          <w:sz w:val="20"/>
          <w:shd w:val="clear" w:color="auto" w:fill="FFFFFF"/>
        </w:rPr>
        <w:t xml:space="preserve"> </w:t>
      </w:r>
      <w:r>
        <w:rPr>
          <w:rFonts w:ascii="Arial" w:hAnsi="Arial"/>
          <w:sz w:val="20"/>
          <w:shd w:val="clear" w:color="auto" w:fill="FFFFFF"/>
        </w:rPr>
        <w:t xml:space="preserve">kierrätettyä muovimateriaalia, joka on lakannut olemasta jätettä tämän määräyksen mukaisesti, Espanjaan </w:t>
      </w:r>
      <w:r>
        <w:rPr>
          <w:rFonts w:ascii="Arial" w:hAnsi="Arial"/>
          <w:sz w:val="20"/>
        </w:rPr>
        <w:t>joko Euroopan unionin jäsenvaltiosta tai kolmannesta maasta</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’kauppias’: luonnollinen henkilö tai oikeushenkilö, joka osallistuu sellaisen kierrätetyn muovimateriaalin hankintaan, joka on lakannut olemasta jätettä tämän määräyksen mukaisesti, ja myöhempään myyntiin muovituotteiden tuotantolaitoksille, vaikka sillä ei olisi kyseistä materiaalia fyysisesti hallussaan;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’pätevä henkilöstö’: henkilöt, jotka kokemuksen tai koulutuksen avulla voivat asianmukaisesti tutkia ja arvioida sekä muovijätteen että kierrätetyn muovimateriaalin ominaisuuksia;</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’silmämääräinen tarkastus’: kaiken muovijätteen tai kierrätetyn muovimateriaalin tarkastus näköaistia tai muita aisteja tai erikoistumattomia laitteita käyttäen;</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’erä’: sellaisen samanlaatuisen kierrätetyn muovimateriaalin yksikkö, joka on tuotettu samassa käsittelylaitoksessa ja jonka osalta liitteessä I olevan 3 kohdan vaatimukset on varmistettu;</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’lähetys’: kierrätetyn muovimateriaalin erä, jonka tuottaja on tarkoittanut toiselle haltijalle ja joka voi sisältyä yhteen tai useampaan kuljetusyksikköön, kuten säiliöihin.</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3 §. </w:t>
      </w:r>
      <w:r>
        <w:rPr>
          <w:rFonts w:ascii="Arial" w:hAnsi="Arial"/>
          <w:b/>
          <w:i/>
          <w:sz w:val="20"/>
        </w:rPr>
        <w:t>Jätteeksi luokittelun päättymistä koskevat perusteet.</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Muovituotteiden valmistukseen tarkoitettu kierrätetty muovimateriaali lakkaa olemasta jätettä, kun se poistuu tuottajan tiloista haltijan tiloihin ja täyttää seuraavat vaatimukset:</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käsiteltäväksi tarkoitettu muovijäte on yksinomaan sellaista, joka täyttää liitteessä I olevan 1 jakson perusteet;</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muovijätteelle on tehty yksi tai useampi hyödyntämistoimi liitteessä I olevassa 2 kohdassa säädettyjen perusteiden </w:t>
      </w:r>
      <w:r>
        <w:rPr>
          <w:rFonts w:ascii="Arial" w:hAnsi="Arial"/>
          <w:color w:val="000000"/>
          <w:sz w:val="20"/>
          <w:shd w:val="clear" w:color="auto" w:fill="FFFFFF"/>
        </w:rPr>
        <w:t>mukaisesti</w:t>
      </w:r>
      <w:r>
        <w:rPr>
          <w:rFonts w:ascii="Arial" w:hAnsi="Arial"/>
          <w:sz w:val="20"/>
          <w:shd w:val="clear" w:color="auto" w:fill="FFFFFF"/>
        </w:rPr>
        <w:t>;</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käsitelty muovijäte täyttää liitteessä I olevassa 3 kohdassa säädetyt perusteet;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tuottaja tai maahantuoja on täyttänyt 5, 6 ja 7 §:ssä sekä tarvittaessa 4 §:ssä säädetyt velvoitteet.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Luonnollisten henkilöiden tai oikeushenkilöiden, jotka haluavat hankkia kierrätettyä muovimateriaalia, on noudatettava tätä standardia ja ilmoitettava itsehallintoalueelle, jossa lopullinen käsittelylaitos sijaitsee ja jossa kierrätetty muovimateriaali on hankittu, että perusteet on täytetty ennen ensimmäistä lähetystä. Ilmoitus on tehtävä laitoksen hyväksyneelle toimivaltaiselle alueelliselle viranomaiselle osoitetulla hakemuksella, jossa on vähintään liitteessä II säädetyt tiedot.</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lastRenderedPageBreak/>
        <w:t xml:space="preserve">4 §. </w:t>
      </w:r>
      <w:r>
        <w:rPr>
          <w:rFonts w:ascii="Arial" w:hAnsi="Arial"/>
          <w:b/>
          <w:i/>
          <w:sz w:val="20"/>
        </w:rPr>
        <w:t>Elintarvikkeiden kanssa kosketukseen joutuvien materiaalien valmistukseen tarkoitettu kierrätetty muovimateriaali.</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Euroopan unionin tasolla voimassa olevien säädösten mukaan, kun kierrätetty muovimateriaali on tarkoitettu elintarvikkeiden kanssa kosketukseen joutuvien materiaalien tai tarvikkeiden valmistukseen, jätteeksi luokittelu päättyy sellaisten muovijätettä käsittelevien tahojen tiloissa, jotka ovat elintarvikkeiden kanssa kosketukseen joutuvista kierrätysmuovimateriaaleista ja -tarvikkeista ja asetuksen (EY) N:o 2023/2006 muuttamisesta 27 päivänä maaliskuuta 2008 annetun komission asetuksen (EY) N:o 282/2008 ja kaikkien muiden sovellettavien Euroopan unionin säännösten mukaisia.</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5 §. </w:t>
      </w:r>
      <w:r>
        <w:rPr>
          <w:rFonts w:ascii="Arial" w:hAnsi="Arial"/>
          <w:b/>
          <w:i/>
          <w:sz w:val="20"/>
        </w:rPr>
        <w:t>Vaatimustenmukaisuusilmoitus.</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Tuottajan tai maahantuojan on annettava jokaisesta sellaisen kierrätetyn muovimateriaalin lähetyksestä, joka ei enää ole jätettä, vaatimustenmukaisuusilmoitus liitteessä III olevan mallin mukaisesti.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2. Tuottajan,</w:t>
      </w:r>
      <w:r>
        <w:rPr>
          <w:rFonts w:ascii="Arial" w:hAnsi="Arial"/>
          <w:color w:val="FF0000"/>
          <w:sz w:val="20"/>
        </w:rPr>
        <w:t xml:space="preserve"> </w:t>
      </w:r>
      <w:r>
        <w:rPr>
          <w:rFonts w:ascii="Arial" w:hAnsi="Arial"/>
          <w:sz w:val="20"/>
        </w:rPr>
        <w:t xml:space="preserve"> maahantuojan tai kauppiaan on toimitettava vaatimustenmukaisuusilmoitus kierrätetyn muovimateriaalin lähetyksen seuraavalle haltijalle.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Tuottajan, maahantuojan ja kauppiaan on säilytettävä vaatimustenmukaisuusilmoituksen jäljennös vähintään kolmen vuoden ajan sen antamispäivästä ja saatettava se pyynnöstä toimivaltaisten viranomaisten saataville.</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Vaatimustenmukaisuusilmoitus voidaan antaa millä tahansa välineellä joko paperisena tai sähköisessä muodossa edellyttäen, että sillä voidaan taata ilmoituksen aitous, sisällön koskemattomuus ja luettavuus ilmoituksen antamispäivästä sen koko säilytysajan ajan.</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Vaatimustenmukaisuusilmoitus on liitettävä jokaiseen lähetykseen. Jos lähetys jaetaan useisiin kuljetusyksiköihin, jokaisessa niistä on oltava vaatimustenmukaisuusilmoituksen jäljennös.</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6 §. </w:t>
      </w:r>
      <w:r>
        <w:rPr>
          <w:rFonts w:ascii="Arial" w:hAnsi="Arial"/>
          <w:b/>
          <w:i/>
          <w:sz w:val="20"/>
        </w:rPr>
        <w:t>Hallintajärjestelmä.</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Tuottajan on otettava käyttöön hallintajärjestelmä, jonka avulla voidaan osoittaa 3 §:n perusteiden täyttyminen.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Hallintajärjestelmään on sisällyttävä sarja dokumentoituja menettelyjä, jotka liittyvät kaikkiin seuraaviin näkökohtiin:</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liitteessä I olevassa 1 kohdassa tarkoitettu hyödyntämistä varten käsiteltävien jätteiden hyväksyntätarkastus;</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liitteessä I olevassa 2 kohdassa kuvailtujen prosessi- ja käsittelyvaatimusten seuranta;</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hankitun materiaalin laadunvalvonta liitteessä I olevan 3 kohdan mukaisesti (mukaan lukien näytteenotto ja analyysit);</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seuraavan haltijan huomautukset syntyvän materiaalin vaatimustenmukaisuudesta;</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edellä olevien a–c kohdan mukaisesti suoritettujen tarkastusten tulosten kirjaaminen;</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hallintajärjestelmän uudelleentarkastelu ja parantaminen; ja</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henkilöstön kouluttaminen.</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Hallintajärjestelmään on sisällyttävä myös liitteessä I vahvistettuja perusteita koskevat erityiset valvontavaatimukset.</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lastRenderedPageBreak/>
        <w:t xml:space="preserve">4. Hallintajärjestelmään on sisällyttävä hyödyntämisen tuloksena syntyvän materiaalin näytteenoton suunnittelu- ja näytteenottomenetelmät teknisten standardien UNE-CEN/TS 16011 EX ”Plásticos. Plásticos reciclados. Preparación de muestras” [Muovit. Kierrätysmuovit. Näytteiden valmistelu] ja PD CEN/TS 16010 ”Plastics. Recycled plastics. </w:t>
      </w:r>
      <w:r w:rsidRPr="00DF19C4">
        <w:rPr>
          <w:rFonts w:ascii="Arial" w:hAnsi="Arial"/>
          <w:sz w:val="20"/>
          <w:lang w:val="en-US"/>
        </w:rPr>
        <w:t xml:space="preserve">Sampling procedures for testing plastics waste and </w:t>
      </w:r>
      <w:proofErr w:type="spellStart"/>
      <w:r w:rsidRPr="00DF19C4">
        <w:rPr>
          <w:rFonts w:ascii="Arial" w:hAnsi="Arial"/>
          <w:sz w:val="20"/>
          <w:lang w:val="en-US"/>
        </w:rPr>
        <w:t>recyclates</w:t>
      </w:r>
      <w:proofErr w:type="spellEnd"/>
      <w:r w:rsidRPr="00DF19C4">
        <w:rPr>
          <w:rFonts w:ascii="Arial" w:hAnsi="Arial"/>
          <w:sz w:val="20"/>
          <w:lang w:val="en-US"/>
        </w:rPr>
        <w:t>” [</w:t>
      </w:r>
      <w:proofErr w:type="spellStart"/>
      <w:r w:rsidRPr="00DF19C4">
        <w:rPr>
          <w:rFonts w:ascii="Arial" w:hAnsi="Arial"/>
          <w:sz w:val="20"/>
          <w:lang w:val="en-US"/>
        </w:rPr>
        <w:t>Muovit</w:t>
      </w:r>
      <w:proofErr w:type="spellEnd"/>
      <w:r w:rsidRPr="00DF19C4">
        <w:rPr>
          <w:rFonts w:ascii="Arial" w:hAnsi="Arial"/>
          <w:sz w:val="20"/>
          <w:lang w:val="en-US"/>
        </w:rPr>
        <w:t xml:space="preserve">. </w:t>
      </w:r>
      <w:proofErr w:type="spellStart"/>
      <w:r w:rsidRPr="00DF19C4">
        <w:rPr>
          <w:rFonts w:ascii="Arial" w:hAnsi="Arial"/>
          <w:sz w:val="20"/>
          <w:lang w:val="en-US"/>
        </w:rPr>
        <w:t>Kierrätysmuovit</w:t>
      </w:r>
      <w:proofErr w:type="spellEnd"/>
      <w:r w:rsidRPr="00DF19C4">
        <w:rPr>
          <w:rFonts w:ascii="Arial" w:hAnsi="Arial"/>
          <w:sz w:val="20"/>
          <w:lang w:val="en-US"/>
        </w:rPr>
        <w:t xml:space="preserve">. </w:t>
      </w:r>
      <w:r>
        <w:rPr>
          <w:rFonts w:ascii="Arial" w:hAnsi="Arial"/>
          <w:sz w:val="20"/>
        </w:rPr>
        <w:t>Näytteenottomenetelmät muovijätteen ja kierrätettyjen materiaalien testaamiseksi], sellaisena kuin se on ajantasaisimpana ja uusimpana versiona, mukaisesti.</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Sellaisen vaatimustenmukaisuuden arviointielimen, joka on akkreditoitu tällaista tointa varten tuotteiden kaupan pitämiseen liittyvää akkreditointia ja markkinavalvontaa koskevista vaatimuksista ja neuvoston asetuksen (ETY) N:o 339/93 kumoamisesta 9 päivänä heinäkuuta 2008 annetun Euroopan parlamentin ja neuvoston asetuksen (EY) N:o 765/2008 mukaisesti, on varmistettava että tuottajan soveltama hallintajärjestelmä on tämän pykälän vaatimusten mukainen.</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Tuottajan on pyynnöstä annettava toimivaltaisille viranomaisille pääsy hallintajärjestelmäänsä ja siihen liittyviin rekistereihin.</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Jos jonkin liitteessä I olevassa 2 kohdassa tarkoitetun käsittelyn suorittaa muu jätteitä käsittelevä taho kuin tuottaja, tuottajan on varmistettava, että kyseisellä taholla on käytössään hallintajärjestelmä, jolla varmistetaan tässä pykälässä säädettyjen vaatimusten noudattaminen.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Tuojan on vaadittava tavarantoimittajalta, että tällä on käytössään tämän pykälän 2, 3 ja 4 momentin vaatimukset täyttävä hallintajärjestelmä. Hallintajärjestelmän on oltava sellaisen vaatimustenmukaisuuden arviointielimen sertifioima, joka on akkreditoitu sertifiointia varten 9 päivänä heinäkuuta 2008 annetun Euroopan parlamentin ja neuvoston asetuksen (EY) N:o 765/2008 mukaisesti.</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7 §. </w:t>
      </w:r>
      <w:r>
        <w:rPr>
          <w:rFonts w:ascii="Arial" w:hAnsi="Arial"/>
          <w:b/>
          <w:i/>
          <w:sz w:val="20"/>
        </w:rPr>
        <w:t>Tuottajan muut velvollisuudet.</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Tuottajan on jätteitä käsittelevänä tahona sisällytettävä 8 päivänä huhtikuuta 2022 annetun lain nro 7/2022 64 §:ssä mainittuun kronologiseen tiedostoonsa myös seuraavia asioita koskevat tiedot: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eränumero,</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erän lähetyspäivä,</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asiakkaan tunnistetiedot ja</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myyty määrä.</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Tuottajan on edellä mainitun lain 65 §:n 1 momentissa säädetyssä vuosikertomuksessa ilmoitettava myös tuotteena kaupan pidettävän käsitellyn muovimateriaalin määrä ja määräpaikka.</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Tuottajan on säilytettävä vähintään kolmen vuoden ajan kunkin erän osalta tiedot, joiden avulla liitteessä I säädettyjen perusteiden noudattaminen voidaan varmistaa.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8 §. </w:t>
      </w:r>
      <w:r>
        <w:rPr>
          <w:rFonts w:ascii="Arial" w:hAnsi="Arial"/>
          <w:b/>
          <w:i/>
          <w:sz w:val="20"/>
        </w:rPr>
        <w:t>Ennen tuottajaa jätteitä käsittelevien tahojen velvollisuudet.</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Muun muassa seuraavista vaarallisten jätteiden, sähkö- ja elektroniikkaromun, käytöstä poistettujen ajoneuvojen tai rakennus- ja purkujätteen virroista peräisin olevan muovijätteen mahdollisimman hyvän jäljitettävyyden varmistamiseksi on varmistettava, että ne käsitellään erillään eikä niitä sekoiteta muista lähteistä peräisin olevaan muuhun muovijätteeseen niiden laitoksessa.</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Jos tuottajan tiloissa saadun kierrätetyn muovimateriaalin myöhempänä tarkoituksena on elintarvikkeiden kanssa kosketukseen joutuvien materiaalien tai tarvikkeiden valmistus 27 päivänä maaliskuuta annetun komission asetuksen (EY) N:o 282/2008 säännösten mukaisesti, ennen tuottajaa jätettä käsittelevien tahojen on noudatettava kyseisessä asetuksessa säädettyjä keräystä ja esikäsittelyä koskevia vaatimuksia, mukaan lukien kolmannen osapuolen sertifioidun hallintajärjestelmän käyttöönotto.</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Ainoa lisäsäännös. Jätettä käsittelevien tahojen lupien mukauttaminen.</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Kaikkien sellaisten lopullisten tahojen, jotka ovat ilmoittaneet itsehallintoalueen toimivaltaiselle viranomaiselle tämän määräyksen noudattamisesta 3 §:n 2 momentin mukaisesti, laitoksen hyväksyntään on sisällyttävä muovijätteen lopullinen hyödyntämistoimi, jonka koodi on ”</w:t>
      </w:r>
      <w:r>
        <w:rPr>
          <w:rFonts w:ascii="Arial" w:hAnsi="Arial"/>
          <w:i/>
          <w:sz w:val="20"/>
        </w:rPr>
        <w:t>R0307 Orgaanisen jätteen kierrätys materiaalien tai aineiden tuottamiseksi</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Ainoa </w:t>
      </w:r>
      <w:bookmarkStart w:id="1" w:name="_Hlk95740687"/>
      <w:r>
        <w:rPr>
          <w:rFonts w:ascii="Arial" w:hAnsi="Arial"/>
          <w:b/>
          <w:sz w:val="20"/>
        </w:rPr>
        <w:t>siirtymä</w:t>
      </w:r>
      <w:bookmarkEnd w:id="1"/>
      <w:r>
        <w:rPr>
          <w:rFonts w:ascii="Arial" w:hAnsi="Arial"/>
          <w:b/>
          <w:sz w:val="20"/>
        </w:rPr>
        <w:t>säännös.</w:t>
      </w:r>
      <w:r>
        <w:rPr>
          <w:rFonts w:ascii="Arial" w:hAnsi="Arial"/>
          <w:sz w:val="20"/>
        </w:rPr>
        <w:t xml:space="preserve"> </w:t>
      </w:r>
      <w:r>
        <w:rPr>
          <w:rFonts w:ascii="Arial" w:hAnsi="Arial"/>
          <w:b/>
          <w:sz w:val="20"/>
        </w:rPr>
        <w:t>Siirtymäjärjestelyt.</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Jos itsehallintoalueet ovat myöntäneet jätettä käsitteleville tahoille ja käsittelylaitoksille luvan hankkia kierrätettyä muovia tuotteena, </w:t>
      </w:r>
      <w:r>
        <w:rPr>
          <w:rFonts w:ascii="Arial" w:hAnsi="Arial"/>
          <w:sz w:val="20"/>
          <w:highlight w:val="green"/>
        </w:rPr>
        <w:t>aiemman lain mukainen hyödyntämistoimi R03</w:t>
      </w:r>
      <w:r>
        <w:rPr>
          <w:rFonts w:ascii="Arial" w:hAnsi="Arial"/>
          <w:sz w:val="20"/>
        </w:rPr>
        <w:t xml:space="preserve">, kyseisten luonnollisten henkilöiden tai oikeushenkilöiden ja kyseisten laitosten on pyydettävä luvan mukauttamista kolmen kuukauden kuluessa tämän määräyksen julkaisemisesta. </w:t>
      </w:r>
    </w:p>
    <w:p w14:paraId="1FEB5090" w14:textId="77777777" w:rsidR="00576F73" w:rsidRPr="00DF19C4"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Edellä mainituissa tapauksissa ja 18 kuukauden kuluttua tämän määräyksen voimaantulosta tuotteena voidaan pitää kaupan ainoastaan kierrätettyä muovia, joka on tämän ministerin määräyksen säännösten mukaista. Määräaikaa lyhennetään kolmeen kuukauteen, jos toimijat ja edellisessä kohdassa tarkoitetut laitokset eivät ole pyytäneet lupansa mukauttamista.</w:t>
      </w:r>
    </w:p>
    <w:p w14:paraId="4FD7B471" w14:textId="77777777" w:rsidR="00C942C5" w:rsidRPr="00DF19C4"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DF19C4"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Ensimmäinen loppusäännös. </w:t>
      </w:r>
      <w:r>
        <w:rPr>
          <w:rFonts w:ascii="Arial" w:hAnsi="Arial"/>
          <w:b/>
          <w:i/>
          <w:sz w:val="20"/>
        </w:rPr>
        <w:t>Toimivallan jako.</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Tämä määräys annetaan Espanjan perustuslain 149 §:n 1 momentin 23 kohdan säännösten nojalla; siinä valtiolle annetaan yksinomainen toimivalta ympäristönsuojelua koskevan peruslainsäädännön osalta, sanotun kuitenkaan rajoittamatta itsehallintoalueiden toimivaltaa antaa täydentäviä suojelusäännöksiä.</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Toinen loppusäännös. </w:t>
      </w:r>
      <w:r>
        <w:rPr>
          <w:rFonts w:ascii="Arial" w:hAnsi="Arial"/>
          <w:b/>
          <w:i/>
          <w:sz w:val="20"/>
        </w:rPr>
        <w:t>Voimaantulo.</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Tämä määräys tulee voimaan kahdentenakymmenentenä päivänä sen jälkeen, kun se julkaistaan Espanjan virallisessa lehdessä.</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LIITE I </w:t>
      </w:r>
    </w:p>
    <w:p w14:paraId="3A51BB49" w14:textId="6B25274E" w:rsidR="00614996" w:rsidRDefault="00614996" w:rsidP="003361AE">
      <w:pPr>
        <w:jc w:val="center"/>
        <w:rPr>
          <w:rFonts w:ascii="Arial" w:hAnsi="Arial" w:cs="Arial"/>
          <w:b/>
          <w:bCs/>
          <w:sz w:val="20"/>
          <w:szCs w:val="20"/>
        </w:rPr>
      </w:pPr>
      <w:r>
        <w:rPr>
          <w:rFonts w:ascii="Arial" w:hAnsi="Arial"/>
          <w:b/>
          <w:sz w:val="20"/>
        </w:rPr>
        <w:t>Jätteeksi luokittelun päättymistä koskevat perusteet</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Loppukäsittelyyn sallittu muovijäte</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Tämän määräyksen soveltamisalaan kuuluvan muovijätteen on oltava niin kutsuttua kestomuovia, ja seuraavien vaatimusten on täytyttävä: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Perusteet</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Valvontavaatimukset</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Tähän käsittelyyn hyväksytään vain jätteitä, joiden eurooppalaisen jäteluettelon nimikkeet ovat seuraavat:</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Teollisuuden jätteet</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Muovijätteet (</w:t>
            </w:r>
            <w:r>
              <w:rPr>
                <w:rFonts w:ascii="Arial" w:hAnsi="Arial"/>
                <w:sz w:val="16"/>
              </w:rPr>
              <w:t>muovien, synteettisen kumin ja muuntokuitujen valmistuksesta, muotoilusta, jakelusta ja käytöstä)</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Muovilastut ja muovien muovausjätteet (</w:t>
            </w:r>
            <w:r>
              <w:rPr>
                <w:rFonts w:ascii="Arial" w:hAnsi="Arial"/>
                <w:sz w:val="16"/>
              </w:rPr>
              <w:t>valusta sekä metallien ja muovien fysikaalisesta ja mekaanisesta pintakäsittelystä</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Kulutusjätteet</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02 01 04 Muovijätteet (lukuun ottamatta pakkauksia)</w:t>
            </w:r>
            <w:r>
              <w:rPr>
                <w:rFonts w:ascii="Arial" w:hAnsi="Arial"/>
              </w:rPr>
              <w:t xml:space="preserve"> </w:t>
            </w:r>
            <w:r>
              <w:rPr>
                <w:rFonts w:ascii="Arial" w:hAnsi="Arial"/>
                <w:sz w:val="16"/>
              </w:rPr>
              <w:t xml:space="preserve">(maataloudesta, puutarhaviljelystä, vesiviljelystä, metsätaloudesta, metsästyksestä ja kalastuksesta) </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Muovipakkaukset </w:t>
            </w:r>
            <w:r>
              <w:rPr>
                <w:rFonts w:ascii="Arial" w:hAnsi="Arial"/>
              </w:rPr>
              <w:t xml:space="preserve"> </w:t>
            </w:r>
            <w:r>
              <w:rPr>
                <w:rFonts w:ascii="Arial" w:hAnsi="Arial"/>
                <w:sz w:val="16"/>
              </w:rPr>
              <w:t xml:space="preserve"> (mukaan lukien yhdyskuntajätteen erilliskerätyt pakkausjätteet)</w:t>
            </w:r>
            <w:r>
              <w:rPr>
                <w:rFonts w:ascii="Arial" w:hAnsi="Arial"/>
                <w:sz w:val="20"/>
              </w:rPr>
              <w:t>,</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Pakkaukset, jotka sisältävät vaarallisten aineiden jäämiä tai ovat niiden saastuttamia</w:t>
            </w:r>
            <w:r>
              <w:rPr>
                <w:rFonts w:ascii="Arial" w:hAnsi="Arial"/>
                <w:sz w:val="16"/>
              </w:rPr>
              <w:t xml:space="preserve"> (vain kun pakkaus on valmistettu muovista)</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16 01 19 Muovi </w:t>
            </w:r>
            <w:r>
              <w:rPr>
                <w:rFonts w:ascii="Arial" w:hAnsi="Arial"/>
                <w:sz w:val="16"/>
              </w:rPr>
              <w:t>(omalla käyttövoimallaan kulkevien kulkuneuvojen loppukäsittelystä tai huolto- ja korjausprosesseista)</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Muovi </w:t>
            </w:r>
            <w:r>
              <w:rPr>
                <w:rFonts w:ascii="Arial" w:hAnsi="Arial"/>
                <w:sz w:val="16"/>
              </w:rPr>
              <w:t>(rakennus- ja purkujätteestä)</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Muovi ja kumi </w:t>
            </w:r>
            <w:r>
              <w:rPr>
                <w:rFonts w:ascii="Arial" w:hAnsi="Arial"/>
                <w:sz w:val="16"/>
              </w:rPr>
              <w:t>(muovi mekaanisista jätteenkäsittelylaitoksista)</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t>20 01 39 Muovit</w:t>
            </w:r>
            <w:r>
              <w:rPr>
                <w:rFonts w:ascii="Arial" w:hAnsi="Arial"/>
              </w:rPr>
              <w:t xml:space="preserve"> </w:t>
            </w:r>
            <w:r>
              <w:rPr>
                <w:rFonts w:ascii="Arial" w:hAnsi="Arial"/>
                <w:sz w:val="16"/>
              </w:rPr>
              <w:t xml:space="preserve"> (erikseen kerätyistä alaryhmistä (alanimikeryhmään 15 01 kuuluvia lukuun ottamatta))</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 xml:space="preserve">Nimikeryhmien 18 01 ja 18 02 osalta </w:t>
            </w:r>
            <w:r>
              <w:rPr>
                <w:rFonts w:ascii="Arial" w:hAnsi="Arial"/>
                <w:sz w:val="20"/>
              </w:rPr>
              <w:lastRenderedPageBreak/>
              <w:t>selvennetään, että eurooppalaisen jäteluettelon nimikkeisiin 18 01 03* ja 18 02 02* sekä 18 01 02, 18 01 04 ja 18 02 03 kuuluva muovijäte voidaan katsoa hyväksyttäväksi jätteeksi desinfioinnin jälkeen.</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Laitoksen sisäänkäynnillä muovijätteen (tai johdettujen muovien alaryhmien) hyväksymistä valvoo pätevä henkilöstö, joka voi silmämääräisen tarkastuksen ja mukana tulevien asiakirjojen avulla tunnistaa, mitkä jätteet eivät täytä näitä perusteita.</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Jätteen vaarallisten ominaisuuksien määrittämiseksi on tarvittaessa tehtävä laboratoriokokeita sovellettavan lainsäädännön mukaisesti.</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Käytetyistä henkilökohtaisen hygienian tuotteista syntyviä jätteitä ei hyväksytä.</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Vaaralliseksi luokiteltu jäte voidaan hyväksyä ainoastaan, jos osoitetaan, että tarpeellisten käsittelytoimien jälkeen jätteellä ei ole seuraavan kohdan 3 alakohdassa tarkoitettuja vaarallisia ominaisuuksia.</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Kertamuovijätettä ei hyväksytä.</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Pysyviä orgaanisia yhdisteitä sisältäviä jätemuoveja (tai muovista johdettuja alaryhmiä), jotka sisältävät pysyviä orgaanisia yhdisteitä pitoisuuksina, jotka ylittävät pysyvistä orgaanisista yhdisteistä (POP-yhdisteet) 20 päivänä kesäkuuta 2019 annetun Euroopan parlamentin ja neuvoston asetuksen (EU) 2019/1021 säännösten mukaisesti vahvistetun lakisääteisen raja-arvon, ei hyväksytä.</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Elintarvikkeiden kanssa kosketukseen tarkoitettujen muovien osalta edellytetään erityisesti,</w:t>
            </w:r>
            <w:r>
              <w:rPr>
                <w:rFonts w:ascii="Arial MT" w:hAnsi="Arial MT"/>
                <w:sz w:val="19"/>
              </w:rPr>
              <w:t xml:space="preserve"> </w:t>
            </w:r>
            <w:r>
              <w:rPr>
                <w:rFonts w:ascii="Arial MT" w:hAnsi="Arial MT"/>
                <w:sz w:val="20"/>
              </w:rPr>
              <w:t xml:space="preserve">että niissä ei ole pysyviä orgaanisia yhdisteitä </w:t>
            </w:r>
            <w:r>
              <w:rPr>
                <w:rFonts w:ascii="Arial" w:hAnsi="Arial"/>
                <w:sz w:val="20"/>
              </w:rPr>
              <w:t xml:space="preserve"> ja muita epäpuhtauksia, joiden vuoksi kyseisen kierrätetyn muovimateriaalin elintarviketurvallisuutta ei voida taata.</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Vaarallisia ominaisuuksia ja pysyvien orgaanisten yhdisteiden esiintymistä koskevien vaatimusten soveltamista koskeva menettely on dokumentoitava osana hallintajärjestelmää ja</w:t>
            </w:r>
            <w:r>
              <w:rPr>
                <w:rFonts w:ascii="Arial" w:hAnsi="Arial"/>
                <w:sz w:val="20"/>
                <w:shd w:val="clear" w:color="auto" w:fill="FFFFFF"/>
              </w:rPr>
              <w:t xml:space="preserve"> tarkastettava.</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Muovijätteen käsittely</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Muovijätteen on täytettävä ennen tuottajaa jätettä käsittelevien tahojen tiloissa ja tuottajien omissa tiloissa seuraavat vaatimukset: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Se on varastoitava erillään muusta jätteestä. Sitä ei myöskään saa sekoittaa muihin jätelajeihin.</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 xml:space="preserve">Sille on tehtävä kaikki mekaaniset käsittelyt, jotka ovat tarpeen sen varmistamiseksi, että se soveltuu suoraan uusien (valmiiden tai puolivalmiiden) muovituotteiden valmistukseen, mukaan lukien ainakin </w:t>
      </w:r>
      <w:r>
        <w:rPr>
          <w:rFonts w:ascii="Arial" w:hAnsi="Arial"/>
          <w:sz w:val="20"/>
          <w:shd w:val="clear" w:color="auto" w:fill="FFFFFF"/>
        </w:rPr>
        <w:lastRenderedPageBreak/>
        <w:t>lajittelu ja murskaaminen. Sille voidaan myös tehdä muita mekaanisia käsittelyjä, jotka ovat välttämättömiä muovijätteen lajista ja myöhemmästä käyttötarkoituksesta riippuen, kuten mekaaninen koon pienentäminen laminoimalla tai mikronoimalla, peseminen, sentrifugointi, kuivaus, suodattaminen, puristaminen, pursottaminen ja puhaltaminen.</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Jos loppukäsittelyn jälkeinen seuraava sovellus on käyttö kosketuksessa elintarvikkeiden kanssa, kunkin kierrätysteknologian osalta on otettava huomioon 27 päivänä maaliskuuta 2008 annetun komission asetuksen (EY) N:o 282/2008 liitteessä I vahvistetut rajoitukset. Jos kierrätysteknologiaa ei ole vielä sisällytetty liitteeseen I mutta Euroopan elintarviketurvallisuusviranomaisen (EFSA) kierrätysteknologiaa koskeva tieteellinen lausunto on julkaistu, kyseiseen asiakirjaan sisältyvät rajoitukset on otettava huomioon.</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Liitteessä I olevan 1 kohdan arviointiperusteessa 3 lueteltuihin jätteisiin on tarvittaessa sovellettava puhdistuskäsittelyjä (jotka vahvistetaan tarvittaessa erityismääräyksillä) niiden mahdollisten vaarallisten ominaisuuksien poistamiseksi.</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Hankittua kierrätettyä muovimateriaalia koskevat vaatimukset</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Perusteet</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Valvontavaatimukset</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Soveltuvissa tapauksissa kierrätetyn muovimateriaalin kuvausta varten saatavilla olevista standardeista, jotka on vahvistettu asiaa koskevissa teknisissä UNE-EN-standardeissa, on käytettävä niiden ajantasaisinta ja uusinta versiota:</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proofErr w:type="spellStart"/>
            <w:r w:rsidRPr="00DF19C4">
              <w:rPr>
                <w:rFonts w:ascii="Arial" w:hAnsi="Arial"/>
                <w:lang w:val="es-ES"/>
              </w:rPr>
              <w:t>Polystyreeni</w:t>
            </w:r>
            <w:proofErr w:type="spellEnd"/>
            <w:r w:rsidRPr="00DF19C4">
              <w:rPr>
                <w:rFonts w:ascii="Arial" w:hAnsi="Arial"/>
                <w:lang w:val="es-ES"/>
              </w:rPr>
              <w:t xml:space="preserve">: UNE-EN </w:t>
            </w:r>
            <w:proofErr w:type="gramStart"/>
            <w:r w:rsidRPr="00DF19C4">
              <w:rPr>
                <w:rFonts w:ascii="Arial" w:hAnsi="Arial"/>
                <w:lang w:val="es-ES"/>
              </w:rPr>
              <w:t>15342 ”Plásticos</w:t>
            </w:r>
            <w:proofErr w:type="gramEnd"/>
            <w:r w:rsidRPr="00DF19C4">
              <w:rPr>
                <w:rFonts w:ascii="Arial" w:hAnsi="Arial"/>
                <w:lang w:val="es-ES"/>
              </w:rPr>
              <w:t>. Plásticos reciclados. Caracterización de reciclados de poliestireno (PS)” [</w:t>
            </w:r>
            <w:proofErr w:type="spellStart"/>
            <w:r w:rsidRPr="00DF19C4">
              <w:rPr>
                <w:rFonts w:ascii="Arial" w:hAnsi="Arial"/>
                <w:lang w:val="es-ES"/>
              </w:rPr>
              <w:t>Muovit</w:t>
            </w:r>
            <w:proofErr w:type="spellEnd"/>
            <w:r w:rsidRPr="00DF19C4">
              <w:rPr>
                <w:rFonts w:ascii="Arial" w:hAnsi="Arial"/>
                <w:lang w:val="es-ES"/>
              </w:rPr>
              <w:t xml:space="preserve">. </w:t>
            </w:r>
            <w:r>
              <w:rPr>
                <w:rFonts w:ascii="Arial" w:hAnsi="Arial"/>
              </w:rPr>
              <w:t>Kierrätysmuovit. Polystyreenin (PS) kierrätyksen kuvaus]</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proofErr w:type="spellStart"/>
            <w:r w:rsidRPr="00DF19C4">
              <w:rPr>
                <w:rFonts w:ascii="Arial" w:hAnsi="Arial"/>
                <w:lang w:val="es-ES"/>
              </w:rPr>
              <w:t>Polyeteeni</w:t>
            </w:r>
            <w:proofErr w:type="spellEnd"/>
            <w:r w:rsidRPr="00DF19C4">
              <w:rPr>
                <w:rFonts w:ascii="Arial" w:hAnsi="Arial"/>
                <w:lang w:val="es-ES"/>
              </w:rPr>
              <w:t xml:space="preserve">: UNE-EN </w:t>
            </w:r>
            <w:proofErr w:type="gramStart"/>
            <w:r w:rsidRPr="00DF19C4">
              <w:rPr>
                <w:rFonts w:ascii="Arial" w:hAnsi="Arial"/>
                <w:lang w:val="es-ES"/>
              </w:rPr>
              <w:t>15344 ”Plásticos</w:t>
            </w:r>
            <w:proofErr w:type="gramEnd"/>
            <w:r w:rsidRPr="00DF19C4">
              <w:rPr>
                <w:rFonts w:ascii="Arial" w:hAnsi="Arial"/>
                <w:lang w:val="es-ES"/>
              </w:rPr>
              <w:t>. Plásticos reciclados. Caracterización de reciclados de polietileno (PE)” [</w:t>
            </w:r>
            <w:proofErr w:type="spellStart"/>
            <w:r w:rsidRPr="00DF19C4">
              <w:rPr>
                <w:rFonts w:ascii="Arial" w:hAnsi="Arial"/>
                <w:lang w:val="es-ES"/>
              </w:rPr>
              <w:t>Muovit</w:t>
            </w:r>
            <w:proofErr w:type="spellEnd"/>
            <w:r w:rsidRPr="00DF19C4">
              <w:rPr>
                <w:rFonts w:ascii="Arial" w:hAnsi="Arial"/>
                <w:lang w:val="es-ES"/>
              </w:rPr>
              <w:t xml:space="preserve">. </w:t>
            </w:r>
            <w:r>
              <w:rPr>
                <w:rFonts w:ascii="Arial" w:hAnsi="Arial"/>
              </w:rPr>
              <w:t>Kierrätysmuovit. Polyeteenin (PE) kierrätyksen kuvaus]</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proofErr w:type="spellStart"/>
            <w:r w:rsidRPr="00DF19C4">
              <w:rPr>
                <w:rFonts w:ascii="Arial" w:hAnsi="Arial"/>
                <w:lang w:val="es-ES"/>
              </w:rPr>
              <w:t>Polypropeeni</w:t>
            </w:r>
            <w:proofErr w:type="spellEnd"/>
            <w:r w:rsidRPr="00DF19C4">
              <w:rPr>
                <w:rFonts w:ascii="Arial" w:hAnsi="Arial"/>
                <w:lang w:val="es-ES"/>
              </w:rPr>
              <w:t xml:space="preserve">: UNE-EN </w:t>
            </w:r>
            <w:proofErr w:type="gramStart"/>
            <w:r w:rsidRPr="00DF19C4">
              <w:rPr>
                <w:rFonts w:ascii="Arial" w:hAnsi="Arial"/>
                <w:lang w:val="es-ES"/>
              </w:rPr>
              <w:t>15345 ”Plásticos</w:t>
            </w:r>
            <w:proofErr w:type="gramEnd"/>
            <w:r w:rsidRPr="00DF19C4">
              <w:rPr>
                <w:rFonts w:ascii="Arial" w:hAnsi="Arial"/>
                <w:lang w:val="es-ES"/>
              </w:rPr>
              <w:t>. Plásticos reciclados. Caracterización de reciclados de polipropileno (PP)” [</w:t>
            </w:r>
            <w:proofErr w:type="spellStart"/>
            <w:r w:rsidRPr="00DF19C4">
              <w:rPr>
                <w:rFonts w:ascii="Arial" w:hAnsi="Arial"/>
                <w:lang w:val="es-ES"/>
              </w:rPr>
              <w:t>Muovit</w:t>
            </w:r>
            <w:proofErr w:type="spellEnd"/>
            <w:r w:rsidRPr="00DF19C4">
              <w:rPr>
                <w:rFonts w:ascii="Arial" w:hAnsi="Arial"/>
                <w:lang w:val="es-ES"/>
              </w:rPr>
              <w:t xml:space="preserve">. </w:t>
            </w:r>
            <w:r>
              <w:rPr>
                <w:rFonts w:ascii="Arial" w:hAnsi="Arial"/>
              </w:rPr>
              <w:t>Kierrätysmuovit. Polypropeenin (PP) kierrätyksen kuvaus]</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proofErr w:type="spellStart"/>
            <w:r w:rsidRPr="00DF19C4">
              <w:rPr>
                <w:rFonts w:ascii="Arial" w:hAnsi="Arial"/>
                <w:lang w:val="es-ES"/>
              </w:rPr>
              <w:t>Poly</w:t>
            </w:r>
            <w:proofErr w:type="spellEnd"/>
            <w:r w:rsidRPr="00DF19C4">
              <w:rPr>
                <w:rFonts w:ascii="Arial" w:hAnsi="Arial"/>
                <w:lang w:val="es-ES"/>
              </w:rPr>
              <w:t>(</w:t>
            </w:r>
            <w:proofErr w:type="spellStart"/>
            <w:r w:rsidRPr="00DF19C4">
              <w:rPr>
                <w:rFonts w:ascii="Arial" w:hAnsi="Arial"/>
                <w:lang w:val="es-ES"/>
              </w:rPr>
              <w:t>vinyylikloridi</w:t>
            </w:r>
            <w:proofErr w:type="spellEnd"/>
            <w:r w:rsidRPr="00DF19C4">
              <w:rPr>
                <w:rFonts w:ascii="Arial" w:hAnsi="Arial"/>
                <w:lang w:val="es-ES"/>
              </w:rPr>
              <w:t xml:space="preserve">): UNE-EN </w:t>
            </w:r>
            <w:proofErr w:type="gramStart"/>
            <w:r w:rsidRPr="00DF19C4">
              <w:rPr>
                <w:rFonts w:ascii="Arial" w:hAnsi="Arial"/>
                <w:lang w:val="es-ES"/>
              </w:rPr>
              <w:t>15346 ”Plásticos</w:t>
            </w:r>
            <w:proofErr w:type="gramEnd"/>
            <w:r w:rsidRPr="00DF19C4">
              <w:rPr>
                <w:rFonts w:ascii="Arial" w:hAnsi="Arial"/>
                <w:lang w:val="es-ES"/>
              </w:rPr>
              <w:t xml:space="preserve">. Plásticos reciclados. Caracterización de reciclados de </w:t>
            </w:r>
            <w:proofErr w:type="gramStart"/>
            <w:r w:rsidRPr="00DF19C4">
              <w:rPr>
                <w:rFonts w:ascii="Arial" w:hAnsi="Arial"/>
                <w:lang w:val="es-ES"/>
              </w:rPr>
              <w:t>poli(</w:t>
            </w:r>
            <w:proofErr w:type="gramEnd"/>
            <w:r w:rsidRPr="00DF19C4">
              <w:rPr>
                <w:rFonts w:ascii="Arial" w:hAnsi="Arial"/>
                <w:lang w:val="es-ES"/>
              </w:rPr>
              <w:t>cloruro de vinilo) (PVC)” [</w:t>
            </w:r>
            <w:proofErr w:type="spellStart"/>
            <w:r w:rsidRPr="00DF19C4">
              <w:rPr>
                <w:rFonts w:ascii="Arial" w:hAnsi="Arial"/>
                <w:lang w:val="es-ES"/>
              </w:rPr>
              <w:t>Muovit</w:t>
            </w:r>
            <w:proofErr w:type="spellEnd"/>
            <w:r w:rsidRPr="00DF19C4">
              <w:rPr>
                <w:rFonts w:ascii="Arial" w:hAnsi="Arial"/>
                <w:lang w:val="es-ES"/>
              </w:rPr>
              <w:t xml:space="preserve">. </w:t>
            </w:r>
            <w:r>
              <w:rPr>
                <w:rFonts w:ascii="Arial" w:hAnsi="Arial"/>
              </w:rPr>
              <w:t xml:space="preserve">Kierrätysmuovit. Poly(vinyylikloridin) </w:t>
            </w:r>
            <w:r>
              <w:rPr>
                <w:rFonts w:ascii="Arial" w:hAnsi="Arial"/>
              </w:rPr>
              <w:lastRenderedPageBreak/>
              <w:t>(PVC) kierrätyksen kuvaus]</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 xml:space="preserve">Poly(eteenitereftalaatti): UNE-EN 15348 ”Plásticos. </w:t>
            </w:r>
            <w:r w:rsidRPr="00DF19C4">
              <w:rPr>
                <w:rFonts w:ascii="Arial" w:hAnsi="Arial"/>
                <w:lang w:val="es-ES"/>
              </w:rPr>
              <w:t xml:space="preserve">Plásticos reciclados. Caracterización de reciclados de </w:t>
            </w:r>
            <w:proofErr w:type="gramStart"/>
            <w:r w:rsidRPr="00DF19C4">
              <w:rPr>
                <w:rFonts w:ascii="Arial" w:hAnsi="Arial"/>
                <w:lang w:val="es-ES"/>
              </w:rPr>
              <w:t>poli(</w:t>
            </w:r>
            <w:proofErr w:type="gramEnd"/>
            <w:r w:rsidRPr="00DF19C4">
              <w:rPr>
                <w:rFonts w:ascii="Arial" w:hAnsi="Arial"/>
                <w:lang w:val="es-ES"/>
              </w:rPr>
              <w:t>tereftalato de etileno) (PET)” [</w:t>
            </w:r>
            <w:proofErr w:type="spellStart"/>
            <w:r w:rsidRPr="00DF19C4">
              <w:rPr>
                <w:rFonts w:ascii="Arial" w:hAnsi="Arial"/>
                <w:lang w:val="es-ES"/>
              </w:rPr>
              <w:t>Muovit</w:t>
            </w:r>
            <w:proofErr w:type="spellEnd"/>
            <w:r w:rsidRPr="00DF19C4">
              <w:rPr>
                <w:rFonts w:ascii="Arial" w:hAnsi="Arial"/>
                <w:lang w:val="es-ES"/>
              </w:rPr>
              <w:t xml:space="preserve">. </w:t>
            </w:r>
            <w:r>
              <w:rPr>
                <w:rFonts w:ascii="Arial" w:hAnsi="Arial"/>
              </w:rPr>
              <w:t>Kierrätysmuovit. Poly(eteenitereftalaatti) (PET) kierrätyksen kuvaus]</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Jos kuvausta koskevaa teknistä standardia ei ole, saadun materiaalin on oltava asiakkaan teknisten eritelmien mukainen, jotta sitä voidaan käyttää suoraan jalostusteollisuudessa joko elintarvikkeiden kanssa kosketukseen joutuvien materiaalien ja tarvikkeiden tai muiden muovituotteiden valmistuksessa.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Pätevän henkilöstön on tarkastettava, jotta kukin erä vastaa asiaankuuluvaa standardia tai eritelmää.</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Tuotteen laatu on todennettava seuraavin tavoin:</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Silmämääräinen tarkastus.</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Fyysisten ja kemiallisten ominaisuuksien määrittely: kullekin muovilajille standardeissa tai sitä tarkoitusta koskevissa teknisissä eritelmissä ja erityisissä teollisuusstandardeissa, joita varten muovi on otettu talteen, tarkoitettujen laboratoriokokeiden tekeminen. Ylimääräiset laboratoriokokeet voivat olla tarpeen myös asiakkaan lisävaatimusten mukaisesti.</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Kustakin kierrätetystä muovimateriaalilajista otettuja edustavia näytteitä on analysoitava asianmukaisin väliajoin ja jos toimintaprosessissa tapahtuu merkittäviä muutoksia.</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Sopiva näytteenottotiheys on määritettävä ottaen huomioon seuraavat tekijät:</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Odotettu vaihtelu (esim. aiempien tulosten perusteella).</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 xml:space="preserve">Luontainen riski sille, että muovijätteen laatu muuttuu sen saapuessa laitokseen, jossa mekaaninen käsittely suoritetaan, erityisesti </w:t>
            </w:r>
            <w:r>
              <w:rPr>
                <w:rFonts w:ascii="Arial" w:hAnsi="Arial"/>
                <w:sz w:val="20"/>
              </w:rPr>
              <w:lastRenderedPageBreak/>
              <w:t>vaarallisia aineita sisältävien muovien korkea keskimääräinen pitoisuus.</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Näytteenottomenetelmän luontainen tarkkuus.</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Tulosten läheisyys sellaisten pitoisuusrajojen kanssa, joiden perusteella ainetta pidetään vaarallisena tai sen markkinoille saattamista rajoitetaan.</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Muiden kuin muoviosien pitoisuuden tulosten läheisyys suhteessa kahden prosentin enimmäismäärään kierrätetyn muovimateriaalin kokonaismäärästä kuivapainona.</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Edustavia näytteitä on otettava sellaisten menettelykäsikirjassa kuvattujen näytteenottomenetelmien mukaisesti, joiden on oltava mahdollisimman yksityiskohtaisia (käytetyt näytteenottomenetelmät, jaksotus, näytteiden koko, tyyppi ja lukumäärä, tilastollinen lähestymistapa jne.).</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Muiden kuin muoviosien pitoisuuden on oltava enintään kaksi prosenttia kuivapainona.</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Elintarvikkeiden kanssa kosketukseen tarkoitettujen muovien osalta edellytetään erityisesti, että niissä ei ole muita kuin muoviosia, vieraita esineitä ja muovisia tekstiilikuituja. Niissä ei myöskään saa olla käyttötarkoituksesta riippuen ja asiakkaan teknisten eritelmien mukaisesti muita kuin valmistettavia muoviosia/polymeerejä kyseisissä eritelmissä vahvistettujen määrien/rajojen mukaisesti.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Pätevää henkilöstöä on koulutettava muovijätevirran mahdollisista saastumistyypeistä sekä osista tai ominaisuuksista, joiden avulla epäpuhtaudet voidaan tunnistaa silmämääräisesti.</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Materiaaliin sovellettavien teknisten eritelmien noudattamisen varmistamista koskeva menettely on dokumentoitava </w:t>
            </w:r>
            <w:r>
              <w:rPr>
                <w:rFonts w:ascii="Arial" w:hAnsi="Arial"/>
                <w:sz w:val="20"/>
                <w:shd w:val="clear" w:color="auto" w:fill="FFFFFF"/>
              </w:rPr>
              <w:t>osana h</w:t>
            </w:r>
            <w:r>
              <w:rPr>
                <w:rFonts w:ascii="Arial" w:hAnsi="Arial"/>
                <w:color w:val="auto"/>
                <w:sz w:val="20"/>
              </w:rPr>
              <w:t>allintajärjestelmää, ja sen on oltava käytettävissä tarkastuksia varten.</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Syntyvää materiaalia ei luokitella vaaralliseksi aineiden ja seosten luokituksesta, merkinnöistä ja pakkaamisesta sekä direktiivien 67/548/ETY ja 1999/45/EY muuttamisesta ja kumoamisesta sekä asetuksen (EY) N:o 1907/2006 muuttamisesta 16 päivänä joulukuuta 2008 annetun Euroopan parlamentin ja neuvoston asetuksen (EY) N:o 1272/2008 (CLP-asetus) mukaisesti.</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lastRenderedPageBreak/>
              <w:t>Siihen sovelletaan rajoituksia, jotka koskevat sellaisten erityistä huolta aiheuttavien aineiden markkinoille saattamista, jotka täyttävät 18 päivänä joulukuuta 2006 annetun Euroopan parlamentin ja neuvoston asetuksen (EY) N:o 1907/2006 (REACH-asetus) 57 artiklan perusteet, paitsi jos siihen sovelletaan asetuksen säännösten mukaista lupaa tai poikkeusta.</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Sen on noudatettava 18 päivänä joulukuuta 2006 annetussa Euroopan parlamentin ja neuvoston asetuksessa (EY) N:o 1907/2006 ja 16 päivänä joulukuuta 2008 annetussa Euroopan parlamentin ja neuvoston asetuksessa (EY) N:o 1272/2008 säädettyjä muita täytäntöönpanosäännöksiä.</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Sen on noudatettava 20 päivänä kesäkuuta 2019 annetussa Euroopan parlamentin ja neuvoston asetuksessa (EU) 2019/1021 säädettyjä pysyvien orgaanisten yhdisteiden käyttöä tai markkinoille saattamista koskevia kieltoja tai rajoituksia. Voimassa olevien säännösten mukaisesti elintarvikkeiden kanssa kosketukseen joutuminen edellyttää, että syntyvässä materiaalissa ei ole pysyviä orgaanisia yhdisteitä.</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Sen laadulliset ja määrälliset ominaisuudet on määritettävä, millä varmennetaan näiden vaatimusten sekä CLP-, REACH- ja POP-asetusten säännösten noudattaminen.</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Määrällisten ominaisuuksien määrittämisen lisäksi pätevän henkilöstön on tarkastettava kaikki lähetyksen erät silmämääräisesti.</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 xml:space="preserve">Pätevää henkilöstöä on koulutettava </w:t>
            </w:r>
            <w:r>
              <w:rPr>
                <w:rFonts w:ascii="Arial" w:hAnsi="Arial"/>
                <w:sz w:val="20"/>
              </w:rPr>
              <w:lastRenderedPageBreak/>
              <w:t>muovijätevirran mahdollisista saastumistyypeistä sekä osista tai ominaisuuksista, joiden avulla epäpuhtaudet voidaan tunnistaa silmämääräisesti.</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Vaarallisten ominaisuuksien tunnistamista koskeva menettely on dokumentoitava </w:t>
            </w:r>
            <w:r>
              <w:rPr>
                <w:rFonts w:ascii="Arial" w:hAnsi="Arial"/>
                <w:sz w:val="20"/>
                <w:shd w:val="clear" w:color="auto" w:fill="FFFFFF"/>
              </w:rPr>
              <w:t>osana h</w:t>
            </w:r>
            <w:r>
              <w:rPr>
                <w:rFonts w:ascii="Arial" w:hAnsi="Arial"/>
                <w:color w:val="auto"/>
                <w:sz w:val="20"/>
              </w:rPr>
              <w:t>allintajärjestelmää, ja sen on oltava käytettävissä tarkastuksia varten.</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Syntyvä materiaali ei saa sisältää öljyjä, liuottimia, maaleja tai jäämiä vesipitoisista tai rasvaisista elintarvikkeista.</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Elintarvikkeiden kanssa kosketukseen joutuva syntyvä materiaali ei myöskään saa sisältää aineita, jotka vaarantaisivat siihen pakattavan tuotteen elintarviketurvallisuuden.</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Erä on katsottava jätteeksi, jos silmämääräisessä tarkastuksessa havaitaan merkkejä muuta kuin vettä olevien nesteiden imeytymisestä, mikä voi aiheuttaa ongelmia kuten homekasvustoja tai hajuja, ja jos nämä merkit ovat merkittäviä.</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Pätevää </w:t>
            </w:r>
            <w:r>
              <w:rPr>
                <w:rFonts w:ascii="Arial" w:hAnsi="Arial"/>
                <w:shd w:val="clear" w:color="auto" w:fill="FFFFFF"/>
              </w:rPr>
              <w:t>henkilöstöä</w:t>
            </w:r>
            <w:r>
              <w:rPr>
                <w:rFonts w:ascii="Arial" w:hAnsi="Arial"/>
              </w:rPr>
              <w:t xml:space="preserve"> on koulutettava tällaisista mahdollisista epäpuhtauksista sekä materiaalien osista tai ominaisuuksista, joiden avulla epäpuhtaudet voidaan tunnistaa.</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Kyseinen epäpuhtauksien tunnistamistoiminta on dokumentoitava osana </w:t>
            </w:r>
            <w:r>
              <w:rPr>
                <w:rFonts w:ascii="Arial" w:hAnsi="Arial"/>
                <w:sz w:val="20"/>
              </w:rPr>
              <w:t>hallintajärjestelmää, ja sen on oltava käytettävissä tarkastuksia varten</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LIITE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Asianomaiselle alueelliselle viranomaiselle osoitetun tämän määräyksen noudattamista koskevan ilmoituksen vähimmäissisältö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Jätehuoltoyhtiö......, jolle on myönnetty lupa NIMA-ympäristötunnuksella ...... päivänä ...kuuta ... ja jonka laitokset sijaitsevat............, tällä kirjeellä, joka on osoitettu ....... itsehallintoalueen (</w:t>
      </w:r>
      <w:r>
        <w:rPr>
          <w:rFonts w:ascii="Arial" w:hAnsi="Arial"/>
          <w:i/>
          <w:sz w:val="20"/>
        </w:rPr>
        <w:t>...virastolle/...osastolle</w:t>
      </w:r>
      <w:r>
        <w:rPr>
          <w:rFonts w:ascii="Arial" w:hAnsi="Arial"/>
          <w:sz w:val="20"/>
        </w:rPr>
        <w:t xml:space="preserve">)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ILMOITTAA</w:t>
      </w:r>
      <w:r>
        <w:rPr>
          <w:rFonts w:ascii="Arial" w:hAnsi="Arial"/>
          <w:sz w:val="20"/>
        </w:rPr>
        <w:t xml:space="preserve"> seuraavaa:</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Yhtiö.................. noudattaa perusteista sen määrittämiseksi, milloin muovituotteiden valmistukseen tarkoitettu mekaanisesti käsitelty muovijäte lakkaa olemasta jätettä jätteistä ja pilaantuneesta maaperästä kiertotalouden hyväksi 8 päivänä huhtikuuta 2022 annetun lain 7/2022 mukaisesti annetun ministerin määräyksen kaikkia säännöksiä.</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Yhtiöllä………… on käytössään määräyksen 6 §:n mukainen hallintajärjestelmä.</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Yhtiö………… on tehnyt tarvittavat mukautukset, parannukset tai toimet varmistaakseen määräyksen noudattamisen, ja toimittaa tämän pyynnön yhteydessä tarvittavat asiakirjat sen todistamiseksi. (</w:t>
      </w:r>
      <w:r>
        <w:rPr>
          <w:rFonts w:ascii="Arial" w:hAnsi="Arial"/>
          <w:i/>
          <w:sz w:val="20"/>
        </w:rPr>
        <w:t>jos sovelletaan tiloihin tehtyjen muutosten vuoksi</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Ja </w:t>
      </w:r>
      <w:r>
        <w:rPr>
          <w:rFonts w:ascii="Arial" w:hAnsi="Arial"/>
          <w:b/>
          <w:sz w:val="20"/>
        </w:rPr>
        <w:t>PYYTÄÄ</w:t>
      </w:r>
      <w:r>
        <w:rPr>
          <w:rFonts w:ascii="Arial" w:hAnsi="Arial"/>
          <w:sz w:val="20"/>
        </w:rPr>
        <w:t xml:space="preserve"> (</w:t>
      </w:r>
      <w:r>
        <w:rPr>
          <w:rFonts w:ascii="Arial" w:hAnsi="Arial"/>
          <w:i/>
          <w:sz w:val="20"/>
        </w:rPr>
        <w:t>...toimistoa/...osastoa),</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jolle yritys on ilmoittanut tietoja vastuullisella ilmoituksella, noudattamaan ministeriön määräyksen säännöksiä, jotta sen tiloissa syntyvää materiaalia ei enää katsota jätteeksi kaikissa oikeudellisissa kysymyksissä; ja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tarkistamaan ja ajantasaistamaan jätteitä käsittelevän tahon nykyisen luvan jätteistä ja pilaantuneesta maaperästä kiertotalouden hyväksi 8 päivänä huhtikuuta 2022 annetun lain 7/2022 ja erityisesti sen liitteen II mukaisesti, jossa vahvistetaan jätteiden hyödyntämistoimia koskevat säännöt.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Paikka, päivämäärä, allekirjoitus.</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LIITE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Vaatimustenmukaisuusilmoitus niiden perusteiden osalta, joiden perusteella määritetään, milloin käsitelty muovijäte lakkaa olemasta jätettä</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Elintarvikkeiden kanssa kosketukseen joutuvien materiaalien tai tarvikkeiden valmistukseen tarkoitetun kierrätetyn muovimateriaalin vaatimustenmukaisuusilmoitus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Maaliskuun 27. päivänä 2008 annetun komission asetuksen (EY) N:o 282/2008 mukaisesti sen 12 artiklan 2 kohdassa tarkoitetuissa tapauksissa vaatimustenmukaisuusilmoituksessa on oltava lisäksi seuraavat kyseisen asetuksen liitteessä I olevassa B osassa tarkoitetut lisätiedot:</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ilmoitus siitä, että kierrätysprosessille on myönnetty hyväksyntä, ja hyväksytyn kierrätysprosessin EY-rekisterinumero;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ilmoitus siitä, että muoviraaka-aine, kierrätysprosessi ja kierrätysmuovi täyttävät ne eritelmät, joita varten hyväksyntä on myönnetty;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ilmoitus siitä, että elintarvikkeen kanssa kosketukseen joutuvien materiaalien ja tarvikkeiden hyvistä tuotantotavoista 22 päivänä joulukuuta 2006 annetun asetuksen (EY) N:o 2023/2006 liitteessä olevan B jakson mukainen laadunvarmistusjärjestelmä on käytössä.</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 Muiden tuotteiden valmistukseen tarkoitetun kierrätysmuovimateriaalin vaatimustenmukaisuusilmoitus</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Tuottaja / materiaalin maahantuoja</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Nimi:</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Osoite:</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Yhteyshenkilö:</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Puhelin:</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Sähköposti:</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Rekisterinumero jätteiden tuotanto- ja jätehuoltorekisterissä:</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Kierrätetyn muovimateriaalin laji (</w:t>
            </w:r>
            <w:r>
              <w:rPr>
                <w:rFonts w:ascii="Arial" w:hAnsi="Arial"/>
                <w:i/>
                <w:sz w:val="20"/>
              </w:rPr>
              <w:t>merkitään):</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(suurtiheyspolyeteeni)</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(pientiheyspolyeteeni)</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(poly(eteenitereftalaatti))</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(polypropeeni)</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(polystyreeni)</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(poly(vinyylikloridi))</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(solupolystyreeni)</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Muut (</w:t>
            </w:r>
            <w:r>
              <w:rPr>
                <w:rFonts w:ascii="Arial" w:hAnsi="Arial"/>
                <w:i/>
                <w:sz w:val="20"/>
              </w:rPr>
              <w:t>määritetään</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Muiden kuin muoviosien pitoisuus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Erän numero ja määrä (tonnia):</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Tämä lähetys on perusteista sen määrittämiseksi, milloin muovituotteiden valmistukseen tarkoitettu mekaanisesti käsitelty muovijäte lakkaa olemasta jätettä jätteistä ja pilaantuneesta maaperästä kiertotalouden hyväksi 8 päivänä huhtikuuta 2022 annetun lain 7/2022 mukaisesti annetun ministerin määräyksen 3 §:ssä tarkoitettujen perusteiden mukainen.</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Tämän lähetyksen alkuperän jäljitettävyys taataan jätteen syntypaikasta lähtien, ja se voidaan osoittaa ja dokumentoida perusteista sen määrittämiseksi, milloin muovituotteiden valmistukseen tarkoitettu mekaanisesti käsitelty muovijäte lakkaa olemasta jätettä jätteistä ja pilaantuneesta maaperästä kiertotalouden hyväksi 8 päivänä huhtikuuta 2022 annetun lain 7/2022 mukaisesti annetun ministerin määräyksen 8 §:n mukaisesti.</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Materiaalin tuottaja ottaa käyttöön perusteista sen määrittämiseksi, milloin muovituotteiden valmistukseen tarkoitettu mekaanisesti käsitelty muovijäte lakkaa olemasta jätettä jätteistä ja pilaantuneesta maaperästä kiertotalouden hyväksi 8 päivänä huhtikuuta 2022 annetun lain 7/2022 mukaisesti annetun ministerin määräyksen 6 §:n mukaisen hallintajärjestelmän.</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Tämän lähetyksen materiaali on tarkoitettu myytäväksi suoraan tai kauppaedustajan/jakelijan kautta yksinomaan muovinjalostusalalla käyttämistä varten.</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valitaan yksi vaihtoehto</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Lähetys on seuraavan teknisen standardin mukainen: (</w:t>
            </w:r>
            <w:r>
              <w:rPr>
                <w:rFonts w:ascii="Arial" w:hAnsi="Arial"/>
                <w:i/>
                <w:sz w:val="20"/>
              </w:rPr>
              <w:t>annetaan numero</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Lähetys on kohdeteollisuuden edellyttämien teknisten eritelmien mukainen.</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Tämän lähetyksen materiaalia ei ole luokiteltu vaaralliseksi asetuksessa (EY) N:o 1272/2008</w:t>
            </w:r>
            <w:r w:rsidR="00440EB5">
              <w:rPr>
                <w:rStyle w:val="FootnoteReference"/>
                <w:rFonts w:ascii="Arial" w:hAnsi="Arial" w:cs="Arial"/>
                <w:sz w:val="20"/>
                <w:szCs w:val="20"/>
              </w:rPr>
              <w:footnoteReference w:id="2"/>
            </w:r>
            <w:r>
              <w:rPr>
                <w:rFonts w:ascii="Arial" w:hAnsi="Arial"/>
                <w:sz w:val="20"/>
              </w:rPr>
              <w:t xml:space="preserve"> (CLP-asetus) säädettyjen perusteiden mukaisesti, ja se on erityistä huolta aiheuttavien aineiden markkinoille saattamista koskevien säännösten sekä asetuksen (EY) N:o 1907/2006</w:t>
            </w:r>
            <w:r w:rsidR="00440EB5">
              <w:rPr>
                <w:rStyle w:val="FootnoteReference"/>
                <w:rFonts w:ascii="Arial" w:hAnsi="Arial" w:cs="Arial"/>
                <w:sz w:val="20"/>
                <w:szCs w:val="20"/>
              </w:rPr>
              <w:footnoteReference w:id="3"/>
            </w:r>
            <w:r>
              <w:rPr>
                <w:rFonts w:ascii="Arial" w:hAnsi="Arial"/>
                <w:sz w:val="20"/>
              </w:rPr>
              <w:t xml:space="preserve"> (REACH-</w:t>
            </w:r>
            <w:r>
              <w:rPr>
                <w:rFonts w:ascii="Arial" w:hAnsi="Arial"/>
                <w:sz w:val="20"/>
              </w:rPr>
              <w:lastRenderedPageBreak/>
              <w:t>asetus) liitteen XVII rajoitusten sekä asetuksen (EU) 2019/1021</w:t>
            </w:r>
            <w:r w:rsidR="00440EB5">
              <w:rPr>
                <w:rStyle w:val="FootnoteReference"/>
                <w:rFonts w:ascii="Arial" w:hAnsi="Arial" w:cs="Arial"/>
                <w:sz w:val="20"/>
                <w:szCs w:val="20"/>
              </w:rPr>
              <w:footnoteReference w:id="4"/>
            </w:r>
            <w:r>
              <w:rPr>
                <w:rFonts w:ascii="Arial" w:hAnsi="Arial"/>
                <w:sz w:val="20"/>
              </w:rPr>
              <w:t xml:space="preserve"> (POP-asetus) 3 artiklassa säädettyjen pysyvien orgaanisten yhdisteiden käyttöä ja markkinoille saattamista koskevien kieltojen tai rajoitusten mukainen.</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Mekaanisesti käsitellyn muovijätteen tuottajan/maahantuojan ilmoitus, että jäte lakkaa olemasta jätettä, jätteistä ja pilaantuneesta maaperästä kiertotalouden hyväksi 8 päivänä huhtikuuta 2022 annetun lain 7/2022 mukaisesti.</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Vakuutan parhaan tietoni ja ymmärrykseni mukaan, että edellä mainitut tiedot ovat täydelliset ja tarkat.</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Nimi, päivämäärä, allekirjoitus.</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LIITE IV</w:t>
      </w:r>
    </w:p>
    <w:p w14:paraId="44AD12A1" w14:textId="28FB853F" w:rsidR="00B30FE7" w:rsidRDefault="00B30FE7" w:rsidP="003361AE">
      <w:pPr>
        <w:jc w:val="center"/>
        <w:rPr>
          <w:rFonts w:ascii="Arial" w:hAnsi="Arial" w:cs="Arial"/>
          <w:b/>
          <w:sz w:val="20"/>
          <w:szCs w:val="20"/>
        </w:rPr>
      </w:pPr>
      <w:r>
        <w:rPr>
          <w:rFonts w:ascii="Arial" w:hAnsi="Arial"/>
          <w:b/>
          <w:sz w:val="20"/>
        </w:rPr>
        <w:t>Ohjeet POP-asetuksen</w:t>
      </w:r>
      <w:r>
        <w:rPr>
          <w:rStyle w:val="Ancladenotafinal"/>
          <w:rFonts w:ascii="Arial" w:hAnsi="Arial" w:cs="Arial"/>
          <w:b/>
          <w:sz w:val="20"/>
          <w:szCs w:val="20"/>
        </w:rPr>
        <w:endnoteReference w:id="1"/>
      </w:r>
      <w:r>
        <w:rPr>
          <w:rFonts w:ascii="Arial" w:hAnsi="Arial"/>
          <w:b/>
          <w:sz w:val="20"/>
        </w:rPr>
        <w:t xml:space="preserve"> soveltamisesta muovijätteeseen</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7C90ACAF">
                <wp:simplePos x="0" y="0"/>
                <wp:positionH relativeFrom="column">
                  <wp:posOffset>2980055</wp:posOffset>
                </wp:positionH>
                <wp:positionV relativeFrom="paragraph">
                  <wp:posOffset>2255632</wp:posOffset>
                </wp:positionV>
                <wp:extent cx="1918447" cy="291353"/>
                <wp:effectExtent l="0" t="0" r="24765" b="13970"/>
                <wp:wrapNone/>
                <wp:docPr id="11" name="Text Box 11"/>
                <wp:cNvGraphicFramePr/>
                <a:graphic xmlns:a="http://schemas.openxmlformats.org/drawingml/2006/main">
                  <a:graphicData uri="http://schemas.microsoft.com/office/word/2010/wordprocessingShape">
                    <wps:wsp>
                      <wps:cNvSpPr txBox="1"/>
                      <wps:spPr>
                        <a:xfrm>
                          <a:off x="0" y="0"/>
                          <a:ext cx="1918447" cy="291353"/>
                        </a:xfrm>
                        <a:prstGeom prst="rect">
                          <a:avLst/>
                        </a:prstGeom>
                        <a:solidFill>
                          <a:schemeClr val="lt1"/>
                        </a:solidFill>
                        <a:ln w="6350">
                          <a:solidFill>
                            <a:prstClr val="black"/>
                          </a:solidFill>
                        </a:ln>
                      </wps:spPr>
                      <wps:txbx>
                        <w:txbxContent>
                          <w:p w14:paraId="3834AA7E" w14:textId="77777777" w:rsidR="006C161B" w:rsidRPr="00DF19C4" w:rsidRDefault="00906DFD" w:rsidP="006C161B">
                            <w:pPr>
                              <w:jc w:val="center"/>
                              <w:rPr>
                                <w:sz w:val="10"/>
                                <w:szCs w:val="10"/>
                              </w:rPr>
                            </w:pPr>
                            <w:r w:rsidRPr="00DF19C4">
                              <w:rPr>
                                <w:sz w:val="10"/>
                                <w:szCs w:val="10"/>
                              </w:rPr>
                              <w:t xml:space="preserve">Polttaminen / Energian arviointi </w:t>
                            </w:r>
                          </w:p>
                          <w:p w14:paraId="71F47356" w14:textId="553DA01F" w:rsidR="00906DFD" w:rsidRPr="00DF19C4" w:rsidRDefault="006C161B" w:rsidP="006C161B">
                            <w:pPr>
                              <w:jc w:val="center"/>
                              <w:rPr>
                                <w:sz w:val="10"/>
                                <w:szCs w:val="10"/>
                              </w:rPr>
                            </w:pPr>
                            <w:r w:rsidRPr="00DF19C4">
                              <w:rPr>
                                <w:sz w:val="10"/>
                                <w:szCs w:val="10"/>
                              </w:rPr>
                              <w:t>(POP-asetuksen liitteessä V olevan 1 osan täytäntöönpano)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34.65pt;margin-top:177.6pt;width:151.05pt;height:22.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" fillcolor="white [3201]" strokeweight=".5pt">
                <v:textbox>
                  <w:txbxContent>
                    <w:p w14:paraId="3834AA7E" w14:textId="77777777" w:rsidR="006C161B" w:rsidRPr="00DF19C4" w:rsidRDefault="00906DFD" w:rsidP="006C161B">
                      <w:pPr>
                        <w:jc w:val="center"/>
                        <w:rPr>
                          <w:sz w:val="10"/>
                          <w:szCs w:val="10"/>
                        </w:rPr>
                      </w:pPr>
                      <w:r w:rsidRPr="00DF19C4">
                        <w:rPr>
                          <w:sz w:val="10"/>
                          <w:szCs w:val="10"/>
                        </w:rPr>
                        <w:t xml:space="preserve">Polttaminen / Energian arviointi </w:t>
                      </w:r>
                    </w:p>
                    <w:p w14:paraId="71F47356" w14:textId="553DA01F" w:rsidR="00906DFD" w:rsidRPr="00DF19C4" w:rsidRDefault="006C161B" w:rsidP="006C161B">
                      <w:pPr>
                        <w:jc w:val="center"/>
                        <w:rPr>
                          <w:sz w:val="10"/>
                          <w:szCs w:val="10"/>
                        </w:rPr>
                      </w:pPr>
                      <w:r w:rsidRPr="00DF19C4">
                        <w:rPr>
                          <w:sz w:val="10"/>
                          <w:szCs w:val="10"/>
                        </w:rPr>
                        <w:t>(POP-asetuksen liitteessä V olevan 1 osan täytäntöönpano)</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pitoisuutta </w:t>
                            </w:r>
                            <w:r>
                              <w:rPr>
                                <w:sz w:val="12"/>
                              </w:rPr>
                              <w:t>ei voida määrittää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pitoisuutta </w:t>
                      </w:r>
                      <w:r>
                        <w:rPr>
                          <w:sz w:val="12"/>
                        </w:rPr>
                        <w:t>ei voida määrittää</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POP-yhdisteen </w:t>
                            </w:r>
                            <w:r>
                              <w:rPr>
                                <w:sz w:val="12"/>
                              </w:rPr>
                              <w:t>&gt;-raja asetettu liitteessä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POP-yhdisteen </w:t>
                      </w:r>
                      <w:r>
                        <w:rPr>
                          <w:sz w:val="12"/>
                        </w:rPr>
                        <w:t>&gt;-raja asetettu liitteessä 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POP-yhdisteen </w:t>
                            </w:r>
                            <w:r>
                              <w:rPr>
                                <w:sz w:val="12"/>
                              </w:rPr>
                              <w:t>&lt;-raja asetettu liitteessä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POP-yhdisteen </w:t>
                      </w:r>
                      <w:r>
                        <w:rPr>
                          <w:sz w:val="12"/>
                        </w:rPr>
                        <w:t>&lt;-raja asetettu liitteessä 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DF19C4" w:rsidRDefault="00906DFD" w:rsidP="00906DFD">
                            <w:pPr>
                              <w:jc w:val="center"/>
                              <w:rPr>
                                <w:sz w:val="10"/>
                                <w:szCs w:val="10"/>
                              </w:rPr>
                            </w:pPr>
                            <w:r w:rsidRPr="00DF19C4">
                              <w:rPr>
                                <w:sz w:val="10"/>
                                <w:szCs w:val="10"/>
                              </w:rPr>
                              <w:t xml:space="preserve">Materiaalin </w:t>
                            </w:r>
                            <w:r w:rsidRPr="00DF19C4">
                              <w:rPr>
                                <w:sz w:val="10"/>
                                <w:szCs w:val="10"/>
                              </w:rPr>
                              <w:t>talteenotto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DF19C4" w:rsidRDefault="00906DFD" w:rsidP="00906DFD">
                      <w:pPr>
                        <w:jc w:val="center"/>
                        <w:rPr>
                          <w:sz w:val="10"/>
                          <w:szCs w:val="10"/>
                        </w:rPr>
                      </w:pPr>
                      <w:r w:rsidRPr="00DF19C4">
                        <w:rPr>
                          <w:sz w:val="10"/>
                          <w:szCs w:val="10"/>
                        </w:rPr>
                        <w:t xml:space="preserve">Materiaalin </w:t>
                      </w:r>
                      <w:r w:rsidRPr="00DF19C4">
                        <w:rPr>
                          <w:sz w:val="10"/>
                          <w:szCs w:val="10"/>
                        </w:rPr>
                        <w:t>talteenotto</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 xml:space="preserve">Sisältää </w:t>
                            </w:r>
                            <w:r>
                              <w:rPr>
                                <w:sz w:val="14"/>
                              </w:rPr>
                              <w:t>POP-yhdisteitä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906DFD" w:rsidRDefault="00906DFD" w:rsidP="00906DFD">
                      <w:pPr>
                        <w:jc w:val="center"/>
                        <w:rPr>
                          <w:sz w:val="14"/>
                          <w:szCs w:val="14"/>
                        </w:rPr>
                      </w:pPr>
                      <w:r>
                        <w:rPr>
                          <w:sz w:val="14"/>
                        </w:rPr>
                        <w:t xml:space="preserve">Sisältää </w:t>
                      </w:r>
                      <w:r>
                        <w:rPr>
                          <w:sz w:val="14"/>
                        </w:rPr>
                        <w:t>POP-yhdisteitä</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Ilman </w:t>
                            </w:r>
                            <w:r>
                              <w:rPr>
                                <w:sz w:val="10"/>
                              </w:rPr>
                              <w:t>POP-yhdisteitä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98D912"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Ilman </w:t>
                      </w:r>
                      <w:r>
                        <w:rPr>
                          <w:sz w:val="10"/>
                        </w:rPr>
                        <w:t>POP-yhdisteitä</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 xml:space="preserve">Muovin </w:t>
                            </w:r>
                            <w:r>
                              <w:rPr>
                                <w:sz w:val="12"/>
                              </w:rPr>
                              <w:t>alaryhmä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Muovin </w:t>
                      </w:r>
                      <w:r>
                        <w:rPr>
                          <w:sz w:val="12"/>
                        </w:rPr>
                        <w:t>alaryhmä</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MUOVIJÄTE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MUOVIJÄTE</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9E29" w14:textId="77777777" w:rsidR="006F7B41" w:rsidRDefault="006F7B41">
      <w:r>
        <w:separator/>
      </w:r>
    </w:p>
  </w:endnote>
  <w:endnote w:type="continuationSeparator" w:id="0">
    <w:p w14:paraId="390E0875" w14:textId="77777777" w:rsidR="006F7B41" w:rsidRDefault="006F7B41">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Pysyvistä orgaanisista yhdisteistä (POP-yhdisteet) 20 päivänä kesäkuuta 2019 annetun</w:t>
      </w:r>
      <w:r>
        <w:rPr>
          <w:rFonts w:ascii="Arial" w:hAnsi="Arial"/>
        </w:rPr>
        <w:t xml:space="preserve"> </w:t>
      </w:r>
      <w:r>
        <w:rPr>
          <w:rFonts w:ascii="Arial" w:hAnsi="Arial"/>
          <w:sz w:val="16"/>
        </w:rPr>
        <w:t xml:space="preserve">Euroopan parlamentin ja neuvoston asetuksen (EU) 2019/1021 liitteessä V olevassa 1 osassa tarkoitetut muovijätevirtaan sovellettavat käsittelyt ovat seuraavat: </w:t>
      </w:r>
    </w:p>
    <w:p w14:paraId="727FCC63" w14:textId="77777777" w:rsidR="0024204A" w:rsidRDefault="0024204A" w:rsidP="00B30FE7">
      <w:pPr>
        <w:rPr>
          <w:rFonts w:ascii="Arial" w:eastAsia="Calibri" w:hAnsi="Arial" w:cs="Arial"/>
          <w:sz w:val="16"/>
          <w:szCs w:val="16"/>
        </w:rPr>
      </w:pPr>
      <w:r>
        <w:rPr>
          <w:rFonts w:ascii="Arial" w:hAnsi="Arial"/>
          <w:sz w:val="16"/>
        </w:rPr>
        <w:t>D 9 Kemiallinen/fysikaalinen käsittely</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Polttaminen maalla</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Pääasiallinen käyttö polttoaineena tai muuna energiantuotannon välineenä, pois lukien PCB:tä sisältävä jäte</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B1F1" w14:textId="77777777" w:rsidR="006F7B41" w:rsidRDefault="006F7B41">
      <w:r>
        <w:separator/>
      </w:r>
    </w:p>
  </w:footnote>
  <w:footnote w:type="continuationSeparator" w:id="0">
    <w:p w14:paraId="794C8E69" w14:textId="77777777" w:rsidR="006F7B41" w:rsidRDefault="006F7B41">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Komission tiedonannossa 2018/C 124/01 todetaan, että eurooppalaisen jäteluettelon nimike 19 12 04 voi olla peräisin sähkö- ja elektroniikkalaitteiden jätteiden käsittelylaitoksista sekä muista mekaanista käsittelyä suorittavista laitoksista.</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Pysyviä orgaanisia yhdisteitä sisältäviä jätemuoveja (tai muovista johdettuja alaryhmiä), jotka sisältävät pysyviä orgaanisia yhdisteitä pitoisuuksina, jotka ylittävät pysyvistä orgaanisista yhdisteistä (POP-yhdisteet) annetun asetuksen (EU) 2019/1021 säännösten mukaisesti vahvistetun lakisääteisen raja-arvon, ei hyväksytä.</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Muovin alaryhmiä, jotka on saatu mekaanisista jätteenkäsittelylaitoksista, joiden tarkoituksena on saavuttaa jätteeksi luokittelun päättyminen, on arvioitava niiden vaarallisten ominaisuuksien määrittämiseksi. Eurooppalaisen jäteluettelon nimike 19 12 04 voidaan luokitella muovin alaryhmiin vain, jos vaarallisia ominaisuuksia ei ole varmistettu. Laitoksista, jotka eivät takaa jätteen vaarattomuutta, saatuihin muovin alaryhmiin sovelletaan nimikettä 19 12 11* muut jätteiden mekaanisessa käsittelyssä syntyvät jätteet (eri materiaalien seokset mukaan luettuina), jotka sisältävät vaarallisia aineita. Tätä kahden edellä mainitun eurooppalaisen jäteluettelon nimikkeen välistä erotteluperustetta sovelletaan kaikkiin mekaanisiin käsittelylaitoksiin niiden käsittelemän jätteen alkuperästä riippumatta.</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 xml:space="preserve">Euroopan </w:t>
      </w:r>
      <w:r>
        <w:rPr>
          <w:rFonts w:ascii="Arial" w:hAnsi="Arial"/>
          <w:sz w:val="14"/>
        </w:rPr>
        <w:t>parlamentin ja neuvoston asetus (EY) N:o 1272/2008, annettu 16 päivänä joulukuuta 2008, aineiden ja seosten luokituksesta, merkinnöistä ja pakkaamisesta sekä direktiivien 67/548/ETY ja 1999/45/EY muuttamisesta ja kumoamisesta ja asetuksen (EY) N:o 1907/2006 muuttamisesta.</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 xml:space="preserve">Euroopan </w:t>
      </w:r>
      <w:r>
        <w:rPr>
          <w:rFonts w:ascii="Arial" w:hAnsi="Arial"/>
          <w:sz w:val="14"/>
        </w:rPr>
        <w:t>parlamentin ja neuvoston asetus (EY) N:o 1907/2006, annettu 18 päivänä joulukuuta 2006, kemikaalien rekisteröinnistä, arvioinnista, lupamenettelyistä ja rajoituksista (REACH), Euroopan kemikaaliviraston perustamisesta, direktiivin 1999/45/EY muuttamisesta sekä neuvoston asetuksen (ETY) N:o 793/93, komission asetuksen (EY) N:o 1488/94, neuvoston direktiivin 76/769/ETY ja komission direktiivien 91/155/ETY, 93/67/ETY, 93/105/EY ja 2000/21/EY kumoamisesta.</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 xml:space="preserve">Euroopan </w:t>
      </w:r>
      <w:r>
        <w:rPr>
          <w:rFonts w:ascii="Arial" w:hAnsi="Arial"/>
          <w:sz w:val="14"/>
        </w:rPr>
        <w:t>parlamentin ja neuvoston asetus (EU) 2019/1021, annettu 20 päivänä kesäkuuta 2019, pysyvistä orgaanisista yhdisteistä.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43.4pt" filled="t">
                <v:fill opacity="0" color2="black"/>
                <v:imagedata r:id="rId1" o:title="" croptop="-11f" cropbottom="-11f" cropleft="-11f" cropright="-11f"/>
              </v:shape>
              <o:OLEObject Type="Embed" ProgID="PBrush" ShapeID="_x0000_i1025" DrawAspect="Content" ObjectID="_1717244721"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EKOLOGISEN SIIRTYMÄN</w:t>
          </w:r>
          <w:r>
            <w:rPr>
              <w:rFonts w:ascii="Arial" w:hAnsi="Arial"/>
              <w:sz w:val="16"/>
            </w:rPr>
            <w:br/>
            <w:t>JA VÄESTÖHAASTEEN</w:t>
          </w:r>
          <w:r>
            <w:rPr>
              <w:rFonts w:ascii="Arial" w:hAnsi="Arial"/>
              <w:sz w:val="16"/>
            </w:rPr>
            <w:br/>
            <w:t>MINISTERIÖ</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YMPÄRISTÖASIOIDEN</w:t>
          </w:r>
          <w:r>
            <w:rPr>
              <w:rFonts w:ascii="Arial" w:hAnsi="Arial"/>
              <w:sz w:val="14"/>
            </w:rPr>
            <w:br/>
            <w:t>VALTIOSIHTEERI</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YMPÄRISTÖN LAADUN JA ARVIOINNIN</w:t>
          </w:r>
          <w:r>
            <w:rPr>
              <w:rFonts w:ascii="Arial" w:hAnsi="Arial"/>
              <w:sz w:val="14"/>
            </w:rPr>
            <w:br/>
            <w:t xml:space="preserve">PÄÄOSASTO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6F7B41"/>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19C4"/>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fi-FI"/>
    </w:rPr>
  </w:style>
  <w:style w:type="character" w:customStyle="1" w:styleId="Ttulo2Car">
    <w:name w:val="Título 2 Car"/>
    <w:rPr>
      <w:rFonts w:ascii="Cambria" w:hAnsi="Cambria" w:cs="Cambria"/>
      <w:b/>
      <w:bCs/>
      <w:i/>
      <w:iCs/>
      <w:sz w:val="28"/>
      <w:szCs w:val="28"/>
      <w:lang w:val="fi-FI"/>
    </w:rPr>
  </w:style>
  <w:style w:type="character" w:customStyle="1" w:styleId="Ttulo3Car">
    <w:name w:val="Título 3 Car"/>
    <w:rPr>
      <w:rFonts w:ascii="Cambria" w:hAnsi="Cambria" w:cs="Cambria"/>
      <w:b/>
      <w:bCs/>
      <w:sz w:val="26"/>
      <w:szCs w:val="26"/>
      <w:lang w:val="fi-FI"/>
    </w:rPr>
  </w:style>
  <w:style w:type="character" w:customStyle="1" w:styleId="Ttulo4Car">
    <w:name w:val="Título 4 Car"/>
    <w:rPr>
      <w:rFonts w:ascii="Calibri" w:hAnsi="Calibri" w:cs="Calibri"/>
      <w:b/>
      <w:bCs/>
      <w:sz w:val="28"/>
      <w:szCs w:val="28"/>
      <w:lang w:val="fi-FI"/>
    </w:rPr>
  </w:style>
  <w:style w:type="character" w:customStyle="1" w:styleId="Ttulo5Car">
    <w:name w:val="Título 5 Car"/>
    <w:rPr>
      <w:rFonts w:ascii="Calibri" w:hAnsi="Calibri" w:cs="Calibri"/>
      <w:b/>
      <w:bCs/>
      <w:i/>
      <w:iCs/>
      <w:sz w:val="26"/>
      <w:szCs w:val="26"/>
      <w:lang w:val="fi-FI"/>
    </w:rPr>
  </w:style>
  <w:style w:type="character" w:customStyle="1" w:styleId="Ttulo6Car">
    <w:name w:val="Título 6 Car"/>
    <w:rPr>
      <w:rFonts w:ascii="Calibri" w:hAnsi="Calibri" w:cs="Calibri"/>
      <w:b/>
      <w:bCs/>
      <w:lang w:val="fi-FI"/>
    </w:rPr>
  </w:style>
  <w:style w:type="character" w:customStyle="1" w:styleId="Ttulo7Car">
    <w:name w:val="Título 7 Car"/>
    <w:rPr>
      <w:rFonts w:ascii="Calibri" w:hAnsi="Calibri" w:cs="Calibri"/>
      <w:sz w:val="24"/>
      <w:szCs w:val="24"/>
      <w:lang w:val="fi-FI"/>
    </w:rPr>
  </w:style>
  <w:style w:type="character" w:customStyle="1" w:styleId="Ttulo8Car">
    <w:name w:val="Título 8 Car"/>
    <w:rPr>
      <w:rFonts w:ascii="Calibri" w:hAnsi="Calibri" w:cs="Calibri"/>
      <w:i/>
      <w:iCs/>
      <w:sz w:val="24"/>
      <w:szCs w:val="24"/>
      <w:lang w:val="fi-FI"/>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fi-FI"/>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fi-FI"/>
    </w:rPr>
  </w:style>
  <w:style w:type="character" w:customStyle="1" w:styleId="AsuntodelcomentarioCar">
    <w:name w:val="Asunto del comentario Car"/>
    <w:rPr>
      <w:rFonts w:cs="Times New Roman"/>
      <w:b/>
      <w:bCs/>
      <w:sz w:val="20"/>
      <w:szCs w:val="20"/>
      <w:lang w:val="fi-FI"/>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fi-FI"/>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fi-FI" w:eastAsia="zh-CN"/>
    </w:rPr>
  </w:style>
  <w:style w:type="character" w:customStyle="1" w:styleId="CommentSubjectChar">
    <w:name w:val="Comment Subject Char"/>
    <w:rPr>
      <w:b/>
      <w:bCs/>
      <w:lang w:val="fi-FI" w:eastAsia="zh-CN"/>
    </w:rPr>
  </w:style>
  <w:style w:type="character" w:customStyle="1" w:styleId="BalloonTextChar">
    <w:name w:val="Balloon Text Char"/>
    <w:rPr>
      <w:rFonts w:ascii="Tahoma" w:hAnsi="Tahoma" w:cs="Tahoma"/>
      <w:sz w:val="16"/>
      <w:szCs w:val="16"/>
      <w:lang w:val="fi-FI"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8104</Words>
  <Characters>46193</Characters>
  <Application>Microsoft Office Word</Application>
  <DocSecurity>0</DocSecurity>
  <Lines>384</Lines>
  <Paragraphs>108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8</cp:revision>
  <cp:lastPrinted>2021-10-05T06:48:00Z</cp:lastPrinted>
  <dcterms:created xsi:type="dcterms:W3CDTF">2022-04-20T13:17:00Z</dcterms:created>
  <dcterms:modified xsi:type="dcterms:W3CDTF">2022-06-20T12:39:00Z</dcterms:modified>
</cp:coreProperties>
</file>