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A körforgásos gazdaság érdekében a hulladékról és szennyezett talajról szóló, 2022. április 8-i 7/2022. sz. törvény értelmében a mechanikus kezelés alatt álló és műanyagtermékek gyártására szánt műanyaghulladék hulladékként való megszűnésének meghatározására vonatkozó kritériumok megállapításáról szóló miniszteri rendelet</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A hulladékokról és egyes irányelvek hatályon kívül helyezéséről szóló, 2008. november 19-i 2008/98/EK európai parlamenti és tanácsi irányelv (a továbbiakban: hulladék-keretirányelv) és az azt a spanyol jogba átültető, a hulladékról és szennyezett talajról szóló, 2022. április 8-i 7/2022. számú törvény a körforgásos gazdaság érdekében</w:t>
      </w:r>
      <w:r>
        <w:t xml:space="preserve"> </w:t>
      </w:r>
      <w:r>
        <w:rPr>
          <w:rFonts w:ascii="Arial" w:hAnsi="Arial"/>
          <w:sz w:val="20"/>
        </w:rPr>
        <w:t>bevezet egy sor olyan követelményt, amelyeknek meg kell felelni ahhoz, hogy egy adott hulladéktípus</w:t>
      </w:r>
      <w:r>
        <w:rPr>
          <w:rFonts w:ascii="Arial" w:hAnsi="Arial"/>
          <w:color w:val="FF0000"/>
          <w:sz w:val="20"/>
        </w:rPr>
        <w:t xml:space="preserve"> </w:t>
      </w:r>
      <w:r>
        <w:rPr>
          <w:rFonts w:ascii="Arial" w:hAnsi="Arial"/>
          <w:sz w:val="20"/>
        </w:rPr>
        <w:t xml:space="preserve">a hasznosítás után már ne minősüljön hulladéknak.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jogi státusz megváltozásának négy követelménye az, hogy a keletkező anyagot vagy tárgyat meghatározott célokra kell felhasználni; az anyagra vagy tárgyra piacnak vagy keresletnek kell léteznie; a keletkező anyagnak vagy tárgynak meg kell felelnie az adott célra vonatkozó műszaki követelményeknek, a hatályos jogszabályoknak és a termékekre vonatkozó szabványoknak; és végül, a keletkező anyag vagy tárgy használata nem gyakorolhat káros hatást a környezetre vagy az egészségre.</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A 2018. május 30-i (EU) 2018/851 európai parlamenti és tanácsi irányelvvel módosított hulladék-keretirányelv 6. cikke előírja, hogy a hulladék végtermék státusz jogi fogalmának alkalmazása történhet európai uniós szinten, tagállami szinten vagy eseti alapon.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Az első szinten az Európai Bizottság értékelheti, hogy szükség van-e ilyen kritériumok elfogadására bizonyos hulladékáramok tekintetében, az egész Európai Unióra kiterjedő végrehajtási jogi aktusok keretében. A második esetben, ha ezeket nem közösségi szinten állapították meg, a tagállamok feladata, hogy ilyen kritériumokat állapítsanak meg bizonyos hulladékok</w:t>
      </w:r>
      <w:r>
        <w:rPr>
          <w:rFonts w:ascii="Arial" w:hAnsi="Arial"/>
          <w:color w:val="FF0000"/>
          <w:sz w:val="20"/>
        </w:rPr>
        <w:t xml:space="preserve"> </w:t>
      </w:r>
      <w:r>
        <w:rPr>
          <w:rFonts w:ascii="Arial" w:hAnsi="Arial"/>
          <w:sz w:val="20"/>
        </w:rPr>
        <w:t xml:space="preserve"> típusaira. Mindkét esetben az irányelvben meghatározott, a hulladékstátusz megszűnésére vonatkozó követelmények alkalmazandók a hasznosítási művelethez alapanyagként engedélyezett hulladékokra; megengedett kezelési eljárások és technikák; az alkalmazandó termékszabványokkal összhangban a hasznosítási művelet eredményeként, a hulladékstátusz megszűnése révén keletkező anyagok tekintetében teljesítendő minőségi kritériumok, beleértve szükség esetén a szennyező anyagokra vonatkozó határértékeket is; irányítási rendszerek a meghatározott kritériumoknak való megfelelés igazolására, különös tekintettel a minőségellenőrzésre és az önellenőrzésre, valamint adott esetben az akkreditációra; végezetül pedig a megfelelőségi nyilatkozatra vonatkozó követelmény.</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A harmadik esetben, vagyis az eseti alapon történő alkalmazás tekintetében, amennyiben sem uniós sem nemzeti szinten nem határoztak meg kritériumokat, a tagállamoknak jogukban áll eseti alapon határozni adott hulladékáramokról. A 2018. május 30-i (EU) 2018/851 irányelv kimondja, hogy szükség esetén minden esetben ugyanazokat a követelményeket kell megfogalmazni, mint amelyek a fent leírt két lehetőségre vonatkoznak. Az utóbbi esetben továbbá figyelembe kell venni a szennyező anyagokra vonatkozó határértékeket, valamint a környezetre vagy az emberi egészségre gyakorolt káros hatásokat is.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A 2022. április 8-i 7/2022. sz. törvény 5. cikke úgy rendelkezik, hogy a hasznosítási művelet tárgyát képező egyes hulladékokra – beleértve az újrafeldolgozást is – vonatkozó különös kritériumokat miniszteri rendelet állapíthatja meg annak érdekében, hogy megszűnjön annak hulladékstátusza. E célból az Európai Unió által létrehozott Hulladékkoordinációs Bizottság által készített előzetes tanulmánynak és az alkalmazandó ítélkezési gyakorlatnak adott esetben figyelembe kell vennie az elővigyázatosság és a megelőzés elveit, valamint a keletkező anyag káros hatásait.</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Meg kell jegyezni, hogy az új irányelv által az uniós és nemzeti szintű fejlesztések tekintetében alkalmazott megközelítés az, amelyet Spanyolországban a 2022. április 8-i 7/2022. sz. törvény 5. cikkének végrehajtása során alkalmaztak a hulladékstátusz megszűnésére vonatkozó miniszteri rendeletek révén.</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lastRenderedPageBreak/>
        <w:t>Ami az egyes műanyaghulladékok hulladékká válásának kritériumaira vonatkozó javaslatot illeti, az Európai Bizottság európai uniós szinten kinevezte a Közös Kutatóközpontot (a továbbiakban: JRC), hogy tanulmányozza az egyes műanyaghulladékokra vonatkozó, a hulladékstátusz megszűnésére vonatkozó javasolt kritériumokat, és adjon meg minden olyan alapvető információt, amely a 2008. november 19-i 2008/98/EK irányelv 6. cikkében foglalt feltételeknek való megfelelés biztosításához szükséges. Ezt a tanulmányt 2014-ben tették közzé, amely tagállami szakértők és érdekelt felek észrevételeit gyűjtötte össze.</w:t>
      </w:r>
      <w:r>
        <w:rPr>
          <w:rFonts w:ascii="Arial" w:hAnsi="Arial"/>
          <w:sz w:val="20"/>
          <w:shd w:val="clear" w:color="auto" w:fill="FFFFFF"/>
        </w:rPr>
        <w:t xml:space="preserve"> Ez a dokumentum a </w:t>
      </w:r>
      <w:r>
        <w:rPr>
          <w:rFonts w:ascii="Arial" w:hAnsi="Arial"/>
          <w:sz w:val="20"/>
        </w:rPr>
        <w:t>VI. mellékletben foglalja össze az úgynevezett hőre lágyuló műanyagok (a hőre keményedők kivételével) hulladékstátuszának megszűnésére vonatkozóan javasolt kritériumokat, a kritériumokat több szakaszra osztva. A tanulmány közzététele ellenére az Európai Bizottság még nem tett jogalkotási kezdeményezést arra vonatkozóan, hogy európai szinten állapítsa meg a műanyaghulladék-áramra vonatkozó kritériumokat.</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Ezt követően, a körforgásos gazdaságra vonatkozó első cselekvési terv keretében a Bizottság 2018 elején elfogadta a </w:t>
      </w:r>
      <w:r>
        <w:rPr>
          <w:rFonts w:ascii="Arial" w:hAnsi="Arial"/>
          <w:i/>
          <w:sz w:val="20"/>
        </w:rPr>
        <w:t>műanyagok körforgásos gazdaságban betöltött szerepére vonatkozó európai stratégiát</w:t>
      </w:r>
      <w:r>
        <w:rPr>
          <w:rFonts w:ascii="Arial" w:hAnsi="Arial"/>
          <w:sz w:val="20"/>
        </w:rPr>
        <w:t>, amely kifejezetten a műanyagok tervezésével, előállításával és használatával, valamint az elkülönített gyűjtéssel és az ilyen típusú hulladékok megfelelő kezelésének jelenlegi lehetőségeivel foglalkozik. A stratégia – amellett, hogy felsorolja a konkrét intézkedéseket – hangsúlyozza, hogy csökkenteni kell a műanyagok és a műanyaghulladék használatából eredő, a társadalomra és a környezetre gyakorolt nemkívánatos hatásokat, és magában foglalja azt a célkitűzést, hogy mostantól 2025-ig évente 10 millió tonna újrahasznosított műanyagot használjanak fel új termékek gyártására, ezáltal ösztönözve a műanyaghulladék Európai Unión belüli újrafeldolgozását.</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A „műanyag” kifejezés a legkülönbözőbb anyagokat foglalja magában, amelyeknek közös jellemzője a monomereknek nevezett szerkezetek ismétlődése, hosszú láncok formájában. Ebből az alapegységből kiindulva minden műanyag alapját a polimer (monomerlánc) és a különböző tulajdonságok biztosítása érdekében hozzáadott vegyi anyagok alkotják. Ezektől függően a műanyagok többek között szigetelésként, hő-, szerkezeti, világítási és védőanyagokként használhatók. Elismert funkcionalitásuknak, sokoldalúságuknak és áruknak köszönhetően a műanyagokat számos területen alkalmazzák, a mindennapi és háztartási felhasználástól kezdve a tárolóedények és csomagolóanyagok felhasználásán át az építőipar, az autóipar, a gépipar, az elektronika, a mezőgazdaság, a szövetek, a bútorok stb. területén. A mennyiséget tekintve a csomagolásban használt műanyagok iránti kereslet a legnagyobb, szemben az egyéb felhasználási célúakkal.</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Éppen azért, mert olyan sokféle tulajdonsággal rendelkezik, és olyan sokféle alkalmazásban használják, a műanyagok használata olyan széles körben elterjedt, és ezért a műanyaghulladék keletkezésének mennyisége nagyon fontos, és az utóbbi években növekvő tendenciát mutat. Sokféleségük mellett a műanyagokra jellemző, hogy az egyes termékek élettartama is igen változatos, amely egyes fogyasztási cikkek esetében percektől az építőiparban vagy például a gépekben használt termékek esetében több évig terjedhet. Ez a szempont nagyban befolyásolja a hulladékáramot, valamint egyes vegyi anyagok vagy keverékek jelenlétét egyes hulladékokban.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A műanyaghulladékban található vegyi anyagok vagy keverékek kérdése kétségtelenül rendkívül fontos a környezet és az emberi egészség védelme szempontjából. Ezért a közelmúltban egyre nagyobb igény mutatkozik a lakosság részéről mind a közvetlen szennyezéssel kapcsolatos probléma megoldására, mind a hulladékáram kezelésére legmegfelelőbb kezelések végrehajtására. E tekintetben a környezetben tartósan megmaradó szerves szennyező anyagokról (POP-ok) szóló, 2019. június 20-i (EU) 2019/1021 európai parlamenti és tanácsi rendelet előírja, hogy amennyiben az újrafeldolgozás nem lehetséges, a IV. mellékletben felsorolt bármely anyagból álló, azt az említett mellékletben meghatározottnál nagyobb koncentrációban tartalmazó vagy azzal szennyezett hulladékot ártalmatlanítani vagy hasznosítani kell bizonyos kezelési műveletekkel, amelyek biztosítják a POP-tartalom megsemmisítését vagy visszafordíthatatlan átalakítását, amennyiben az újrahasznosítás nem lehetséges. Ezen túlmenően ezen anyagoknak a hulladékstátusz megszűnését elérő műanyagból gyártott árucikkekben történő gyártására, forgalomba hozatalára és felhasználására vonatkozó rendelkezéseket is alkalmazni kell.</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A Bázeli Egyezmény és számos tagállam iránymutatásokat dolgozott ki a POP-okat tartalmazó hulladékáramok megfelelő kezelésére. 2019-ben az Európai Bizottság ambiciózus tanulmányt tett közzé, amely a 2019. június 20-i (EU) 2019/1021 európai parlamenti és tanácsi rendelet IV. és V. mellékletében meghatározott határértékek felülvizsgálatára összpontosít. Ebben a tanulmányban hangsúlyozzák, hogy általában a szétszerelés és a mechanikai szétválasztás hatékony első lépésként valósítható meg a termelési ciklusba visszatérő POP-tartalmú hulladékok mennyiségének csökkentése érdekében. Ezek a kezelések inkább az elektromos és elektronikus berendezések hulladékaira vonatkoznak, míg más áramok, például a használaton kívüli járművek, valamint az építési és bontási hulladék esetében gyakorlatiasabb akadályok állnak fenn. Ideális esetben a POP-okat tartalmazó hulladékok elkülönítése a többi részhalmazból a lehető leghamarabb megtörténik a hulladékkezelési láncban.</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Ha egyszer hulladékká válik, az újrahasznosítás sikere ebből az áramból a hulladék típusától és eredetétől függően nagyon eltérő. Jelenleg a Bizottság saját adatai szerint Európában évente több mint 27 millió tonna műanyaghulladékot gyűjtenek. Ennek az éves mennyiségnek kevesebb mint egyharmada kerül újrahasznosító üzemekbe, míg nagy mennyiség kerül hulladéklerakóba, égetésre vagy exportra. Az Európai Bizottság előírta, hogy 2030-ra minden tagállamnak el kell érnie a műanyag csomagolási hulladék 55%-os újrahasznosítását.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Egyrészt meg kell különböztetni a műanyag- vagy műanyaggyártó ipart, amelyet feldolgozóiparnak nevezünk, az ezen anyagok hulladékká válásakor a körforgásban részt vevő többi szereplőtől: a műanyaghulladék-kezelőktől. A hulladékstátusz megszűnésével összefüggésben a műanyagtermékek forgalomba hozatalát követően – függetlenül attól, hogy élettartamuk mennyiben változik – egy adott időpontban hulladékká válnak. Ezt követően a műanyaghulladék-kezelők kifejezetten erre a célra engedélyezett létesítményeiben kell kezelni őket, az április 8-i 7/2022. sz. törvénnyel összhangban. Ebben az áramban gyakori, hogy a műanyaghulladék a végső hasznosítás céljából történő kezelés előtt más kezelőkön is áthalad, akik általában legalább egy osztályozást elvégeznek. Végül a megfelelően kezelt hulladék közvetlenül felhasználható a feldolgozóipar által a kész- vagy félkész új műanyagtermékek gyártásába beépített nyersanyagként, és ezáltal körforgásos gazdasági modellt alkot.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Egy szükséges árnyalattal kiegészíthető, és e rendelet hatálya csak az előző bekezdésben leírt hulladékáramra terjed ki: a műanyaghulladékra, amely egy vagy több hulladékkezelő üzemen megy keresztül, mielőtt eljut a végső hasznosító üzembe. Ipari szinten minden, a műanyagtermékek gyártásából származó hulladék (maradványok, selejtek, nem megfelelő termékek stb.), amely magában a gyárban keletkezik, és amely közvetlenül a feldolgozóiparba kerül, a melléktermék fogalmába tartozik, és nem kapcsolódik hulladékstátusz megszűnésének fogalmához, mivel nem halad át semmilyen hulladékkezelőn. Ezt a szempontot, amely csak az ipari környezeten belüli, a fogyasztóhoz el nem jutott hulladékra vonatkozik, az úgynevezett posztindusztriális hulladékra, ez a szabvány nem szabályozza.</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Ez egy olyan folyamat, amely még nem rendelkezik egységes európai szintű szabályozási kerettel. Csak Portugália tette közzé a hulladékstátusz megszűnésére vonatkozó kritériumait, összhangban a JRC technikai tanulmányában megállapítottakkal. Tekintettel e hulladékáram jelentőségére és az uniós szintű szabályozás hiányára, alapvető fontosságú egy hazánkban alkalmazandó miniszteri rendelet megalkotása. Ez közvetlen előnyökkel jár, mivel ösztönzőleg hat az ilyen típusú hulladékok elkülönített és hatékony gyűjtési mennyiségének növelésére; az újrafeldolgozási arányok növekedésére; a hulladékkezelés javítására és a megfelelő kezelési műveletek révén visszanyert nyersanyagok jobb minőségellenőrzésére. Emellett a hulladékstátusz megszűnése csökkenti a hulladékszállítással kapcsolatos adminisztratív formalitásokat, és nem szükséges a környezeti és emberi egészséget érintő anyagok esetében, ellentétben a hulladékok területével, ahol a szállítás ellenőrzése alapvető fontosságú.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E rendelet célja, hogy a 2022. április 8-i 7/2022. sz. törvény 5. cikkében előírtaknak megfelelően, kifejezetten a mechanikusan kezelt, hőre lágyuló műanyag hulladékra vonatkozó, az állam egész </w:t>
      </w:r>
      <w:r>
        <w:rPr>
          <w:rFonts w:ascii="Arial" w:hAnsi="Arial"/>
          <w:sz w:val="20"/>
        </w:rPr>
        <w:lastRenderedPageBreak/>
        <w:t xml:space="preserve">területére érvényes, a hulladékstátusz megszűnésére vonatkozó kritériumokat állapítson meg. Ezek a JRC által készített, fent említett technikai dokumentumon alapuló kritériumok.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E rendelet célja tehát annak megállapítása, hogy mely követelményeknek kell megfelelnie a mechanikai kezelésre alkalmas, hőre lágyuló hulladéknak, a hulladékkezelők által teljesítendő követelményeknek, a keletkező anyagnak az alkalmazandó termékszabványoknak megfelelő hasznosítási műveletet követően teljesítendő minőségi kritériumainak, valamint a hulladékstátusz megszűnésére vonatkozó kritériumoknak való megfelelés irányítási rendszerek révén történő ellenőrzésére szolgáló eljárásnak.</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Azt is meg kell jegyezni, hogy ez a szabvány csak a mechanikai kezelésekre vonatkozik, más kezelésekre, például az ugyanazon a hulladékáramban elvégezhető különböző kémiai kezelésekre nem.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Az egyes műanyaghulladék-áramokban található környezetben tartósan megmaradó szerves szennyező anyagok (POP) bonyolult kérdésének megoldására két szint megkülönböztetését javasoljuk. Egyrészt azon csatornák esetében, ahol nagyobb a bizonyosság a POP-ok és veszélyes anyagok hiányát illetően, a nyomonkövethetőség megkönnyítése azáltal, hogy biztosítják a hulladékstátusz megszűnése miatt átvett hulladék eredetét, és biztosítják, hogy ezeket az összes érintett köztes kezelőnél elkülönítve, más forrásból származó hulladékkal való keveredés nélkül kezelik. És végül, amikor ez a konkrét, azonosítható és nyomon követhető eredetű hulladék eljut a végső hasznosítóhoz, biztosítsák ezt a nyomonkövethetőséget egyszerűen az utóbbi létesítményében nyert anyag minden egyes szállítmányán kiállított megfelelőségi nyilatkozat segítségével.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Másrészt a többek között a következő hulladékáramokból származó hulladékok esetében: veszélyes hulladékok, elektromos és elektronikus berendezések hulladékai, használaton kívüli járművek, valamint építési és bontási hulladékok, ahol a veszélyes anyagok és POP-ok jelenléte ismert, szintén egyértelműen biztosítani kell a hulladék eredetét, és a fent említett hulladékoktól elkülönített kezelést kell fenntartani a láncban részt vevő valamennyi kezelőnél a végső hasznosítóig. Ez nem érinti e hulladékok egyedi szennyeződésmentesítését a 2019. június 20-i (EU) 2019/1021 európai parlamenti és tanácsi rendelet rendelkezéseivel összhangban. A IV. melléklet iránymutatásként tartalmazza e rendelet műanyaghulladékokra és műanyag részhalmazokra gyakorolt következményeinek, valamint az eseti alapon alkalmazandó műveleteknek a vázlatát.</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Minden olyan újrafeldolgozott műanyagszállítmányhoz, amely megfelel a hulladékstátusz megszűnésére vonatkozó kritériumoknak, és ezért már nem minősül hulladéknak, megfelelő megfelelőségi nyilatkozatot kell mellékelni a III. mellékletben szereplő tartalomnak és jelöléseknek megfelelően, az anyag későbbi rendeltetési helyétől függően. Ezért a nyomonkövethetőség biztosítása mellett ez a dokumentációs követelmény minden egyes szállítmány esetében összhangban van az élelmiszerekkel rendeltetésszerűen érintkezésbe kerülő, újrafeldolgozott műanyagokról és műanyag tárgyakról, valamint a 2023/2006/EK rendelet módosításáról szóló, 2008. március 27-i 282/2008/EK bizottsági rendeletből eredő kötelezettségekkel. Mivel az élelmiszerekkel érintkezésbe kerülő anyagok e konkrét területén a hulladékszedőnek tájékoztatnia kell a feldolgozót arról, hogy az újrafeldolgozott műanyagot engedélyezett eljárással állítják elő, és meghatározza annak alkalmazási körét, az e rendeletnek megfelelő és élelmiszerekkel érintkezésbe kerülő anyagok vagy tárgyak gyártására szánt, újrafeldolgozott műanyagokhoz megfelelőségi nyilatkozatot kell mellékelni, amelynek tartalmaznia kell a 2008. március 27-i 282/2008/EK bizottsági rendelet 12. cikkének (2) bekezdésében meghatározott bizonyos további információkat, többek között az említett rendelet I. mellékletének B. részében meghatározottak szerint, amelyet e rendelet III. mellékletének 1. része tartalmaz.</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Végül az e rendelet rendelkezéseinek megfelelően kezelt műanyaghulladékot a végső hasznosítást követően közvetlenül a feldolgozóiparban kell felhasználni. A keletkező anyag hulladékstátuszának megszűnésére vonatkozó alapvető kérdés nem az előállított anyagok fizikai formátumában rejlik, hanem abban, hogy képes-e közvetlenül felhasználni és helyettesíteni a különböző műanyagtermékek gyártóiparában a szűz műanyag nyersanyagot.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lastRenderedPageBreak/>
        <w:t>Mivel az élelmiszerekkel érintkezésbe kerülő anyagként való felhasználást az európai jogszabályok már korlátozták és szabályozták, az erre a célra szánt kezelt műanyaghulladékra a 2008. március 27-i 282/2008/EK bizottsági rendelet különös rendelkezései vonatkoznak, az egyéb európai szabványokban e tekintetben megállapított egyéb rendelkezések mellett. Ezért két további rendeltetési fogalmat kell megkülönböztetni e miniszteri rendelet hatálya alatt, bár a két anyagtípus egyben a hulladékstátusz megszűnésének jelöltje is. Egyrészt az élelmiszerekkel rendeltetésszerűen érintkezésbe kerülők, amelyeknek meg kell felelniük a hatályos európai rendeletekben meghatározott követelményeknek, valamint nemzeti szinten az élelmiszerekkel rendeltetésszerűen érintkezésbe kerülő anyagokban és tárgyakban való felhasználásra szánt újrahasznosított polimer anyagokon alapuló nyersanyagokra vonatkozó feltételek megállapításáról szóló, 2011. június 17-i 846/2011. sz. királyi rendeletnek. Másrészt minden egyéb mechanikusan kezelt műanyag, amelyet bármely más típusú műanyagtermék gyártására szántak a feldolgozóipar számára, és amelynek meg kell felelnie a vonatkozó szabványnak vagy a felhasználó által megkövetelt műszaki előírásoknak.</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Következésképpen az I. mellékletben nem szereplő egyéb műanyaghulladék, valamint az egyéb előírt feltételeknek meg nem felelő mechanikusan kezelt műanyaghulladék továbbra is hulladéknak minősül a 2022. április 8-i 7/2022. sz. törvény értelmében, és ezért azokat az e törvény által létrehozott jogi szabályozásnak megfelelően kell kezelni. Ha pedig energiahasznosító létesítményekben való felhasználásra szánják, akkor az ilyen létesítményeknek meg kell felelniük az ipari környezetszennyezésről szóló rendelet elfogadásáról, valamint a környezetszennyezés integrált megelőzéséről és csökkentéséről szóló, 2002. július 1-i 16/2002. sz. törvény végrehajtásáról szóló, 2013. október 18-i 815/2013. sz. királyi rendelet IV. fejezete rendelkezéseinek, az e rendeletekben megállapított környezetvédelmi szint biztosítása érdekében.</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Amint ez a rendelet hatályba lép, a műanyaghulladék-kezelők önkéntes alapon használhatják, de ha a végső kezelő a kezelt műanyaghulladékot termékként kívánja forgalmazni, akkor meg kell felelnie ennek a szabványnak. Szükséges, hogy annak megállapítása érdekében, hogy a műanyaghulladék-kezelő elfogadja-e a szabványt, e kezelők továbbítsák azt az illetékes regionális közigazgatási szervnek. Ezért közleményt kell küldeniük a létesítményt a jogszabályoknak megfelelően jóváhagyó regionális közigazgatási szervnek, amely a II. mellékletben szereplő mintát használhatja.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Figyelembe véve, hogy a hulladékstátusz megszűnésére vonatkozó kritériumok – az Európai Bizottság megállapítása szerint – csak az azokat megállapító tagállamon belül lesznek kötelezőek, ha az anyagokat egy másik tagállamba szállítják, a rendeltetési ország nem köteles elfogadni az anyag nem hulladékként történő besorolását a származási országban a hulladékstátusz megszűnésére vonatkozó kritériumok alapján. Ezért a szállítást a hulladékszállításról szóló, 2006. június 14-i 1013/2006/EK európai parlamenti és tanácsi rendeletnek megfelelően kell végrehajtani, kivéve, ha a célország előzetesen és kifejezetten beleegyezik, hogy elfogadja az említett, termékként történő besorolást. Mindenesetre ha a származási ország vagy a célország harmadik ország, vagyis olyan ország, amely nem az Európai Unió tagja, akkor a szállítást az előbbiekben említett rendeletnek megfelelően kell végrehajtani.</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E rendelet összhangban áll az egységes közigazgatási eljárásokról szóló, 2015. október 1-jei 39/2015. sz. törvény 129. cikkében megállapított, a megfelelő szabályozást szolgáló elvekkel. A szükségesség és hatékonyság elvével összhangban ez a rendelet az emberi egészség és a környezet megfelelő védelmén alapul, megkönnyítve a műanyagtermékek gyártási ciklusába való visszatérést, csak olyan biztonságos anyagok esetében, amelyek megfelelnek a későbbi felhasználáshoz szükséges előírásoknak. Ezen túlmenően pedig a célkitűzések egyértelmű meghatározásán alapul, és tekintve követelmények erősen technikai jellegét, megfelelő eszköznek tartjuk azok megvalósításához.</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Ez a szabály megfelel az arányosság elvének, mivel a 2022. április 8-i 7/2022. sz. törvénnyel összhangban szabályozza az általa követett alapvető szempontokat, nevezetesen annak meghatározását, hogy egyes mechanikusan és megfelelően kezelt műanyaghulladékok mikor nem tekinthetők többé hulladéknak.</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lastRenderedPageBreak/>
        <w:t>A jogbiztonság elvének megfelelően a szabály összhangban van a nemzeti és az uniós jogrend többi részével, és nagyobb jogbiztonságot nyújt azáltal, hogy stabil, kiszámítható, integrált és bizonyos szabályozási keretet hoz létre, amely megkönnyíti azok ismeretét és megértését, következésképpen az érintett ágazatok tevékenységét és döntéshozatalát.</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Az átláthatóság elvét is tiszteletben tartja, mivel minden nyilvános tájékoztatási és meghallgatási eljárást szigorúan betartottak.</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Végül a hatékonyság elvének alkalmazása során ez a szabvány maximális hatékonyságot biztosít a célkitűzéseinek az alkalmazásához szükséges lehető legalacsonyabb költségek mellett történő eléréséhez.</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Ez a miniszteri rendelet a műszaki szabályok és szabványok, valamint az információs társadalom szolgáltatásaira vonatkozó szabályok terén történő információszolgáltatásról szóló, július 31-i 1337/1999 királyi rendeletben meghatározott, a műszaki szabályokkal és az információs társadalom szolgáltatásaira vonatkozó szabályokkal kapcsolatos információszolgáltatási eljárás megállapításáról szóló, 2015. szeptember 9-i (EU) 2015/1535 európai parlamenti és tanácsi irányelv rendelkezéseinek való megfelelés érdekében átment a szabályzatokról való tájékoztatásra vonatkozó eljáráson.</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A rendelet végrehajtására vonatkozó hatáskörről a 2022. április 8-i 7/2022. sz. törvény 5. cikke rendelkezik, alkotmányos alapja pedig a spanyol alkotmány 149. cikke (1) bekezdésének 23. pontja, amely az államot kizárólagos hatáskörrel ruházza fel a környezetvédelemre vonatkozó alapvető jogszabályok terén, az Autonóm Közösségek további védelmi normák megállapítására vonatkozó hatáskörének sérelme nélkül.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E rendelet kidolgozása során konzultáltak az Autonóm Közösségekkel és az érintett ágazatok képviseleti szerveivel; a rendelet továbbá a nyilvánosság tájékoztatására irányuló eljárás tárgyát képezte, és a Hulladékkoordinációs bizottság és a Környezetvédelmi Tanácsadó Testület elé terjesztették, a 2006. július 18-i 27/2006. sz. törvénynek a környezetvédelemmel kapcsolatos információhoz való hozzáférésről, a nyilvánosság részvételéről és az igazságszolgáltatáshoz való jogról szóló rendelkezései szerint.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Ennek értelmében, a pénzügyminiszter és a közszolgálati miniszter előzetes jóváhagyásával, az Államtanács egyetértésével/meghallgatásával, a következőket rendelem el:</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1. cikk </w:t>
      </w:r>
      <w:r>
        <w:rPr>
          <w:rFonts w:ascii="Arial" w:hAnsi="Arial"/>
          <w:b/>
          <w:i/>
          <w:sz w:val="20"/>
          <w:shd w:val="clear" w:color="auto" w:fill="FFFFFF"/>
        </w:rPr>
        <w:t>Cél és alkalmazási kör.</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E rendelet célja, hogy meghatározza azokat a kritériumokat, amelyek alapján meghatározható, hogy a mechanikai úton kezelt, majd műanyagtermékek gyártására szánt műanyaghulladék mikor szűnik meg hulladéknak minősülni a hulladékról és szennyezett talajról szóló, 2022. április 8-i 7/2022. sz. törvény értelmében, a körforgásos gazdaság érdekében.</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A jelen rendelet rendelkezéseinek meg nem felelő műanyaghulladékot hulladéknak kell tekinteni, és azt a 2022. április 8-i 7/2022. sz. törvénnyel és a rá vonatkozó egyéb szabályokkal összhangban hasznosítják vagy ártalmatlanítják.</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Az e rendeletben megállapított kritériumokat Spanyolország egész területén alkalmazni kell.</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2. cikk </w:t>
      </w:r>
      <w:r>
        <w:rPr>
          <w:rFonts w:ascii="Arial" w:hAnsi="Arial"/>
          <w:b/>
          <w:i/>
          <w:sz w:val="20"/>
        </w:rPr>
        <w:t>Fogalommeghatározások.</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rendelet alkalmazásában a 2022. április 8-i 7/2022. sz. törvényben szereplő fogalommeghatározásokon túlmenően a következő fogalommeghatározásokat kell használni:</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 xml:space="preserve">Műanyag”: a vegyi anyagok regisztrálásáról, értékeléséről, engedélyezéséről és korlátozásáról (REACH), az Európai Vegyianyag-ügynökség létrehozásáról, az 1999/45/EK irányelv módosításáról, valamint a 793/93/EGK tanácsi rendelet, az 1488/94/EK bizottsági rendelet, a 76/769/EGK </w:t>
      </w:r>
      <w:r>
        <w:rPr>
          <w:rFonts w:ascii="Arial" w:hAnsi="Arial"/>
          <w:sz w:val="20"/>
        </w:rPr>
        <w:lastRenderedPageBreak/>
        <w:t>tanácsi irányelv, a 91/155/EGK, a 93/67/EGK, a 93/105/EK és a 2000/21/EK bizottsági irányelv hatályon kívül helyezéséről szóló, 2006. december 18-i 1907/2006/EK európai parlamenti és tanácsi rendelet 3. cikkének (5) bekezdésében meghatározott polimerből készült anyag, amely adalékanyagokat vagy más hozzáadott anyagokat tartalmazhat, és amely a végtermékek fő szerkezeti alkotóelemeként szolgálhat, kivéve a vegyileg módosított természetes polimereket;</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„Műanyaghulladék”: műanyagból készült vagy műanyagot tartalmazó termék, amelyet kidobnak, ártalmatlanításra szánnak vagy amelyet ártalmatlanítani kell. Ez a kifejezés magában foglalja az ipari és a fogyasztás utáni hulladékot, mind a kezeletlen, mind a kezelt hulladékot;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„Újrahasznosított műanyag”: olyan műanyaghulladékból nyert anyag, amelyet engedélyezett hulladékkezelő létesítményekben mechanikai kezelésnek vetnek alá, amely végső kezelésnek minősül, megfelel e szabvány rendelkezéseinek, és a </w:t>
      </w:r>
      <w:bookmarkEnd w:id="0"/>
      <w:r>
        <w:rPr>
          <w:rFonts w:ascii="Arial" w:hAnsi="Arial"/>
          <w:sz w:val="20"/>
        </w:rPr>
        <w:t xml:space="preserve"> 2022. április 8-i 7/2022. sz. törvény értelmében már nem minősül hulladéknak;</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„Nem műanyag összetevő”: a polimereken és kémiai adalékanyagokon kívüli bármely olyan anyag, amely nem része valamely műanyaghulladéknak vagy az </w:t>
      </w:r>
      <w:r>
        <w:rPr>
          <w:rFonts w:ascii="Arial" w:hAnsi="Arial"/>
          <w:sz w:val="20"/>
        </w:rPr>
        <w:t>újrahasznosított műanyagnak</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„Gyártó”: </w:t>
      </w:r>
      <w:r>
        <w:rPr>
          <w:rFonts w:ascii="Arial" w:hAnsi="Arial"/>
          <w:sz w:val="20"/>
        </w:rPr>
        <w:t>az az engedélyezett hulladékkezelő, aki elvégzi a végső kezelési műveleteket egy bizonyos jellemzőkkel rendelkező anyag előállítása érdekében, és aki azt először hulladéknak már nem minősülő újrafeldolgozott műanyagként adja át;</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„Tulajdonos”: az újrafeldolgozott műanyagot birtokló természetes vagy jogi személy;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g) „Importőr”: minden olyan természetes vagy jogi személy,</w:t>
      </w:r>
      <w:r>
        <w:rPr>
          <w:rFonts w:ascii="Arial" w:hAnsi="Arial"/>
          <w:color w:val="FF0000"/>
          <w:sz w:val="20"/>
          <w:shd w:val="clear" w:color="auto" w:fill="FFFFFF"/>
        </w:rPr>
        <w:t xml:space="preserve"> </w:t>
      </w:r>
      <w:r>
        <w:rPr>
          <w:rFonts w:ascii="Arial" w:hAnsi="Arial"/>
          <w:sz w:val="20"/>
          <w:shd w:val="clear" w:color="auto" w:fill="FFFFFF"/>
        </w:rPr>
        <w:t>aki vagy amely az Európai Unió valamely tagállamából vagy harmadik országból újrahasznosított műanyagot hoz Spanyolországba,</w:t>
      </w:r>
      <w:r>
        <w:rPr>
          <w:rFonts w:ascii="Arial" w:hAnsi="Arial"/>
          <w:sz w:val="20"/>
        </w:rPr>
        <w:t xml:space="preserve"> amely e rendelet értelmében már nem minősül hulladéknak</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„Kereskedő”: bármely természetes vagy jogi személy, aki vagy amely e rendelet értelmében hulladékká vált újrafeldolgozott műanyagok beszerzésében, valamint a műanyagtermék-gyártó üzemeknek történő későbbi értékesítésben vesz részt, még akkor is, ha fizikailag nem rendelkezik vele;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„Minősített személyzet”: olyan személy, aki tapasztalat vagy képzés révén képes megfelelően megvizsgálni és értékelni mind a műanyaghulladék, mind az újrafeldolgozott műanyag tulajdonságait;</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„Szemrevételezéses ellenőrzés”: minden műanyaghulladék vagy újrafeldolgozott műanyag anyag vizsgálata látással vagy más érzékszervekkel, vagy bármely nem speciális berendezéssel;</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„Tétel”: azonos minőségű újrafeldolgozott műanyagból álló egység, amelyet ugyanabban a kezelőüzemben állítottak elő, és ahol az I. melléklet 3. pontjában meghatározott követelmények teljesülését igazolták;</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„Szállítmány”: olyan újrahasznosított műanyagtétel, amelyet a gyártó egy másik birtokosnak szán, és amelyet egy vagy több szállítóegység, például konténer tartalmazhat.</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3. cikk </w:t>
      </w:r>
      <w:r>
        <w:rPr>
          <w:rFonts w:ascii="Arial" w:hAnsi="Arial"/>
          <w:b/>
          <w:i/>
          <w:sz w:val="20"/>
        </w:rPr>
        <w:t>A hulladékstátusz megszűnésének kritériumai.</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A műanyagtermékek gyártására szánt újrafeldolgozott műanyag abban az időpontban szűnik meg hulladéknak lenni, amikor a gyártó telephelyéről a birtokos telephelyére kerül, és megfelel az alábbiaknak:</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A kezelésre szánt műanyaghulladék kizárólag az I. melléklet 1. szakaszában meghatározott kritériumoknak megfelelő hulladék;</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lastRenderedPageBreak/>
        <w:t xml:space="preserve">A műanyaghulladék egy vagy több hasznosítási műveleten esett át </w:t>
      </w:r>
      <w:r>
        <w:rPr>
          <w:rFonts w:ascii="Arial" w:hAnsi="Arial"/>
          <w:color w:val="000000"/>
          <w:sz w:val="20"/>
          <w:shd w:val="clear" w:color="auto" w:fill="FFFFFF"/>
        </w:rPr>
        <w:t>az</w:t>
      </w:r>
      <w:r>
        <w:rPr>
          <w:rFonts w:ascii="Arial" w:hAnsi="Arial"/>
          <w:sz w:val="20"/>
          <w:shd w:val="clear" w:color="auto" w:fill="FFFFFF"/>
        </w:rPr>
        <w:t xml:space="preserve"> I. melléklet 2. pontjában meghatározott kritériumok szerint;</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A kezelt műanyaghulladék megfelel az I. melléklet 3. pontjában meghatározott kritériumoknak;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A gyártó vagy importőr teljesítette az 5., 6. és 7. cikkben, valamint adott esetben a 4. cikkben meghatározott kötelezettségeket.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Azoknak a természetes vagy jogi személyeknek, akik újrahasznosított műanyagot kívánnak beszerezni, meg kell felelniük ennek a szabványnak, és az első szállítás előtt tájékoztatniuk kell azt az Autonóm Közösséget, ahol a végső kezelő létesítmény található, ahol az újrahasznosított műanyagot beszerezték, hogy ezek a kritériumok teljesülnek. Az ilyen közlést a létesítmény jóváhagyását megadó illetékes regionális hatósághoz címzett kérelem útján kell megtenni, amely legalább a II. mellékletben meghatározott tartalmat tartalmazza.</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4. cikk </w:t>
      </w:r>
      <w:r>
        <w:rPr>
          <w:rFonts w:ascii="Arial" w:hAnsi="Arial"/>
          <w:b/>
          <w:i/>
          <w:sz w:val="20"/>
        </w:rPr>
        <w:t>Élelmiszerekkel érintkezésbe kerülő anyagok gyártására szánt újrahasznosított műanyag.</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Az európai szinten hatályos szabályozási rendelkezések szerint, amennyiben az újrafeldolgozott műanyag anyag célja az élelmiszerekkel érintkezésbe kerülő anyagok vagy tárgyak előállítása, a hulladék az élelmiszerekkel rendeltetésszerűen érintkezésbe kerülő, újrafeldolgozott műanyagokról és műanyag tárgyakról, valamint a 2023/2006/EK rendelet módosításáról szóló, 2008. március 27-i 282/2008/EK bizottsági rendeletnek és minden egyéb alkalmazandó európai rendelkezésnek megfelelő műanyaghulladék-kezelők telephelyén éri el a hulladékstátusz megszűnésének állapotát.</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5. cikk </w:t>
      </w:r>
      <w:r>
        <w:rPr>
          <w:rFonts w:ascii="Arial" w:hAnsi="Arial"/>
          <w:b/>
          <w:i/>
          <w:sz w:val="20"/>
        </w:rPr>
        <w:t>Megfelelőségi nyilatkozat.</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A gyártó vagy importőr minden olyan újrafeldolgozott műanyagszállítmányra vonatkozóan, amely már nem hulladék, a III. mellékletben szereplő megfelelő minta szerinti megfelelőségi nyilatkozatot állít ki.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A</w:t>
      </w:r>
      <w:r>
        <w:rPr>
          <w:rFonts w:ascii="Arial" w:hAnsi="Arial"/>
          <w:color w:val="FF0000"/>
          <w:sz w:val="20"/>
        </w:rPr>
        <w:t xml:space="preserve"> </w:t>
      </w:r>
      <w:r>
        <w:rPr>
          <w:rFonts w:ascii="Arial" w:hAnsi="Arial"/>
          <w:sz w:val="20"/>
        </w:rPr>
        <w:t xml:space="preserve">gyártó, importőr vagy kereskedő továbbítja a megfelelőségi nyilatkozatot az újrafeldolgozott műanyagszállítmány következő birtokosának.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A gyártó, az importőr és a kereskedő köteles a megfelelőségi nyilatkozat egy példányát legalább a kiállítástól számított három évig megőrizni, és azt kérésre az illetékes hatóságok rendelkezésére bocsátani.</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A megfelelőségi nyilatkozat bármilyen módon kiadható, papíron vagy elektronikus formában, feltéve hogy ezzel garantálható annak hitelessége, tartalmának megbízhatósága és olvashatósága a kiadás napjától kezdve a teljes megőrzési időszak során.</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A megfelelőségi nyilatkozatot minden szállítmányhoz csatolni kell. Ha a szállítmány több szállítási egységben van elosztva, ezek mindegyikéhez csatolni kell a megfelelőségi nyilatkozat egy példányát.</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6. cikk </w:t>
      </w:r>
      <w:r>
        <w:rPr>
          <w:rFonts w:ascii="Arial" w:hAnsi="Arial"/>
          <w:b/>
          <w:i/>
          <w:sz w:val="20"/>
        </w:rPr>
        <w:t>Irányítási rendszer.</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A gyártó olyan irányítási rendszert hoz létre, amely tanúsítja a 3. cikkben foglalt kritériumoknak való megfelelést.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lastRenderedPageBreak/>
        <w:t>2. Ennek a minőségirányítási rendszernek dokumentált eljárásokat kell tartalmaznia az alábbi aspektusok mindegyike vonatkozásában:</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az I. melléklet 1. szakasza szerint hasznosításra irányuló feldolgozáson áteső hulladék átvételi ellenőrzése;</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az I. melléklet 2. bekezdésében leírt folyamat- és kezelési követelmények ellenőrzése;</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az előállított anyag minőségellenőrzése az I. melléklet 3. pontjában meghatározottak szerint (beleértve a mintavételt és az elemzést);</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a következő birtokos észrevételei a kapott anyag követelményeinek való megfelelésről;</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az elvégzett ellenőrzések eredményeinek rögzítése az a)–c) alpontok szerint;</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az irányítási rendszer felülvizsgálata és frissítése; és</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a személyzet képzése.</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Az irányítási rendszernek továbbá különleges ellenőrzési követelményeket kell tartalmaznia az I. mellékletben foglalt kritériumok vonatkozásában.</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Az irányítási rendszernek az UNE-CEN/TS 16011 EX műszaki szabványokkal összhangban tartalmaznia kell a visszanyerésből származó anyagok mintavételi tervezésének és mintavételének módszertanát. Műanyagok. Újrahasznosított műanyagok. Mintaelőkészítés, és PD CEN/TS 16010</w:t>
      </w:r>
      <w:r>
        <w:t xml:space="preserve"> és szabványos </w:t>
      </w:r>
      <w:r>
        <w:rPr>
          <w:rFonts w:ascii="Arial" w:hAnsi="Arial"/>
          <w:sz w:val="20"/>
        </w:rPr>
        <w:t>műanyagok. Újrahasznosított műanyagok. Mintavételi eljárások a műanyaghulladékok és az újrafeldolgozott anyagok vizsgálatára a legkorszerűbb és legfrissebb változatban.</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A termékek forgalmazása tekintetében az akkreditálás és piacfelügyelet előírásainak megállapításáról és a 339/93/EGK rendelet hatályon kívül helyezéséről szóló, 2008. július 9-i 765/2008/EK európai parlamenti és tanácsi rendeletnek megfelelően az ilyen tanúsítás elvégzésére akkreditált megfelelőségértékelő szervezet tanúsítja, hogy a gyártó által bevezetett irányítási rendszer megfelel e cikk követelményeinek.</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A gyártó kérésre köteles az illetékes hatóságok számára hozzáférést biztosítani az irányítási rendszeréhez és a vonatkozó nyilvántartásokhoz.</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Amennyiben az I. melléklet (2) bekezdésében korábban említett kezelések egyikét a gyártótól eltérő hulladékkezelő végzi, a gyártó biztosítja, hogy az üzemeltető rendelkezik az e cikkben meghatározott követelményeknek való megfelelést biztosító irányítási rendszerrel.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Az importőr előírja beszállítói számára, hogy olyan irányítási rendszert vezessenek be, amely megfelel az e cikk (2), (3) és (4) bekezdésében foglalt követelményeknek. Az irányítási rendszert a 2008. július 9-i 765/2008/EK európai parlamenti és tanácsi rendeletnek megfelelően az ilyen tanúsítás elvégzésére akkreditált megfelelőségértékelő szervezetnek kell tanúsítania.</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7. cikk </w:t>
      </w:r>
      <w:r>
        <w:rPr>
          <w:rFonts w:ascii="Arial" w:hAnsi="Arial"/>
          <w:b/>
          <w:i/>
          <w:sz w:val="20"/>
        </w:rPr>
        <w:t>A gyártó további kötelezettségei.</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Hulladékkezelőként a gyártó a 2022. április 8-i 7/2022. sz. törvény 64. cikkében előírt időrendi aktájában is feltünteti a következőkre vonatkozó információkat: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a tételszám,</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a tétel szállításának dátuma,</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az ügyfél azonosítása, és</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az értékesített mennyiség.</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Ezenkívül a fent említett törvény 65. cikkének (1) bekezdésében előírt éves jelentésben a gyártónak információkat kell közölnie a termékként forgalmazott kezelt műanyag mennyiségéről és rendeltetési helyéről.</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lastRenderedPageBreak/>
        <w:t xml:space="preserve">2. A gyártó köteles minden tételre vonatkozóan legalább három évig megőrizni az I. mellékletben foglalt követelményeknek való megfelelést igazoló információkat.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8. cikk </w:t>
      </w:r>
      <w:r>
        <w:rPr>
          <w:rFonts w:ascii="Arial" w:hAnsi="Arial"/>
          <w:b/>
          <w:i/>
          <w:sz w:val="20"/>
        </w:rPr>
        <w:t>A gyártó előtt beavatkozó hulladékkezelők kötelezettségei.</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A maximális nyomonkövethetőség biztosítása érdekében a többek között a következő hulladékáramokból származó műanyag hulladékok esetében: veszélyes hulladékok, elektromos és elektronikus berendezések hulladékai, használaton kívüli járművek vagy építési és bontási hulladékok, biztosítani kell, hogy azokat külön kezeljék, és ne keveredjenek más forrásból származó műanyag hulladékokkal a létesítményükben.</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Amennyiben a gyártó telephelyén előállított újrafeldolgozott műanyag későbbi célja az élelmiszerekkel érintkezésbe kerülő anyagok vagy tárgyak előállítása, a 2008. március 27-i 282/2008/EK bizottsági rendelet rendelkezéseivel összhangban, a gyártó előtt beavatkozó hulladékkezelőknek meg kell felelniük az e rendeletben a gyűjtésre és az előkezelésre vonatkozóan megállapított követelményeknek, beleértve egy harmadik fél által tanúsított gazdálkodási rendszer bevezetését is.</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Egyetlen kiegészítő rendelkezés. A hulladékkezelők engedélyeinek kiigazítása.</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Azon végső kezelők esetében, akik a 3. cikk (2) bekezdésének megfelelően értesítették az Autonóm Közösség illetékes hatóságát az e rendeletnek való megfelelésről, a létesítményük jóváhagyásának ki kell terjednie a műanyaghulladékra vonatkozó végső hasznosítási műveletre is, amelynek kódja: „</w:t>
      </w:r>
      <w:r>
        <w:rPr>
          <w:rFonts w:ascii="Arial" w:hAnsi="Arial"/>
          <w:i/>
          <w:sz w:val="20"/>
        </w:rPr>
        <w:t>R0307 Szerves hulladék újrafeldolgozása anyagok vagy összetevők előállítása céljából</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Egyetlen </w:t>
      </w:r>
      <w:bookmarkStart w:id="1" w:name="_Hlk95740687"/>
      <w:r>
        <w:rPr>
          <w:rFonts w:ascii="Arial" w:hAnsi="Arial"/>
          <w:b/>
          <w:sz w:val="20"/>
        </w:rPr>
        <w:t>átmeneti</w:t>
      </w:r>
      <w:bookmarkEnd w:id="1"/>
      <w:r>
        <w:rPr>
          <w:rFonts w:ascii="Arial" w:hAnsi="Arial"/>
          <w:b/>
          <w:sz w:val="20"/>
        </w:rPr>
        <w:t xml:space="preserve"> rendelkezés.</w:t>
      </w:r>
      <w:r>
        <w:rPr>
          <w:rFonts w:ascii="Arial" w:hAnsi="Arial"/>
          <w:sz w:val="20"/>
        </w:rPr>
        <w:t xml:space="preserve"> </w:t>
      </w:r>
      <w:r>
        <w:rPr>
          <w:rFonts w:ascii="Arial" w:hAnsi="Arial"/>
          <w:b/>
          <w:sz w:val="20"/>
        </w:rPr>
        <w:t>Átmeneti rendszer.</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Abban az esetben, ha az Autonóm Közösségek engedélyt adtak a kezelőknek és a kezelő létesítményeknek az újrahasznosított műanyag, mint termék, hasznosítási művelet </w:t>
      </w:r>
      <w:r>
        <w:rPr>
          <w:rFonts w:ascii="Arial" w:hAnsi="Arial"/>
          <w:sz w:val="20"/>
          <w:highlight w:val="green"/>
        </w:rPr>
        <w:t>R03 az előző törvénynek megfelelően</w:t>
      </w:r>
      <w:r>
        <w:rPr>
          <w:rFonts w:ascii="Arial" w:hAnsi="Arial"/>
          <w:sz w:val="20"/>
        </w:rPr>
        <w:t xml:space="preserve"> előállítására, az említett természetes vagy jogi személyeknek és a létesítményeknek e rendelet közzétételétől számított három hónapon belül kérniük kell az engedély kiigazítását. </w:t>
      </w:r>
    </w:p>
    <w:p w14:paraId="1FEB5090" w14:textId="77777777" w:rsidR="00576F73" w:rsidRPr="00E21F2C"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A fenti esetekben, és e rendelet hatálybalépésétől számított 18 hónap elteltével csak az e miniszteri rendelet rendelkezéseinek megfelelő újrafeldolgozott műanyag forgalmazható termékként. Ezt az időtartamot három hónapra kell csökkenteni abban az esetben, ha az előző albekezdésben említett üzemeltetők és létesítmények nem kérték engedélyük kiigazítását.</w:t>
      </w:r>
    </w:p>
    <w:p w14:paraId="4FD7B471" w14:textId="77777777" w:rsidR="00C942C5" w:rsidRPr="00E21F2C"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E21F2C"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Első záró rendelkezés. </w:t>
      </w:r>
      <w:r>
        <w:rPr>
          <w:rFonts w:ascii="Arial" w:hAnsi="Arial"/>
          <w:b/>
          <w:i/>
          <w:sz w:val="20"/>
        </w:rPr>
        <w:t>Hatáskörök kijelölése.</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E rendelet a spanyol alkotmány 149. cikke (1) bekezdésének 23. pontjában foglalt rendelkezések alapján került közzétételre, amely cikk kizárólagos hatáskört biztosít az államnak a környezetvédelemre vonatkozó alapvető jogszabályok tekintetében, az autonóm közösségek azon hatáskörének sérelme nélkül, hogy további védelmi rendeleteket fogadjanak el.</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Második záró rendelkezés. </w:t>
      </w:r>
      <w:r>
        <w:rPr>
          <w:rFonts w:ascii="Arial" w:hAnsi="Arial"/>
          <w:b/>
          <w:i/>
          <w:sz w:val="20"/>
        </w:rPr>
        <w:t>Hatálybalépés.</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Ez a rendelet az Állam Hivatalos Közlönyében való kihirdetését követő huszadik napon lép hatályba.</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I. MELLÉKLET </w:t>
      </w:r>
    </w:p>
    <w:p w14:paraId="3A51BB49" w14:textId="6B25274E" w:rsidR="00614996" w:rsidRDefault="00614996" w:rsidP="003361AE">
      <w:pPr>
        <w:jc w:val="center"/>
        <w:rPr>
          <w:rFonts w:ascii="Arial" w:hAnsi="Arial" w:cs="Arial"/>
          <w:b/>
          <w:bCs/>
          <w:sz w:val="20"/>
          <w:szCs w:val="20"/>
        </w:rPr>
      </w:pPr>
      <w:r>
        <w:rPr>
          <w:rFonts w:ascii="Arial" w:hAnsi="Arial"/>
          <w:b/>
          <w:sz w:val="20"/>
        </w:rPr>
        <w:t>A hulladékstátusz megszűnésére vonatkozó kritériumok</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A végső hasznosításra engedélyezett műanyaghulladék</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Az e rendelet hatálya alá tartozó műanyaghulladékoknak úgynevezett hőre lágyuló műanyagoknak kell lenniük, és a következő követelményeknek kell teljesülniük: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Kritériumok</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Ellenőrzési követelmények</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Csak az alábbi, európai hulladékkatalógus (EWC) szerinti kódokkal rendelkező hulladék engedélyezhető ilyen feldolgozás során felhasználandó anyagként:</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A posztindusztriális hulladék</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Műanyaghulladék (</w:t>
            </w:r>
            <w:r>
              <w:rPr>
                <w:rFonts w:ascii="Arial" w:hAnsi="Arial"/>
                <w:sz w:val="16"/>
              </w:rPr>
              <w:t>a műanyagok, a szintetikus gumi és a műszálak gyártásából, előállításából, forgalmazásából és felhasználásából)</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Műanyagforgácsok és -maradványok (</w:t>
            </w:r>
            <w:r>
              <w:rPr>
                <w:rFonts w:ascii="Arial" w:hAnsi="Arial"/>
                <w:sz w:val="16"/>
              </w:rPr>
              <w:t>fémek és műanyagok formázásából, fizikai és mechanikai felületkezeléséből</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Fogyasztás utáni hulladék</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Műanyaghulladék, kivéve a csomagolást </w:t>
            </w:r>
            <w:r>
              <w:rPr>
                <w:rFonts w:ascii="Arial" w:hAnsi="Arial"/>
              </w:rPr>
              <w:t>{</w:t>
            </w:r>
            <w:r>
              <w:rPr>
                <w:rFonts w:ascii="Arial" w:hAnsi="Arial"/>
                <w:sz w:val="16"/>
              </w:rPr>
              <w:t>(mezőgazdaságból, kertészetből, akvakultúrából, erdészetből, vadászatból és halászatból)</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Műanyag csomagolás </w:t>
            </w:r>
            <w:r>
              <w:rPr>
                <w:rFonts w:ascii="Arial" w:hAnsi="Arial"/>
                <w:sz w:val="16"/>
              </w:rPr>
              <w:t>(beleértve a települési szelektív hulladékgyűjtésből származó csomagolási hulladékot is)</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Veszélyes anyagok maradékait tartalmazó vagy azzal szennyezett csomagolások;</w:t>
            </w:r>
            <w:r>
              <w:rPr>
                <w:rFonts w:ascii="Arial" w:hAnsi="Arial"/>
                <w:sz w:val="16"/>
              </w:rPr>
              <w:t xml:space="preserve"> (csak műanyagból készült csomagolás esetén)</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Műanyag </w:t>
            </w:r>
            <w:r>
              <w:rPr>
                <w:rFonts w:ascii="Arial" w:hAnsi="Arial"/>
                <w:sz w:val="16"/>
              </w:rPr>
              <w:t>(az önjáró szállítóeszközök kezeléséből az élettartam végén vagy a karbantartási és javítási folyamatok során)</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Műanyag </w:t>
            </w:r>
            <w:r>
              <w:rPr>
                <w:rFonts w:ascii="Arial" w:hAnsi="Arial"/>
                <w:sz w:val="16"/>
              </w:rPr>
              <w:t>(építési és bontási hulladékból)</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Műanyag és gumi </w:t>
            </w:r>
            <w:r>
              <w:rPr>
                <w:rFonts w:ascii="Arial" w:hAnsi="Arial"/>
                <w:sz w:val="16"/>
              </w:rPr>
              <w:t>(mechanikai hulladékkezelő üzemekből származó műanyag esetében)</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Műanyagok</w:t>
            </w:r>
            <w:r>
              <w:rPr>
                <w:rFonts w:ascii="Arial" w:hAnsi="Arial"/>
                <w:sz w:val="16"/>
              </w:rPr>
              <w:t xml:space="preserve"> (elkülönítetten gyűjtött alcsoportokból (kivéve a 15 01. alfejezetben </w:t>
            </w:r>
            <w:r>
              <w:rPr>
                <w:rFonts w:ascii="Arial" w:hAnsi="Arial"/>
                <w:sz w:val="16"/>
              </w:rPr>
              <w:lastRenderedPageBreak/>
              <w:t>meghatározottakat))</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A 18 01. és 18 02. fejezet tekintetében egyértelművé kell tenni, hogy az EWC 18 01 03* és 18 02 02*, valamint az EWC 18 01 02., 18 01 04. és 18 02 03. kóddal ellátott műanyaghulladék szintén támogatható hulladéknak tekinthető a fertőtlenítés után.</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A létesítmény bejáratánál használt műanyaghulladék (vagy származékos műanyag alcsoportok) átvételét szakképzett személyeknek kell ellenőriznie, akik szemrevételezéssel és a kísérő dokumentáció alapján képesek felismerni, hogy mely hulladékok nem felelnek meg ezeknek a kritériumoknak.</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Szükség esetén laboratóriumi vizsgálatokat kell végezni az alkalmazandó jogszabályoknak megfelelően, a hulladék veszélyes jellemzőinek meghatározására.</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A használt személyi higiéniai termékekből származó hulladék nem támogatható.</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A veszélyesnek minősített hulladék nem fogadható el, kivéve, ha bizonyítást nyer, hogy a szükséges kezelési műveletek elvégzése után az ilyen hulladék nem rendelkezik a következő bekezdés 3. pontjában jelzett veszélyes jellemzőkkel.</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Hőre keményedő műanyag hulladék nem fogadható el.</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A környezetben tartósan megmaradó szerves szennyező anyagokat a környezetben tartósan megmaradó szerves szennyező anyagokról (POP) szóló, 2019. június 20-i (EU) 2019/1021 európai parlamenti és tanácsi rendelettel összhangban megállapított határértéket meghaladó koncentrációban tartalmazó műanyaghulladékok (vagy műanyagból származó alcsoportok) nem támogathatók.</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Az élelmiszerekkel érintkezésbe kerülő rendeltetési hely esetében</w:t>
            </w:r>
            <w:r>
              <w:rPr>
                <w:rFonts w:ascii="Arial MT" w:hAnsi="Arial MT"/>
                <w:sz w:val="19"/>
              </w:rPr>
              <w:t xml:space="preserve"> </w:t>
            </w:r>
            <w:r>
              <w:rPr>
                <w:rFonts w:ascii="Arial MT" w:hAnsi="Arial MT"/>
                <w:sz w:val="20"/>
              </w:rPr>
              <w:t>kifejezetten megkövetelik a környezetben tartósan megmaradó szerves</w:t>
            </w:r>
            <w:r>
              <w:rPr>
                <w:rFonts w:ascii="Arial" w:hAnsi="Arial"/>
                <w:sz w:val="20"/>
              </w:rPr>
              <w:t xml:space="preserve"> szennyező anyagok és egyéb olyan szennyező anyagok hiányát, amelyek nem garantálják az adott újrahasznosított műanyag élelmiszer-biztonságát.</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 xml:space="preserve">A POP-ok veszélyességi jellemzőire és jelenlétére vonatkozó követelmények alkalmazására vonatkozó eljárást az irányítási rendszer részeként dokumentálni és </w:t>
            </w:r>
            <w:r>
              <w:rPr>
                <w:rFonts w:ascii="Arial" w:hAnsi="Arial"/>
                <w:sz w:val="20"/>
                <w:shd w:val="clear" w:color="auto" w:fill="FFFFFF"/>
              </w:rPr>
              <w:t>ellenőrizni kell.</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Műanyaghulladék kezelése</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A műanyaghulladéknak mind a gyártó előtt beavatkozó hulladékkezelők telephelyén, mind pedig a gyártó saját telephelyén meg kell felelnie a következőknek: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lastRenderedPageBreak/>
        <w:t>Bármely más típusú hulladéktól elkülönítve kell tárolni. Nem szabad összekeverni más típusú hulladékkal sem.</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Át kell esniük minden olyan mechanikai kezelésen, amely annak biztosításához szükséges, hogy alkalmasak legyenek az új (készített vagy félkész) műanyagtermékek gyártásához való közvetlen felhasználásra, beleértve legalább a válogatást és a zúzást. Ezenkívül egyéb mechanikai kezelések is végezhetők, amelyek a műanyaghulladék típusától és a későbbi felhasználási céltól függően elengedhetetlenek, mint például: mechanikus méretcsökkentés laminálással vagy mikronizálással, mosás, centrifugálás, szárítás, szűrés, agglomerálás, extrudálás és robbantás.</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Abban az esetben, ha a végső hasznosítást követően az ismételt alkalmazás az élelmiszerekkel érintkezésbe kerülő felhasználás körébe tartozik, minden egyes újrafeldolgozási technológia tekintetében figyelembe kell venni a 2008. március 27-i 282/2008/EK bizottsági rendelet I. mellékletében meghatározott korlátozásokat. Amennyiben az újrafeldolgozási technológiát még nem vették fel az I. mellékletbe, de az Európai Élelmiszer-biztonsági Ügynökségnek (EFSA) az újrafeldolgozási technológiáról szóló tudományos véleményét közzéteszik, az említett dokumentumban foglalt korlátozásokat figyelembe kell venni.</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Az I. melléklet 1. pontjának 3. kritériumában felsorolt hulladékok esetében szükség szerint fertőtlenítő kezeléseket kell alkalmazni (amelyeket adott esetben külön rendeletek állapítanak meg) az esetleges veszélyességi jellemzők kiküszöbölése érdekében.</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Az előállított újrahasznosított műanyagra vonatkozó követelmények</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Kritériumok</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Ellenőrzési követelmények</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Adott esetben a vonatkozó UNE-EN műszaki szabványokban meghatározott, az újrahasznosított műanyagok jellemzésére rendelkezésre álló szabványokat naprakész és aktuális változatukban kell használni:</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Polisztirol esetében: UNE-EN 15342 Műanyag. Újrahasznosított műanyagok. Az újrahasznosított polisztirolok (PS) jellemzése</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Polietilén esetében: UNE-EN 15344 Műanyag. Újrahasznosított műanyagok. Az újrahasznosított polietilének (PE) jellemzése</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Polipropilén esetében: UNE-EN 15345 Műanyag. Újrahasznosított műanyagok. Az újrahasznosított polipropilén (PP) jellemzése</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Poli(vinil-klorid) esetében: UNE-EN 15346 Műanyag. Újrahasznosított műanyagok. Az újrahasznosított poli(vinil-klorid) (PVC) jellemzése</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Poli(etilén-tereftalát) esetében: UNE-EN 15348 Műanyag. Újrahasznosított műanyagok. Az újrahasznosított poli(etilén-tereftalát) (PET) jellemzése</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Amennyiben nincs műszaki szabvány a jellemzésre, az előállított anyagnak meg kell felelnie a vevő által a feldolgozóiparban – akár élelmiszerekkel érintkezésbe kerülő anyagok és tárgyak gyártásához, akár bármely más műanyagtermék gyártásához – történő közvetlen felhasználásra vonatkozó műszaki előírásoknak.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A szállítmány minden egyes tételére vonatkozó szabványnak vagy előírásnak való megfelelés ellenőrzését képesített személyzet végzi.</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A termék minőségét a következőkkel kell ellenőrizni:</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Szemrevételezés.</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Fizikai-kémiai jellemzés: az egyes műanyagtípusokra vonatkozó szabványokban, illetve a visszanyert műanyag rendeltetése szerinti műszaki előírásokban és egyedi ipari szabványokban említett laboratóriumi vizsgálatok elvégzése. További laboratóriumi vizsgálatokra is szükség lehet az ügyfél kiegészítő előírásainak megfelelően.</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Megfelelő időközönként és az üzemeltetési folyamatban bekövetkező jelentős változások esetén elemezni kell minden egyes újrafeldolgozott műanyagtípus reprezentatív mintáját.</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 xml:space="preserve">A mintavétel megfelelő gyakoriságát a következő </w:t>
            </w:r>
            <w:r>
              <w:rPr>
                <w:rFonts w:ascii="Arial" w:hAnsi="Arial"/>
                <w:sz w:val="20"/>
              </w:rPr>
              <w:lastRenderedPageBreak/>
              <w:t>tényezők figyelembevételével kell meghatározni:</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Várható változékonyság (pl. korábbi eredmények alapján).</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A műanyaghulladék minőségének megváltozásával járó eredendő kockázat a létesítmény bejáratánál, ahol a mechanikai kezelési műveletet végzik, különösen a veszélyes anyagokat tartalmazó műanyagok magas átlagos tartalmának következtében.</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A mintavételi módszer eredendő pontossága.</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Az eredmények közelsége azon koncentrációs határértékekhez, amelyektől az anyagot veszélyesnek tekintik vagy forgalomba hozatalát korlátozzák.</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A nem műanyag összetevő-tartalom eredményeinek közelsége a száraz tömegben kifejezett összes újrafeldolgozott műanyag legfeljebb 2%-os határértékéhez viszonyítva.</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A reprezentatív mintákat az eljárási kézikönyvben leírt mintavételi eljárásokkal összhangban kell venni, amelyeknek a lehető legrészletesebbnek kell lenniük (alkalmazott mintavételi módszer, periodicitás, méret, a minták típusa és száma, statisztikai megközelítés stb.).</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A nem műanyag alkatrészek tartalma szárazanyagra számítva legfeljebb 2% lehet.</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Az élelmiszerekkel érintkezésbe kerülő rendeltetési hely esetében kifejezetten megkövetelik a nem műanyag összetevők, az idegen testek és a műanyag textilszálak hiányát. Továbbá, attól függően, hogy milyen felhasználásra szánják, és a vevő műszaki előírásainak megfelelően, az említett előírásokban meghatározott mennyiségeknek/határértékeknek megfelelően nem tartalmazhat a gyártottól eltérő műanyag összetevőket/polimereket.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A szakképzett személyzetet ki kell képezni a műanyaghulladék-áramban található szennyeződések lehetséges típusairól, valamint azokról az összetevőkről vagy jellemzőkről, amelyek lehetővé teszik e szennyező anyagok vizuális felismerését.</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Az anyagra vonatkozó műszaki előírásoknak való megfelelés ellenőrzésére szolgáló eljárást az irányítási rendszer részeként dokumentálni kell,</w:t>
            </w:r>
            <w:r>
              <w:rPr>
                <w:rFonts w:ascii="Arial" w:hAnsi="Arial"/>
                <w:sz w:val="20"/>
                <w:shd w:val="clear" w:color="auto" w:fill="FFFFFF"/>
              </w:rPr>
              <w:t xml:space="preserve"> és annak </w:t>
            </w:r>
            <w:r>
              <w:rPr>
                <w:rFonts w:ascii="Arial" w:hAnsi="Arial"/>
                <w:color w:val="auto"/>
                <w:sz w:val="20"/>
              </w:rPr>
              <w:t>rendelkezésre kell állnia az ellenőrzésekhez.</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 xml:space="preserve">Az így kapott anyag nem sorolható be veszélyesnek az anyagok és keverékek </w:t>
            </w:r>
            <w:r>
              <w:rPr>
                <w:rFonts w:ascii="Arial" w:hAnsi="Arial"/>
              </w:rPr>
              <w:lastRenderedPageBreak/>
              <w:t>osztályozásáról, címkézéséről és csomagolásáról, a 67/548/EGK és az 1999/45/EK irányelv módosításáról és hatályon kívül helyezéséről, valamint az 1907/2006/EK rendelet módosításáról szóló, 2008. december 16-i 1272/2008/EK európai parlamenti és tanácsi rendelettel (CLP-rendelet) összhangban.</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A különös aggodalomra okot adó anyagok, valamint a 2006. december 18-i 1907/2006/EK európai parlamenti és tanácsi rendelet (REACH-rendelet) 57. cikkében foglalt kritériumoknak megfelelő anyagok forgalomba hozatalára vonatkozó korlátozások alkalmazandók rá, kivéve, ha a rendelet rendelkezései alapján engedély vagy mentesség vonatkozik rájuk.</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Meg kell felelnie a 2006. december 18-i 1907/2006/EK európai parlamenti és tanácsi rendeletben és a 2008. december 16-i 1272/2008/EK európai parlamenti és tanácsi rendeletben megállapított egyéb végrehajtási rendelkezéseknek.</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Meg kell felelnie a környezetben tartósan megmaradó szerves szennyező anyagok felhasználására vagy forgalomba hozatalára vonatkozó, a 2019. június 20-i (EU) 2019/1021 európai parlamenti és tanácsi rendeletben megállapított tilalmaknak vagy korlátozásoknak. A meglévő rendeletek szerint az élelmiszerekkel érintkezésbe kerülő rendeltetési hely megköveteli, hogy a keletkező anyag ne tartalmazzon környezetben tartósan megmaradó szerves szennyező anyagokat.</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Ezeket minőségi és mennyiségi jellemzésnek kell alávetni, amely ellenőrzi, hogy megfelelnek-e </w:t>
            </w:r>
            <w:r>
              <w:rPr>
                <w:rFonts w:ascii="Arial" w:hAnsi="Arial"/>
                <w:sz w:val="20"/>
              </w:rPr>
              <w:lastRenderedPageBreak/>
              <w:t>ezeknek a követelményeknek, valamint a CLP-rendelet, a REACH-rendelet és a POP-rendelet rendelkezéseinek.</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A mennyiségi jellemzés mellett a szállítmány minden tételét képesített személyzetnek szemrevételezéssel meg kell vizsgálnia.</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A szakképzett személyzetet ki kell képezni a műanyaghulladék-áramban található szennyeződések lehetséges típusairól, valamint azokról az összetevőkről vagy jellemzőkről, amelyek lehetővé teszik e szennyező anyagok vizuális felismerését.</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A veszélyességi jellemzők felismerésére vonatkozó eljárást az irányítási rendszer részeként dokumentálni kell, </w:t>
            </w:r>
            <w:r>
              <w:rPr>
                <w:rFonts w:ascii="Arial" w:hAnsi="Arial"/>
                <w:sz w:val="20"/>
                <w:shd w:val="clear" w:color="auto" w:fill="FFFFFF"/>
              </w:rPr>
              <w:t xml:space="preserve">és annak </w:t>
            </w:r>
            <w:r>
              <w:rPr>
                <w:rFonts w:ascii="Arial" w:hAnsi="Arial"/>
                <w:color w:val="auto"/>
                <w:sz w:val="20"/>
              </w:rPr>
              <w:t>az auditáláshoz rendelkezésre kell állnia.</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A kapott anyag nem tartalmazhat olajokat, oldószereket, festékeket vagy vizes vagy zsíros élelmiszerek nyomait.</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Ezenkívül az élelmiszerrel érintkezésbe kerülő rendeltetési hely esetében az így kapott anyag nem tartalmazhat olyan anyagot, amely veszélyezteti a benne tárolandó termék élelmiszer-biztonságát.</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Ha a szemrevételezés során a vízen kívül más folyadékok felszívódásának jeleit találják, amelyek olyan problémákat okozhatnak, mint a penészesedés vagy a szagok, és ezek a jelek jelentősek, akkor ezt a tételt hulladéknak kell tekinteni.</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A hozzáértő </w:t>
            </w:r>
            <w:r>
              <w:rPr>
                <w:rFonts w:ascii="Arial" w:hAnsi="Arial"/>
                <w:shd w:val="clear" w:color="auto" w:fill="FFFFFF"/>
              </w:rPr>
              <w:t>személyzetet</w:t>
            </w:r>
            <w:r>
              <w:rPr>
                <w:rFonts w:ascii="Arial" w:hAnsi="Arial"/>
              </w:rPr>
              <w:t xml:space="preserve"> ki kell képezni ezekre a potenciális szennyező anyagokra, valamint az anyagok azon összetevőire vagy jellemzőire, amelyek lehetővé teszik a szennyező anyagok felismerését.</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A jelenlegi szennyezőanyag-felismerési tevékenységet az irányítási rendszer részeként </w:t>
            </w:r>
            <w:r>
              <w:rPr>
                <w:rFonts w:ascii="Arial" w:hAnsi="Arial"/>
                <w:sz w:val="20"/>
                <w:shd w:val="clear" w:color="auto" w:fill="FFFFFF"/>
              </w:rPr>
              <w:lastRenderedPageBreak/>
              <w:t xml:space="preserve">dokumentálni kell, </w:t>
            </w:r>
            <w:r>
              <w:rPr>
                <w:rFonts w:ascii="Arial" w:hAnsi="Arial"/>
                <w:sz w:val="20"/>
              </w:rPr>
              <w:t>és az auditáláshoz rendelkezésre kell állnia</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lastRenderedPageBreak/>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II. MELLÉKLET</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Az illetékes regionális hatóságnak címzett közlemény minimális tartalma az e rendeletnek való megfelelésről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A......-án/-én a NIMA-nál engedélyezett...... hulladékkezelő társaság, amelynek létesítményei.........-ban/-ben találhatók, e levél útján, amelyet a(z)...... Autonóm Közösségnek (</w:t>
      </w:r>
      <w:r>
        <w:rPr>
          <w:rFonts w:ascii="Arial" w:hAnsi="Arial"/>
          <w:i/>
          <w:sz w:val="20"/>
        </w:rPr>
        <w:t>hivatal/...osztály</w:t>
      </w:r>
      <w:r>
        <w:rPr>
          <w:rFonts w:ascii="Arial" w:hAnsi="Arial"/>
          <w:sz w:val="20"/>
        </w:rPr>
        <w:t xml:space="preserve">) címzett,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sz w:val="20"/>
        </w:rPr>
        <w:t xml:space="preserve">a következőket </w:t>
      </w:r>
      <w:r>
        <w:rPr>
          <w:rFonts w:ascii="Arial" w:hAnsi="Arial"/>
          <w:b/>
          <w:sz w:val="20"/>
        </w:rPr>
        <w:t>JELENTI</w:t>
      </w:r>
      <w:r>
        <w:rPr>
          <w:rFonts w:ascii="Arial" w:hAnsi="Arial"/>
          <w:sz w:val="20"/>
        </w:rPr>
        <w:t>:</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A.......... vállalat megfelel a műanyagtermékek gyártására szánt mechanikus kezelés alatt álló műanyaghulladék hulladékként való megszűnésének a körforgásos gazdaság érdekében a hulladékról és szennyezett talajról szóló, 2022. április 8-i 7/2022. sz. törvény alapján történő meghatározására vonatkozó kritériumok megállapításáról szóló miniszteri rendeletben megállapított valamennyi rendelkezésnek.</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A.......... vállalat rendelkezik a rendelet 6. cikkének megfelelő irányítási rendszerrel.</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A.........vállalat megtette a szükséges kiigazításokat, javításokat vagy intézkedéseket annak érdekében, hogy biztosítsa a rendeletnek való megfelelést, és ezzel a kérelemmel együtt benyújtja a szükséges dokumentációt ennek bizonyításához. (</w:t>
      </w:r>
      <w:r>
        <w:rPr>
          <w:rFonts w:ascii="Arial" w:hAnsi="Arial"/>
          <w:i/>
          <w:sz w:val="20"/>
        </w:rPr>
        <w:t>adott esetben a létesítményekben végrehajtott módosítások miatt</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És mindezért </w:t>
      </w:r>
      <w:r>
        <w:rPr>
          <w:rFonts w:ascii="Arial" w:hAnsi="Arial"/>
          <w:b/>
          <w:sz w:val="20"/>
        </w:rPr>
        <w:t>KÉRI</w:t>
      </w:r>
      <w:r>
        <w:rPr>
          <w:rFonts w:ascii="Arial" w:hAnsi="Arial"/>
          <w:sz w:val="20"/>
        </w:rPr>
        <w:t xml:space="preserve"> a (</w:t>
      </w:r>
      <w:r>
        <w:rPr>
          <w:rFonts w:ascii="Arial" w:hAnsi="Arial"/>
          <w:i/>
          <w:sz w:val="20"/>
        </w:rPr>
        <w:t>...hivatalt/...osztályt)</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amelyet a cég felelős nyilatkozat útján tájékoztat, hogy tegyen eleget a miniszteri rendelet rendelkezéseinek, hogy a telephelyén nyert anyag a továbbiakban semmilyen jogi szempontból ne minősüljön hulladéknak; és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vizsgálja felül és aktualizálja a hulladékkezelő jelenlegi engedélyét a hulladékról és szennyezett talajról szóló, 2022. április 8-i 7/2022. sz. törvénynek – és különösen annak II. mellékletének – megfelelően, amely meghatározza a hulladékhasznosítási műveletek kódjait, a körforgásos gazdaság érdekében.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Hely, dátum, aláírás.</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III. MELLÉKLET</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Nyilatkozat azon kritériumoknak való megfelelésről, hogy a kezelt műanyaghulladék mikor szűnik meg hulladéknak lenni</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Megfelelőségi nyilatkozat az élelmiszerekkel érintkezésbe kerülő anyagok vagy tárgyak gyártására szánt újrafeldolgozott műanyagról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A 2008. március 27-i 282/2008/EK bizottsági rendelettel összhangban az említett rendelet 12. cikkének (2) bekezdésében meghatározott esetekben megkövetelt megfelelőségi nyilatkozatnak tartalmaznia kell továbbá az említett rendelet I. mellékletének B. részében meghatározott, alábbi információkat, nevezetesen:</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nyilatkozat arról, hogy az újrafeldolgozási eljárást engedélyezték, feltüntetve az engedélyezett újrafeldolgozási eljárás EK-nyilvántartási számát;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nyilatkozat arról, hogy a műanyag alapanyag, az újrafeldolgozási eljárás és az újrafeldolgozott műanyag megfelel azoknak az előírásoknak, amelyek szerint az engedélyt megadták;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nyilatkozat arról, hogy minőségbiztosítási rendszert alkalmaznak az élelmiszerekkel rendeltetésszerűen érintkezésbe kerülő anyagok és tárgyak helyes gyártási gyakorlatáról szóló, 2006. december 22-i 2023/2006/EK bizottsági rendelet mellékletének B. szakaszával összhangban.</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Megfelelőségi nyilatkozat más termékek gyártására szánt, újrafeldolgozott műanyagra vonatkozóan</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Gyártó/Anyagimportőr</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Név:</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Cím:</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Kapcsolattartó:</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Telefon: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E-mail:</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Nyilvántartási szám a Hulladéktermelési és -gazdálkodási Nyilvántartásban:</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Az újrafeldolgozott műanyag típusa (</w:t>
            </w:r>
            <w:r>
              <w:rPr>
                <w:rFonts w:ascii="Arial" w:hAnsi="Arial"/>
                <w:i/>
                <w:sz w:val="20"/>
              </w:rPr>
              <w:t>adja meg):</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(nagy sűrűségű polietilén)</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(alacsony sűrűségű polietilén)</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(poli(etilén-tereftalát))</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(polipropilén)</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(polisztirol)</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(poli(vinil-klorid))</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(bővített polisztirol)</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Egyéb (</w:t>
            </w:r>
            <w:r>
              <w:rPr>
                <w:rFonts w:ascii="Arial" w:hAnsi="Arial"/>
                <w:i/>
                <w:sz w:val="20"/>
              </w:rPr>
              <w:t>határozza meg</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 nem műanyag komponensek tartalma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 tétel száma és mennyisége (tonna):</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Ez a szállítmány megfelel a hulladékról és szennyezett talajról szóló, 2022. április 8-i 7/2022. sz. törvény 3. cikkében említett kritériumoknak, amelyek meghatározzák, hogy a mechanikai kezelésnek alávetett és műanyag termékek gyártására szánt műanyaghulladék mikor szűnik meg hulladéknak lenni a körforgásos gazdaság érdekében.</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 szállítás tekintetében a hulladék keletkezésétől kezdve garantált a forrástól való nyomonkövethetőség, és ez a körforgásos gazdaság érdekében a hulladékról és szennyezett talajról szóló, 2022. április 8-i 7/2022. sz. törvény értelmében bizonyítható és dokumentálható a mechanikus kezelés alatt álló és műanyagtermékek gyártására szánt műanyaghulladékra vonatkozó kritériumok megállapításáról szóló miniszteri rendelet 8. cikkével összhangban.</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Az anyag gyártója a hulladékról és szennyezett talajról szóló, 2002. április 8-i 7/2022. sz. törvény értelmében, a körforgásos gazdaság érdekében, a mechanikai kezelésnek alávetett és műanyag termékek gyártására szánt műanyaghulladék hulladékstátusza megszűnésének meghatározására vonatkozó kritériumokat megállapító miniszteri rendelet 6. cikkével összhangban kezelési rendszert vezet be.</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E szállítmány anyagát közvetlen értékesítéssel vagy kereskedelmi ügynökön/forgalmazón keresztül kizárólag a műanyagfeldolgozó ágazatban történő felhasználásra szánják.</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válassza ki az egyik opciót</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A szállítmány megfelel a következő műszaki szabványoknak: (</w:t>
            </w:r>
            <w:r>
              <w:rPr>
                <w:rFonts w:ascii="Arial" w:hAnsi="Arial"/>
                <w:i/>
                <w:sz w:val="20"/>
              </w:rPr>
              <w:t>adja meg a számot</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A szállítmány megfelel a célipar által megkövetelt műszaki előírásoknak.</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 szállítmányban lévő anyag nem minősül veszélyesnek az 1272/2008/EK rendelet</w:t>
            </w:r>
            <w:r w:rsidR="00440EB5">
              <w:rPr>
                <w:rStyle w:val="FootnoteReference"/>
                <w:rFonts w:ascii="Arial" w:hAnsi="Arial" w:cs="Arial"/>
                <w:sz w:val="20"/>
                <w:szCs w:val="20"/>
              </w:rPr>
              <w:footnoteReference w:id="2"/>
            </w:r>
            <w:r>
              <w:rPr>
                <w:rFonts w:ascii="Arial" w:hAnsi="Arial"/>
                <w:sz w:val="20"/>
              </w:rPr>
              <w:t xml:space="preserve"> (CLP-rendelet) kritériumai szerint, megfelel a különös aggodalomra okot adó anyagok forgalomba hozatalára vonatkozó rendelkezéseknek, valamint az 1907/2006/EK rendelet</w:t>
            </w:r>
            <w:r w:rsidR="00440EB5">
              <w:rPr>
                <w:rStyle w:val="FootnoteReference"/>
                <w:rFonts w:ascii="Arial" w:hAnsi="Arial" w:cs="Arial"/>
                <w:sz w:val="20"/>
                <w:szCs w:val="20"/>
              </w:rPr>
              <w:footnoteReference w:id="3"/>
            </w:r>
            <w:r>
              <w:rPr>
                <w:rFonts w:ascii="Arial" w:hAnsi="Arial"/>
                <w:sz w:val="20"/>
              </w:rPr>
              <w:t xml:space="preserve"> (REACH-rendelet) </w:t>
            </w:r>
            <w:r>
              <w:rPr>
                <w:rFonts w:ascii="Arial" w:hAnsi="Arial"/>
                <w:sz w:val="20"/>
              </w:rPr>
              <w:lastRenderedPageBreak/>
              <w:t>XVII. mellékletében foglalt korlátozásoknak, valamint a környezetben tartósan megmaradó szerves szennyező anyagok használatára és forgalomba hozatalára vonatkozóan az (EU) 2019/1021 rendelet</w:t>
            </w:r>
            <w:r w:rsidR="00440EB5">
              <w:rPr>
                <w:rStyle w:val="FootnoteReference"/>
                <w:rFonts w:ascii="Arial" w:hAnsi="Arial" w:cs="Arial"/>
                <w:sz w:val="20"/>
                <w:szCs w:val="20"/>
              </w:rPr>
              <w:footnoteReference w:id="4"/>
            </w:r>
            <w:r>
              <w:rPr>
                <w:rFonts w:ascii="Arial" w:hAnsi="Arial"/>
                <w:sz w:val="20"/>
              </w:rPr>
              <w:t xml:space="preserve"> (POP-rendelet) 3. cikkében előírt tilalmaknak vagy korlátozásoknak.</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 hulladéknak már nem minősülő, mechanikusan kezelt műanyaghulladék gyártójának/importőrének nyilatkozata a körforgásos gazdaság érdekében a hulladékról és szennyezett talajról szóló, 2022. április 8-i 7/2022. sz. törvény értelmében.</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Igazolom, hogy a fenti információk a legjobb tudásom és ismereteim szerint teljesek és pontosak.</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Név, dátum, aláírás.</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IV. MELLÉKLET</w:t>
      </w:r>
    </w:p>
    <w:p w14:paraId="44AD12A1" w14:textId="28FB853F" w:rsidR="00B30FE7" w:rsidRDefault="00B30FE7" w:rsidP="003361AE">
      <w:pPr>
        <w:jc w:val="center"/>
        <w:rPr>
          <w:rFonts w:ascii="Arial" w:hAnsi="Arial" w:cs="Arial"/>
          <w:b/>
          <w:sz w:val="20"/>
          <w:szCs w:val="20"/>
        </w:rPr>
      </w:pPr>
      <w:r>
        <w:rPr>
          <w:rFonts w:ascii="Arial" w:hAnsi="Arial"/>
          <w:b/>
          <w:sz w:val="20"/>
        </w:rPr>
        <w:t xml:space="preserve">Útmutató a POP </w:t>
      </w:r>
      <w:r>
        <w:rPr>
          <w:rStyle w:val="Ancladenotafinal"/>
          <w:rFonts w:ascii="Arial" w:hAnsi="Arial" w:cs="Arial"/>
          <w:b/>
          <w:sz w:val="20"/>
          <w:szCs w:val="20"/>
        </w:rPr>
        <w:endnoteReference w:id="1"/>
      </w:r>
      <w:r>
        <w:rPr>
          <w:rFonts w:ascii="Arial" w:hAnsi="Arial"/>
          <w:b/>
          <w:sz w:val="20"/>
        </w:rPr>
        <w:t>rendelet műanyaghulladékra történő alkalmazásáról</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48F3CF41">
                <wp:simplePos x="0" y="0"/>
                <wp:positionH relativeFrom="column">
                  <wp:posOffset>2978785</wp:posOffset>
                </wp:positionH>
                <wp:positionV relativeFrom="paragraph">
                  <wp:posOffset>2255520</wp:posOffset>
                </wp:positionV>
                <wp:extent cx="1918447" cy="391160"/>
                <wp:effectExtent l="0" t="0" r="24765" b="27940"/>
                <wp:wrapNone/>
                <wp:docPr id="11" name="Text Box 11"/>
                <wp:cNvGraphicFramePr/>
                <a:graphic xmlns:a="http://schemas.openxmlformats.org/drawingml/2006/main">
                  <a:graphicData uri="http://schemas.microsoft.com/office/word/2010/wordprocessingShape">
                    <wps:wsp>
                      <wps:cNvSpPr txBox="1"/>
                      <wps:spPr>
                        <a:xfrm>
                          <a:off x="0" y="0"/>
                          <a:ext cx="1918447" cy="391160"/>
                        </a:xfrm>
                        <a:prstGeom prst="rect">
                          <a:avLst/>
                        </a:prstGeom>
                        <a:solidFill>
                          <a:schemeClr val="lt1"/>
                        </a:solidFill>
                        <a:ln w="6350">
                          <a:solidFill>
                            <a:prstClr val="black"/>
                          </a:solidFill>
                        </a:ln>
                      </wps:spPr>
                      <wps:txbx>
                        <w:txbxContent>
                          <w:p w14:paraId="3834AA7E" w14:textId="77777777" w:rsidR="006C161B" w:rsidRDefault="00906DFD" w:rsidP="006C161B">
                            <w:pPr>
                              <w:jc w:val="center"/>
                              <w:rPr>
                                <w:sz w:val="13"/>
                                <w:szCs w:val="13"/>
                              </w:rPr>
                            </w:pPr>
                            <w:r>
                              <w:rPr>
                                <w:sz w:val="13"/>
                              </w:rPr>
                              <w:t xml:space="preserve">Égetés/energiaértékelés </w:t>
                            </w:r>
                          </w:p>
                          <w:p w14:paraId="71F47356" w14:textId="553DA01F" w:rsidR="00906DFD" w:rsidRPr="006C161B" w:rsidRDefault="006C161B" w:rsidP="006C161B">
                            <w:pPr>
                              <w:jc w:val="center"/>
                              <w:rPr>
                                <w:sz w:val="13"/>
                                <w:szCs w:val="13"/>
                              </w:rPr>
                            </w:pPr>
                            <w:r>
                              <w:rPr>
                                <w:sz w:val="13"/>
                              </w:rPr>
                              <w:t>(a POP-rendelet V. melléklete 1. részének végrehajtása)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55pt;margin-top:177.6pt;width:151.05pt;height:3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vuNwIAAHwEAAAOAAAAZHJzL2Uyb0RvYy54bWysVE1v2zAMvQ/YfxB0XxynadoYcYosRYYB&#10;QVsgLXpWZCk2JouapMTOfv0oxfnqdhp2kUmRfCIfSU8e2lqRnbCuAp3TtNenRGgORaU3OX17XXy5&#10;p8R5pgumQIuc7oWjD9PPnyaNycQASlCFsARBtMsak9PSe5MlieOlqJnrgREajRJszTyqdpMUljWI&#10;Xqtk0O+PkgZsYSxw4RzePh6MdBrxpRTcP0vphCcqp5ibj6eN5zqcyXTCso1lpqx4lwb7hyxqVml8&#10;9AT1yDwjW1v9AVVX3IID6Xsc6gSkrLiINWA1af9DNauSGRFrQXKcOdHk/h8sf9qtzIslvv0KLTYw&#10;ENIYlzm8DPW00tbhi5kStCOF+xNtovWEh6Bxej8c3lHC0XYzTtNR5DU5Rxvr/DcBNQlCTi22JbLF&#10;dkvn8UV0PbqExxyoqlhUSkUljIKYK0t2DJuofMwRI668lCZNTkc3t/0IfGUL0Kf4tWL8R6jyGgE1&#10;pfHyXHuQfLtuO0LWUOyRJwuHEXKGLyrEXTLnX5jFmUFqcA/8Mx5SASYDnURJCfbX3+6DP7YSrZQ0&#10;OIM5dT+3zApK1HeNTR6nw2EY2qgMb+8GqNhLy/rSorf1HJChFDfO8CgGf6+OorRQv+O6zMKraGKa&#10;49s59Udx7g+bgevGxWwWnXBMDfNLvTI8QIeOBD5f23dmTddPj5PwBMdpZdmHth58Q6SG2daDrGLP&#10;A8EHVjveccRjW7p1DDt0qUev809j+hsAAP//AwBQSwMEFAAGAAgAAAAhAAKxTiDeAAAACwEAAA8A&#10;AABkcnMvZG93bnJldi54bWxMj8FOwzAMhu9IvENkJG4s7WBdV5pOgAYXTgzEOWuyJKJxqiTryttj&#10;TnCz9X/6/bndzn5gk47JBRRQLgpgGvugHBoBH+/PNzWwlCUqOQTUAr51gm13edHKRoUzvulpnw2j&#10;EkyNFGBzHhvOU2+1l2kRRo2UHUP0MtMaDVdRnqncD3xZFBX30iFdsHLUT1b3X/uTF7B7NBvT1zLa&#10;Xa2cm+bP46t5EeL6an64B5b1nP9g+NUndejI6RBOqBIbBNxVm5JQAber1RIYEet1ScOBorKqgXct&#10;//9D9wMAAP//AwBQSwECLQAUAAYACAAAACEAtoM4kv4AAADhAQAAEwAAAAAAAAAAAAAAAAAAAAAA&#10;W0NvbnRlbnRfVHlwZXNdLnhtbFBLAQItABQABgAIAAAAIQA4/SH/1gAAAJQBAAALAAAAAAAAAAAA&#10;AAAAAC8BAABfcmVscy8ucmVsc1BLAQItABQABgAIAAAAIQBoQSvuNwIAAHwEAAAOAAAAAAAAAAAA&#10;AAAAAC4CAABkcnMvZTJvRG9jLnhtbFBLAQItABQABgAIAAAAIQACsU4g3gAAAAsBAAAPAAAAAAAA&#10;AAAAAAAAAJEEAABkcnMvZG93bnJldi54bWxQSwUGAAAAAAQABADzAAAAnAUAAAAA&#10;" fillcolor="white [3201]" strokeweight=".5pt">
                <v:textbox>
                  <w:txbxContent>
                    <w:p w14:paraId="3834AA7E" w14:textId="77777777" w:rsidR="006C161B" w:rsidRDefault="00906DFD" w:rsidP="006C161B">
                      <w:pPr>
                        <w:jc w:val="center"/>
                        <w:rPr>
                          <w:sz w:val="13"/>
                          <w:szCs w:val="13"/>
                        </w:rPr>
                      </w:pPr>
                      <w:r>
                        <w:rPr>
                          <w:sz w:val="13"/>
                        </w:rPr>
                        <w:t xml:space="preserve">Égetés/energiaértékelés </w:t>
                      </w:r>
                    </w:p>
                    <w:p w14:paraId="71F47356" w14:textId="553DA01F" w:rsidR="00906DFD" w:rsidRPr="006C161B" w:rsidRDefault="006C161B" w:rsidP="006C161B">
                      <w:pPr>
                        <w:jc w:val="center"/>
                        <w:rPr>
                          <w:sz w:val="13"/>
                          <w:szCs w:val="13"/>
                        </w:rPr>
                      </w:pPr>
                      <w:r>
                        <w:rPr>
                          <w:sz w:val="13"/>
                        </w:rPr>
                        <w:t>(a POP-rendelet V. melléklete 1. részének végrehajtása)</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a </w:t>
                            </w:r>
                            <w:r>
                              <w:rPr>
                                <w:sz w:val="12"/>
                              </w:rPr>
                              <w:t>koncentráció nem határozható meg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a </w:t>
                      </w:r>
                      <w:r>
                        <w:rPr>
                          <w:sz w:val="12"/>
                        </w:rPr>
                        <w:t>koncentráció nem határozható meg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POP </w:t>
                            </w:r>
                            <w:r>
                              <w:rPr>
                                <w:sz w:val="12"/>
                              </w:rPr>
                              <w:t>&gt; a IV. mellékletben meghatározott határérték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 </w:t>
                      </w:r>
                      <w:r>
                        <w:rPr>
                          <w:sz w:val="12"/>
                        </w:rPr>
                        <w:t>&gt; a IV. mellékletben meghatározott határérték</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POP </w:t>
                            </w:r>
                            <w:r>
                              <w:rPr>
                                <w:sz w:val="12"/>
                              </w:rPr>
                              <w:t>&lt; a IV. mellékletben meghatározott határérték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 </w:t>
                      </w:r>
                      <w:r>
                        <w:rPr>
                          <w:sz w:val="12"/>
                        </w:rPr>
                        <w:t>&lt; a IV. mellékletben meghatározott határérték</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906DFD" w:rsidRDefault="00906DFD" w:rsidP="00906DFD">
                            <w:pPr>
                              <w:jc w:val="center"/>
                              <w:rPr>
                                <w:sz w:val="12"/>
                                <w:szCs w:val="12"/>
                              </w:rPr>
                            </w:pPr>
                            <w:r>
                              <w:rPr>
                                <w:sz w:val="12"/>
                              </w:rPr>
                              <w:t>Anyagvisszanyerés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906DFD" w:rsidRDefault="00906DFD" w:rsidP="00906DFD">
                      <w:pPr>
                        <w:jc w:val="center"/>
                        <w:rPr>
                          <w:sz w:val="12"/>
                          <w:szCs w:val="12"/>
                        </w:rPr>
                      </w:pPr>
                      <w:r>
                        <w:rPr>
                          <w:sz w:val="12"/>
                        </w:rPr>
                        <w:t>Anyagvisszanyerés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A POP-ok jelenlétével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A POP-ok jelenlétével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POP </w:t>
                            </w:r>
                            <w:r>
                              <w:rPr>
                                <w:sz w:val="10"/>
                              </w:rPr>
                              <w:t>nélkül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8D912"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POP </w:t>
                      </w:r>
                      <w:r>
                        <w:rPr>
                          <w:sz w:val="10"/>
                        </w:rPr>
                        <w:t>nélkül</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Műanyag </w:t>
                            </w:r>
                            <w:r>
                              <w:rPr>
                                <w:sz w:val="12"/>
                              </w:rPr>
                              <w:t>alcsoport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Műanyag </w:t>
                      </w:r>
                      <w:r>
                        <w:rPr>
                          <w:sz w:val="12"/>
                        </w:rPr>
                        <w:t>alcsoport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MŰANYAGHULLADÉK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MŰANYAGHULLADÉK</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5A7B" w14:textId="77777777" w:rsidR="00781C95" w:rsidRDefault="00781C95">
      <w:r>
        <w:separator/>
      </w:r>
    </w:p>
  </w:endnote>
  <w:endnote w:type="continuationSeparator" w:id="0">
    <w:p w14:paraId="630CED3A" w14:textId="77777777" w:rsidR="00781C95" w:rsidRDefault="00781C95">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 xml:space="preserve">A környezetben tartósan megmaradó szerves szennyező anyagokról (POP) szóló, 2019. június 20-i </w:t>
      </w:r>
      <w:r>
        <w:rPr>
          <w:rFonts w:ascii="Arial" w:hAnsi="Arial"/>
        </w:rPr>
        <w:t xml:space="preserve"> </w:t>
      </w:r>
      <w:r>
        <w:rPr>
          <w:rFonts w:ascii="Arial" w:hAnsi="Arial"/>
          <w:sz w:val="16"/>
        </w:rPr>
        <w:t xml:space="preserve">(EU) 2019/1021 európai parlamenti és tanácsi rendelet V. mellékletének 1. részében említett, a műanyaghulladék-áramra alkalmazott kezelések a következők: </w:t>
      </w:r>
    </w:p>
    <w:p w14:paraId="727FCC63" w14:textId="77777777" w:rsidR="0024204A" w:rsidRDefault="0024204A" w:rsidP="00B30FE7">
      <w:pPr>
        <w:rPr>
          <w:rFonts w:ascii="Arial" w:eastAsia="Calibri" w:hAnsi="Arial" w:cs="Arial"/>
          <w:sz w:val="16"/>
          <w:szCs w:val="16"/>
        </w:rPr>
      </w:pPr>
      <w:r>
        <w:rPr>
          <w:rFonts w:ascii="Arial" w:hAnsi="Arial"/>
          <w:sz w:val="16"/>
        </w:rPr>
        <w:t>D 9 Fizikai-kémiai kezelés</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A szárazföldön történő égetés</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Főbb felhasználás tüzelőanyagként vagy más energiatermelési eszközként, kivéve a PCB-ket tartalmazó hulladékot</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AFD5" w14:textId="77777777" w:rsidR="00781C95" w:rsidRDefault="00781C95">
      <w:r>
        <w:separator/>
      </w:r>
    </w:p>
  </w:footnote>
  <w:footnote w:type="continuationSeparator" w:id="0">
    <w:p w14:paraId="3BB43E92" w14:textId="77777777" w:rsidR="00781C95" w:rsidRDefault="00781C95">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A 2018/C 124/01 bizottsági közlemény kimondja, hogy az EWC 19 12 04 az elektromos és elektronikus berendezések hulladékkezelő telepeiről, valamint a gépesített kezelést végző egyéb létesítményekből származhat.</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A környezetben tartósan megmaradó szerves szennyező anyagokat a környezetben tartósan megmaradó szerves szennyező anyagokról szóló (EU) 2019/1021 rendelet rendelkezéseivel összhangban megállapított határértéket meghaladó koncentrációban tartalmazó műanyaghulladékok (vagy műanyagból származó alcsoportok) nem támogathatók.</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A hulladékstátusz megszűnése állapotának elérésére szánt, gépesített hulladékkezelő üzemekből származó műanyag alcsoportjait veszélyességi jellemzőik meghatározása érdekében értékelni kell. Az EWC 19 12 04 csak olyan műanyag alcsoport készletekhez rendelhető, amelyeknél nem igazolták a veszélyes tulajdonságokat. Az olyan létesítményekben nyert műanyag részegységekre, amelyek nem garantálják a hulladék veszélytelenségét, a 19 12 11* kódot kell alkalmazni – Egyéb hulladékok – (beleértve a veszélyes anyagokat tartalmazó anyagok keverékeit is), amelyek veszélyes anyagokat tartalmazó hulladékok mechanikai kezeléséből származnak. A két említett EWC-kód közötti különbségtételnek ezt a kritériumát valamennyi gépesített hulladékkezelő üzemben alkalmazni kell, függetlenül az általuk kezelt hulladék eredetétől.</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rFonts w:ascii="Arial" w:hAnsi="Arial"/>
          <w:sz w:val="14"/>
        </w:rPr>
        <w:t xml:space="preserve">Az </w:t>
      </w:r>
      <w:r>
        <w:rPr>
          <w:rFonts w:ascii="Arial" w:hAnsi="Arial"/>
          <w:sz w:val="14"/>
        </w:rPr>
        <w:t>Európai Parlament és a Tanács 1272/2008/EK rendelete (2008. december 16.) az anyagok és keverékek osztályozásáról, címkézéséről és csomagolásáról, a 67/548/EGK és az 1999/45/EK irányelv módosításáról és hatályon kívül helyezéséről, valamint az 1907/2006/EK rendelet módosításáról.</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rFonts w:ascii="Arial" w:hAnsi="Arial"/>
          <w:sz w:val="14"/>
        </w:rPr>
        <w:t xml:space="preserve">Az </w:t>
      </w:r>
      <w:r>
        <w:rPr>
          <w:rFonts w:ascii="Arial" w:hAnsi="Arial"/>
          <w:sz w:val="14"/>
        </w:rPr>
        <w:t>Európai Parlament és a Tanács 1907/2006/EK rendelete (2006. december 18.) a vegyi anyagok regisztrálásáról, értékeléséről, engedélyezéséről és korlátozásáról (REACH), az Európai Vegyianyag-ügynökség létrehozásáról, az 1999/45/EK irányelv módosításáról, valamint a 793/93/EGK tanácsi rendelet, az 1488/94/EK bizottsági rendelet, a 76/769/EGK tanácsi irányelv, a 91/155/EGK, a 93/67/EGK, a 93/105/EK és a 2000/21/EK bizottsági irányelv hatályon kívül helyezéséről.</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rFonts w:ascii="Arial" w:hAnsi="Arial"/>
          <w:sz w:val="14"/>
        </w:rPr>
        <w:t xml:space="preserve">Az </w:t>
      </w:r>
      <w:r>
        <w:rPr>
          <w:rFonts w:ascii="Arial" w:hAnsi="Arial"/>
          <w:sz w:val="14"/>
        </w:rPr>
        <w:t>Európai Parlament és a Tanács (EU) 2019/1021 rendelete (2019. június 20.) a környezetben tartósan megmaradó szerves szennyező anyagokról.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3.2pt" filled="t">
                <v:fill opacity="0" color2="black"/>
                <v:imagedata r:id="rId1" o:title="" croptop="-11f" cropbottom="-11f" cropleft="-11f" cropright="-11f"/>
              </v:shape>
              <o:OLEObject Type="Embed" ProgID="PBrush" ShapeID="_x0000_i1025" DrawAspect="Content" ObjectID="_1717321037"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AZ ÖKOLÓGIAI ÁTMENETÉRT</w:t>
          </w:r>
          <w:r>
            <w:rPr>
              <w:rFonts w:ascii="Arial" w:hAnsi="Arial"/>
              <w:sz w:val="16"/>
            </w:rPr>
            <w:br/>
            <w:t>ÉS A DEMOGRÁFIAI KIHÍVÁSÉRT</w:t>
          </w:r>
          <w:r>
            <w:rPr>
              <w:rFonts w:ascii="Arial" w:hAnsi="Arial"/>
              <w:sz w:val="16"/>
            </w:rPr>
            <w:br/>
            <w:t>FELELŐS MINISZTÉRIUM</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KÖRNYEZETVÉDELMI</w:t>
          </w:r>
          <w:r>
            <w:rPr>
              <w:rFonts w:ascii="Arial" w:hAnsi="Arial"/>
              <w:sz w:val="14"/>
            </w:rPr>
            <w:br/>
            <w:t>ÁLLAMTITKÁR</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KÖRNYEZETMINŐSÉGI</w:t>
          </w:r>
          <w:r>
            <w:rPr>
              <w:rFonts w:ascii="Arial" w:hAnsi="Arial"/>
              <w:sz w:val="14"/>
            </w:rPr>
            <w:br/>
            <w:t xml:space="preserve">ÉS -ÉRTÉKELÉSI FŐIGAZGATÓSÁG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81C95"/>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1F2C"/>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hu-HU"/>
    </w:rPr>
  </w:style>
  <w:style w:type="character" w:customStyle="1" w:styleId="Ttulo2Car">
    <w:name w:val="Título 2 Car"/>
    <w:rPr>
      <w:rFonts w:ascii="Cambria" w:hAnsi="Cambria" w:cs="Cambria"/>
      <w:b/>
      <w:bCs/>
      <w:i/>
      <w:iCs/>
      <w:sz w:val="28"/>
      <w:szCs w:val="28"/>
      <w:lang w:val="hu-HU"/>
    </w:rPr>
  </w:style>
  <w:style w:type="character" w:customStyle="1" w:styleId="Ttulo3Car">
    <w:name w:val="Título 3 Car"/>
    <w:rPr>
      <w:rFonts w:ascii="Cambria" w:hAnsi="Cambria" w:cs="Cambria"/>
      <w:b/>
      <w:bCs/>
      <w:sz w:val="26"/>
      <w:szCs w:val="26"/>
      <w:lang w:val="hu-HU"/>
    </w:rPr>
  </w:style>
  <w:style w:type="character" w:customStyle="1" w:styleId="Ttulo4Car">
    <w:name w:val="Título 4 Car"/>
    <w:rPr>
      <w:rFonts w:ascii="Calibri" w:hAnsi="Calibri" w:cs="Calibri"/>
      <w:b/>
      <w:bCs/>
      <w:sz w:val="28"/>
      <w:szCs w:val="28"/>
      <w:lang w:val="hu-HU"/>
    </w:rPr>
  </w:style>
  <w:style w:type="character" w:customStyle="1" w:styleId="Ttulo5Car">
    <w:name w:val="Título 5 Car"/>
    <w:rPr>
      <w:rFonts w:ascii="Calibri" w:hAnsi="Calibri" w:cs="Calibri"/>
      <w:b/>
      <w:bCs/>
      <w:i/>
      <w:iCs/>
      <w:sz w:val="26"/>
      <w:szCs w:val="26"/>
      <w:lang w:val="hu-HU"/>
    </w:rPr>
  </w:style>
  <w:style w:type="character" w:customStyle="1" w:styleId="Ttulo6Car">
    <w:name w:val="Título 6 Car"/>
    <w:rPr>
      <w:rFonts w:ascii="Calibri" w:hAnsi="Calibri" w:cs="Calibri"/>
      <w:b/>
      <w:bCs/>
      <w:lang w:val="hu-HU"/>
    </w:rPr>
  </w:style>
  <w:style w:type="character" w:customStyle="1" w:styleId="Ttulo7Car">
    <w:name w:val="Título 7 Car"/>
    <w:rPr>
      <w:rFonts w:ascii="Calibri" w:hAnsi="Calibri" w:cs="Calibri"/>
      <w:sz w:val="24"/>
      <w:szCs w:val="24"/>
      <w:lang w:val="hu-HU"/>
    </w:rPr>
  </w:style>
  <w:style w:type="character" w:customStyle="1" w:styleId="Ttulo8Car">
    <w:name w:val="Título 8 Car"/>
    <w:rPr>
      <w:rFonts w:ascii="Calibri" w:hAnsi="Calibri" w:cs="Calibri"/>
      <w:i/>
      <w:iCs/>
      <w:sz w:val="24"/>
      <w:szCs w:val="24"/>
      <w:lang w:val="hu-HU"/>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hu-HU"/>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hu-HU"/>
    </w:rPr>
  </w:style>
  <w:style w:type="character" w:customStyle="1" w:styleId="AsuntodelcomentarioCar">
    <w:name w:val="Asunto del comentario Car"/>
    <w:rPr>
      <w:rFonts w:cs="Times New Roman"/>
      <w:b/>
      <w:bCs/>
      <w:sz w:val="20"/>
      <w:szCs w:val="20"/>
      <w:lang w:val="hu-HU"/>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hu-HU"/>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hu-HU" w:eastAsia="zh-CN"/>
    </w:rPr>
  </w:style>
  <w:style w:type="character" w:customStyle="1" w:styleId="CommentSubjectChar">
    <w:name w:val="Comment Subject Char"/>
    <w:rPr>
      <w:b/>
      <w:bCs/>
      <w:lang w:val="hu-HU" w:eastAsia="zh-CN"/>
    </w:rPr>
  </w:style>
  <w:style w:type="character" w:customStyle="1" w:styleId="BalloonTextChar">
    <w:name w:val="Balloon Text Char"/>
    <w:rPr>
      <w:rFonts w:ascii="Tahoma" w:hAnsi="Tahoma" w:cs="Tahoma"/>
      <w:sz w:val="16"/>
      <w:szCs w:val="16"/>
      <w:lang w:val="hu-HU"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8328</Words>
  <Characters>47473</Characters>
  <Application>Microsoft Office Word</Application>
  <DocSecurity>0</DocSecurity>
  <Lines>395</Lines>
  <Paragraphs>111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2022-06-21T09:51:00Z</dcterms:modified>
</cp:coreProperties>
</file>