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D204A9" w:rsidRDefault="007D6ACC" w:rsidP="007D6ACC">
      <w:pPr>
        <w:pStyle w:val="02BDGesBlatt"/>
        <w:rPr>
          <w:b w:val="0"/>
          <w:spacing w:val="0"/>
          <w:sz w:val="20"/>
        </w:rPr>
      </w:pPr>
      <w:r w:rsidRPr="00D204A9">
        <w:rPr>
          <w:rFonts w:ascii="Courier New" w:hAnsi="Courier New"/>
          <w:b w:val="0"/>
          <w:spacing w:val="0"/>
          <w:sz w:val="20"/>
        </w:rPr>
        <w:t>1. --</w:t>
      </w:r>
      <w:r w:rsidR="00D204A9">
        <w:rPr>
          <w:rFonts w:ascii="Courier New" w:hAnsi="Courier New"/>
          <w:b w:val="0"/>
          <w:spacing w:val="0"/>
          <w:sz w:val="20"/>
        </w:rPr>
        <w:t>-</w:t>
      </w:r>
      <w:bookmarkStart w:id="0" w:name="_GoBack"/>
      <w:bookmarkEnd w:id="0"/>
      <w:r w:rsidRPr="00D204A9">
        <w:rPr>
          <w:rFonts w:ascii="Courier New" w:hAnsi="Courier New"/>
          <w:b w:val="0"/>
          <w:spacing w:val="0"/>
          <w:sz w:val="20"/>
        </w:rPr>
        <w:t xml:space="preserve">---IND- 2020 0544 A-- PL- ------ </w:t>
      </w:r>
      <w:r w:rsidRPr="00D204A9">
        <w:rPr>
          <w:rFonts w:ascii="Segoe UI" w:hAnsi="Segoe UI"/>
          <w:b w:val="0"/>
          <w:spacing w:val="0"/>
          <w:sz w:val="20"/>
        </w:rPr>
        <w:t>20210120</w:t>
      </w:r>
      <w:r w:rsidRPr="00D204A9">
        <w:rPr>
          <w:rFonts w:ascii="Calibri" w:hAnsi="Calibri"/>
          <w:b w:val="0"/>
          <w:color w:val="auto"/>
          <w:spacing w:val="0"/>
          <w:sz w:val="20"/>
        </w:rPr>
        <w:t xml:space="preserve"> </w:t>
      </w:r>
      <w:r w:rsidRPr="00D204A9">
        <w:rPr>
          <w:rFonts w:ascii="Courier New" w:hAnsi="Courier New"/>
          <w:b w:val="0"/>
          <w:color w:val="auto"/>
          <w:spacing w:val="0"/>
          <w:sz w:val="20"/>
        </w:rPr>
        <w:t>--- --- FINAL</w:t>
      </w:r>
    </w:p>
    <w:p w:rsidR="00344954" w:rsidRPr="00380F5F" w:rsidRDefault="00344954" w:rsidP="00B230E9">
      <w:pPr>
        <w:pStyle w:val="02BDGesBlatt"/>
      </w:pPr>
      <w:r>
        <w:t>FEDERALNY DZIENNIK USTAW</w:t>
      </w:r>
    </w:p>
    <w:p w:rsidR="00344954" w:rsidRPr="00380F5F" w:rsidRDefault="00344954" w:rsidP="00B230E9">
      <w:pPr>
        <w:pStyle w:val="03RepOesterr"/>
      </w:pPr>
      <w:r>
        <w:t>REPUBLIKI AUSTRII</w:t>
      </w:r>
    </w:p>
    <w:p w:rsidR="00344954" w:rsidRPr="00380F5F" w:rsidRDefault="00344954" w:rsidP="00B230E9">
      <w:pPr>
        <w:pStyle w:val="04AusgabeDaten"/>
      </w:pPr>
      <w:r>
        <w:t>Rocznik 2020</w:t>
      </w:r>
      <w:r>
        <w:tab/>
        <w:t>wydanie z dnia 23 grudnia 2020 r.</w:t>
      </w:r>
      <w:r>
        <w:tab/>
        <w:t>część I</w:t>
      </w:r>
    </w:p>
    <w:p w:rsidR="00344954" w:rsidRPr="00380F5F" w:rsidRDefault="00344954" w:rsidP="00B230E9">
      <w:pPr>
        <w:pStyle w:val="05Kurztitel"/>
      </w:pPr>
      <w:r>
        <w:t>151. ustawa federalna:</w:t>
      </w:r>
      <w:r>
        <w:tab/>
        <w:t>Ustawa o platformach komunikacyjnych i zmiana ustawy o Austriackim Urzędzie Komunikacyjnym (Rada Narodowa: XXVII okres legislacyjny, projekt ustawy 463, sprawozdanie komisji 509 s. 69. Rada Związkowa: 10457, sprawozdanie komisji 10486 s. 917.)</w:t>
      </w:r>
    </w:p>
    <w:p w:rsidR="004C1883" w:rsidRPr="00380F5F" w:rsidRDefault="00344954" w:rsidP="00B230E9">
      <w:pPr>
        <w:pStyle w:val="11Titel"/>
      </w:pPr>
      <w:r>
        <w:t>151. ustawa federalna wprowadzająca ustawę o platformach komunikacyjnych i zmieniająca ustawę o Austriackim Urzędzie Komunikacyjnym</w:t>
      </w:r>
    </w:p>
    <w:p w:rsidR="004C1883" w:rsidRPr="00380F5F" w:rsidRDefault="004C1883" w:rsidP="00B230E9">
      <w:pPr>
        <w:pStyle w:val="12PromKlEinlSatz"/>
        <w:keepNext w:val="0"/>
      </w:pPr>
      <w:r>
        <w:t>Rada Narodowa Austrii uchwaliła, co następuje:</w:t>
      </w:r>
    </w:p>
    <w:p w:rsidR="004C1883" w:rsidRPr="00380F5F" w:rsidRDefault="004C1883" w:rsidP="00B230E9">
      <w:pPr>
        <w:pStyle w:val="41UeberschrG1"/>
        <w:keepLines/>
      </w:pPr>
      <w:r>
        <w:t>Artykuł 1</w:t>
      </w:r>
    </w:p>
    <w:p w:rsidR="004C1883" w:rsidRPr="00380F5F" w:rsidRDefault="004C1883" w:rsidP="00B230E9">
      <w:pPr>
        <w:pStyle w:val="43UeberschrG2"/>
        <w:keepLines/>
      </w:pPr>
      <w:r>
        <w:t>Ustawa federalna o środkach ochrony użytkowników na platformach komunikacyjnych (ustawa o platformach komunikacyjnych)</w:t>
      </w:r>
    </w:p>
    <w:p w:rsidR="004C1883" w:rsidRPr="00380F5F" w:rsidRDefault="004C1883" w:rsidP="00B230E9">
      <w:pPr>
        <w:pStyle w:val="42UeberschrG1-"/>
        <w:keepLines/>
      </w:pPr>
      <w:r>
        <w:t>Rozdział 1</w:t>
      </w:r>
    </w:p>
    <w:p w:rsidR="004C1883" w:rsidRPr="00380F5F" w:rsidRDefault="004C1883" w:rsidP="00B230E9">
      <w:pPr>
        <w:pStyle w:val="43UeberschrG2"/>
        <w:keepLines/>
      </w:pPr>
      <w:r>
        <w:t>Przepisy ogólne i definicje</w:t>
      </w:r>
    </w:p>
    <w:p w:rsidR="004C1883" w:rsidRPr="00380F5F" w:rsidRDefault="004C1883" w:rsidP="00B230E9">
      <w:pPr>
        <w:pStyle w:val="45UeberschrPara"/>
        <w:keepLines/>
      </w:pPr>
      <w:r>
        <w:t>Przedmiot i zakres stosowania</w:t>
      </w:r>
    </w:p>
    <w:p w:rsidR="004C1883" w:rsidRPr="00380F5F" w:rsidRDefault="004C1883" w:rsidP="00B230E9">
      <w:pPr>
        <w:pStyle w:val="51Abs"/>
      </w:pPr>
      <w:r>
        <w:rPr>
          <w:rStyle w:val="991GldSymbol"/>
        </w:rPr>
        <w:t>§ 1.</w:t>
      </w:r>
      <w:r>
        <w:t xml:space="preserve"> (1) Niniejsza ustawa federalna służy promowaniu odpowiedzialnego i przejrzystego postępowania z dokonywanymi przez użytkowników zgłoszeniami określonych poniżej treści na platformach komunikacyjnych i niezwłocznego rozpatrywania takich zgłoszeń.</w:t>
      </w:r>
    </w:p>
    <w:p w:rsidR="004C1883" w:rsidRPr="00380F5F" w:rsidRDefault="004C1883" w:rsidP="00B230E9">
      <w:pPr>
        <w:pStyle w:val="51Abs"/>
      </w:pPr>
      <w:r>
        <w:t>(2) Krajowi i zagraniczni dostawcy usług, którzy oferują platformy komunikacyjne (§ 2 pkt 4) z zamiarem osiągnięcia zysku, podlegają niniejszej ustawie federalnej, chyba że</w:t>
      </w:r>
    </w:p>
    <w:p w:rsidR="004C1883" w:rsidRPr="00380F5F" w:rsidRDefault="004C1883" w:rsidP="00B230E9">
      <w:pPr>
        <w:pStyle w:val="52Aufzaehle1Ziffer"/>
        <w:tabs>
          <w:tab w:val="clear" w:pos="624"/>
        </w:tabs>
        <w:ind w:hanging="230"/>
      </w:pPr>
      <w:r>
        <w:t>1.</w:t>
      </w:r>
      <w:r>
        <w:tab/>
        <w:t>liczba użytkowników uprawnionych dzięki rejestracji do dostępu do platformy komunikacyjnej była w Austrii w poprzednim roku kalendarzowym przeciętnie mniejsza niż 100 000 osób i</w:t>
      </w:r>
    </w:p>
    <w:p w:rsidR="004C1883" w:rsidRPr="00380F5F" w:rsidRDefault="004C1883" w:rsidP="00B230E9">
      <w:pPr>
        <w:pStyle w:val="52Aufzaehle1Ziffer"/>
        <w:tabs>
          <w:tab w:val="clear" w:pos="624"/>
        </w:tabs>
        <w:ind w:hanging="230"/>
      </w:pPr>
      <w:r>
        <w:t>2.</w:t>
      </w:r>
      <w:r>
        <w:tab/>
        <w:t>obroty uzyskane w poprzednim roku kalendarzowym w Austrii dzięki prowadzeniu platformy komunikacyjnej wynoszą mniej niż 500 000 euro.</w:t>
      </w:r>
    </w:p>
    <w:p w:rsidR="004C1883" w:rsidRPr="00380F5F" w:rsidRDefault="004C1883" w:rsidP="00B230E9">
      <w:pPr>
        <w:pStyle w:val="51Abs"/>
        <w:keepNext/>
        <w:keepLines/>
      </w:pPr>
      <w:r>
        <w:t>(3) Dostawcy platform komunikacyjnych,</w:t>
      </w:r>
    </w:p>
    <w:p w:rsidR="004C1883" w:rsidRPr="00380F5F" w:rsidRDefault="004C1883" w:rsidP="00B230E9">
      <w:pPr>
        <w:pStyle w:val="52Aufzaehle1Ziffer"/>
        <w:tabs>
          <w:tab w:val="clear" w:pos="624"/>
        </w:tabs>
        <w:ind w:hanging="230"/>
      </w:pPr>
      <w:r>
        <w:t>1.</w:t>
      </w:r>
      <w:r>
        <w:tab/>
        <w:t>które służą tylko do pośrednictwa w sprzedaży lub do sprzedaży towarów lub usług oraz do pośrednictwa w zakresie nieruchomości lub ofert pracy,</w:t>
      </w:r>
    </w:p>
    <w:p w:rsidR="004C1883" w:rsidRPr="00380F5F" w:rsidRDefault="004C1883" w:rsidP="00B230E9">
      <w:pPr>
        <w:pStyle w:val="52Aufzaehle1Ziffer"/>
        <w:keepNext/>
        <w:keepLines/>
        <w:tabs>
          <w:tab w:val="clear" w:pos="624"/>
        </w:tabs>
        <w:ind w:hanging="230"/>
      </w:pPr>
      <w:r>
        <w:t>2.</w:t>
      </w:r>
      <w:r>
        <w:tab/>
        <w:t>których głównym celem jest udostępnianie nienastawionych na zysk</w:t>
      </w:r>
    </w:p>
    <w:p w:rsidR="004C1883" w:rsidRPr="00380F5F" w:rsidRDefault="004C1883" w:rsidP="00B230E9">
      <w:pPr>
        <w:pStyle w:val="52Aufzaehle2Lit"/>
        <w:tabs>
          <w:tab w:val="clear" w:pos="851"/>
        </w:tabs>
        <w:ind w:hanging="223"/>
      </w:pPr>
      <w:r>
        <w:t>a)</w:t>
      </w:r>
      <w:r>
        <w:tab/>
        <w:t>encyklopedii internetowych lub</w:t>
      </w:r>
    </w:p>
    <w:p w:rsidR="004C1883" w:rsidRPr="00380F5F" w:rsidRDefault="004C1883" w:rsidP="00B230E9">
      <w:pPr>
        <w:pStyle w:val="52Aufzaehle2Lit"/>
        <w:tabs>
          <w:tab w:val="clear" w:pos="851"/>
        </w:tabs>
        <w:ind w:hanging="223"/>
      </w:pPr>
      <w:r>
        <w:t>b)</w:t>
      </w:r>
      <w:r>
        <w:tab/>
        <w:t>platform kształcenia i edukacyjnych służących do przekazywania wiedzy, lub</w:t>
      </w:r>
    </w:p>
    <w:p w:rsidR="004C1883" w:rsidRPr="00380F5F" w:rsidRDefault="004C1883" w:rsidP="00B230E9">
      <w:pPr>
        <w:pStyle w:val="52Aufzaehle1Ziffer"/>
        <w:tabs>
          <w:tab w:val="clear" w:pos="624"/>
        </w:tabs>
        <w:ind w:hanging="230"/>
      </w:pPr>
      <w:r>
        <w:t>3.</w:t>
      </w:r>
      <w:r>
        <w:tab/>
        <w:t>które są oferowane przez przedsiębiorstwa medialne (§ 1 ust. 1 pkt 6 ustawy medialnej, Federalny Dz.U. nr 314/1981) w bezpośrednim związku z ich ofertami treści dziennikarskich,</w:t>
      </w:r>
    </w:p>
    <w:p w:rsidR="004C1883" w:rsidRPr="00380F5F" w:rsidRDefault="004C1883" w:rsidP="00B230E9">
      <w:pPr>
        <w:pStyle w:val="58Schlussteile0Abs"/>
      </w:pPr>
      <w:r>
        <w:t>są w każdym przypadku wyłączeniu z obowiązków określonych w niniejszej ustawie federalnej.</w:t>
      </w:r>
    </w:p>
    <w:p w:rsidR="004C1883" w:rsidRPr="00380F5F" w:rsidRDefault="004C1883" w:rsidP="00B230E9">
      <w:pPr>
        <w:pStyle w:val="51Abs"/>
      </w:pPr>
      <w:r>
        <w:lastRenderedPageBreak/>
        <w:t>(4) Dostawcy platform udostępniania wideo (§ 2 pkt 12) są w odniesieniu do udostępnianych tam programów (§ 2 pkt 9) i plików wideo generowanych przez użytkowników (§ 2 pkt 7) wyłączeni z obowiązków określonych w niniejszej ustawie federalnej.</w:t>
      </w:r>
    </w:p>
    <w:p w:rsidR="004C1883" w:rsidRPr="00380F5F" w:rsidRDefault="004C1883" w:rsidP="00B230E9">
      <w:pPr>
        <w:pStyle w:val="51Abs"/>
      </w:pPr>
      <w:r>
        <w:t>(5) Na żądanie dostawcy usług urząd nadzoru ustali, czy ten wchodzi w zakres stosowania niniejszej ustawy federalnej.</w:t>
      </w:r>
    </w:p>
    <w:p w:rsidR="004C1883" w:rsidRPr="00380F5F" w:rsidRDefault="004C1883" w:rsidP="00B230E9">
      <w:pPr>
        <w:pStyle w:val="51Abs"/>
      </w:pPr>
      <w:r>
        <w:t>(6) Urząd nadzoru musi prowadzić i odpowiednio publikować wykaz dostawców usług objętych niniejszą ustawą federalną. Wykaz wymagający w każdym przypadku corocznej aktualizacji ma skutek deklaratywny. Jeżeli przy wypełnianiu swoich zadań urząd nadzoru dojdzie do wniosku, że dane zawarte w wykazie nie odpowiadają już faktom, dokona on odpowiedniego sprostowania.</w:t>
      </w:r>
    </w:p>
    <w:p w:rsidR="004C1883" w:rsidRPr="00380F5F" w:rsidRDefault="004C1883" w:rsidP="00B230E9">
      <w:pPr>
        <w:pStyle w:val="45UeberschrPara"/>
        <w:keepLines/>
      </w:pPr>
      <w:r>
        <w:t>Definicje</w:t>
      </w:r>
    </w:p>
    <w:p w:rsidR="004C1883" w:rsidRPr="00380F5F" w:rsidRDefault="004C1883" w:rsidP="00B230E9">
      <w:pPr>
        <w:pStyle w:val="51Abs"/>
        <w:keepNext/>
        <w:keepLines/>
      </w:pPr>
      <w:r>
        <w:rPr>
          <w:rStyle w:val="991GldSymbol"/>
        </w:rPr>
        <w:t>§ 2.</w:t>
      </w:r>
      <w:r>
        <w:t xml:space="preserve"> W rozumieniu niniejszej ustawy federalnej</w:t>
      </w:r>
    </w:p>
    <w:p w:rsidR="004C1883" w:rsidRPr="00380F5F" w:rsidRDefault="004C1883" w:rsidP="00B230E9">
      <w:pPr>
        <w:pStyle w:val="52Aufzaehle1Ziffer"/>
        <w:tabs>
          <w:tab w:val="clear" w:pos="624"/>
        </w:tabs>
        <w:ind w:hanging="230"/>
      </w:pPr>
      <w:r>
        <w:t>1.</w:t>
      </w:r>
      <w:r>
        <w:tab/>
        <w:t>stały zakład to stała placówka, przez którą całkowicie lub częściowo prowadzona jest działalność dostawcy usług;</w:t>
      </w:r>
    </w:p>
    <w:p w:rsidR="004C1883" w:rsidRPr="00380F5F" w:rsidRDefault="004C1883" w:rsidP="00B230E9">
      <w:pPr>
        <w:pStyle w:val="52Aufzaehle1Ziffer"/>
        <w:tabs>
          <w:tab w:val="clear" w:pos="624"/>
        </w:tabs>
        <w:ind w:hanging="230"/>
      </w:pPr>
      <w:r>
        <w:t>2.</w:t>
      </w:r>
      <w:r>
        <w:tab/>
        <w:t xml:space="preserve">usługa społeczeństwa informacyjnego to usługa świadczona z reguły odpłatnie drogą elektroniczną na indywidualne żądanie odbiorcy (§ 1 ust. 1 pkt 2 ustawy z 1999 r. o notyfikacji, Federalny Dz.U. I nr 183/1999), w szczególności internetowa sprzedaż towarów i usług, internetowe oferty informacyjne, reklama internetowa, wyszukiwarki internetowe i możliwości wyszukiwania danych w </w:t>
      </w:r>
      <w:proofErr w:type="spellStart"/>
      <w:r>
        <w:t>internecie</w:t>
      </w:r>
      <w:proofErr w:type="spellEnd"/>
      <w:r>
        <w:t xml:space="preserve"> oraz usługi udostępniania informacji o sieci elektronicznej, które zapewniają dostęp do niej lub przechowują informacje użytkownika (§ 3 pkt 1 ustawy o e-handlu, Federalny Dz.U. I nr 152/2001);</w:t>
      </w:r>
    </w:p>
    <w:p w:rsidR="004C1883" w:rsidRPr="00380F5F" w:rsidRDefault="004C1883" w:rsidP="00B230E9">
      <w:pPr>
        <w:pStyle w:val="52Aufzaehle1Ziffer"/>
        <w:tabs>
          <w:tab w:val="clear" w:pos="624"/>
        </w:tabs>
        <w:ind w:hanging="230"/>
      </w:pPr>
      <w:r>
        <w:t>3.</w:t>
      </w:r>
      <w:r>
        <w:tab/>
        <w:t>dostawca usług to osoba fizyczna lub prawna, która oferuje platformę komunikacyjną;</w:t>
      </w:r>
    </w:p>
    <w:p w:rsidR="004C1883" w:rsidRPr="00380F5F" w:rsidRDefault="004C1883" w:rsidP="00B230E9">
      <w:pPr>
        <w:pStyle w:val="52Aufzaehle1Ziffer"/>
        <w:tabs>
          <w:tab w:val="clear" w:pos="624"/>
        </w:tabs>
        <w:ind w:hanging="230"/>
      </w:pPr>
      <w:r>
        <w:t>4.</w:t>
      </w:r>
      <w:r>
        <w:tab/>
        <w:t>platforma komunikacyjna to usługa społeczeństwa informacyjnego, której główny cel lub istotna funkcja polega na tym, by w drodze masowego rozpowszechniania umożliwić wymianę wiadomości lub prezentacji o intelektualnej treści w formie słownej, pisemnej, dźwiękowej lub graficznej między użytkownikami i większą grupą innych użytkowników;</w:t>
      </w:r>
    </w:p>
    <w:p w:rsidR="004C1883" w:rsidRPr="00380F5F" w:rsidRDefault="004C1883" w:rsidP="00B230E9">
      <w:pPr>
        <w:pStyle w:val="52Aufzaehle1Ziffer"/>
        <w:tabs>
          <w:tab w:val="clear" w:pos="624"/>
        </w:tabs>
        <w:ind w:hanging="230"/>
      </w:pPr>
      <w:r>
        <w:t>5.</w:t>
      </w:r>
      <w:r>
        <w:tab/>
        <w:t>jednostka dominująca to przedsiębiorstwo kontrolujące jedną lub kilka jednostek zależnych w rozumieniu § 244 kodeksu spółek handlowych, Dz.U. Rzeszy Niemieckiej, s. 219/1897;</w:t>
      </w:r>
    </w:p>
    <w:p w:rsidR="004C1883" w:rsidRPr="00380F5F" w:rsidRDefault="004C1883" w:rsidP="00B230E9">
      <w:pPr>
        <w:pStyle w:val="52Aufzaehle1Ziffer"/>
        <w:tabs>
          <w:tab w:val="clear" w:pos="624"/>
        </w:tabs>
        <w:ind w:hanging="230"/>
      </w:pPr>
      <w:r>
        <w:t>6.</w:t>
      </w:r>
      <w:r>
        <w:tab/>
        <w:t>użytkownik to każda osoba korzystająca z platformy komunikacyjnej, niezależnie od tego, czy jest zarejestrowana na odnośnej platformie;</w:t>
      </w:r>
    </w:p>
    <w:p w:rsidR="004C1883" w:rsidRPr="00380F5F" w:rsidRDefault="004C1883" w:rsidP="00B230E9">
      <w:pPr>
        <w:pStyle w:val="52Aufzaehle1Ziffer"/>
        <w:tabs>
          <w:tab w:val="clear" w:pos="624"/>
        </w:tabs>
        <w:ind w:hanging="230"/>
      </w:pPr>
      <w:r>
        <w:t>7.</w:t>
      </w:r>
      <w:r>
        <w:tab/>
        <w:t>wideo generowane przez użytkownika to sekwencja ruchomych obrazów z dźwiękiem lub bez, która niezależnie od swojej długości stanowi pojedynczy element i jest tworzona przez użytkownika i wczytywana przez niego lub innego użytkownika na platformę udostępniania wideo;</w:t>
      </w:r>
    </w:p>
    <w:p w:rsidR="004C1883" w:rsidRPr="00380F5F" w:rsidRDefault="004C1883" w:rsidP="00B230E9">
      <w:pPr>
        <w:pStyle w:val="52Aufzaehle1Ziffer"/>
        <w:tabs>
          <w:tab w:val="clear" w:pos="624"/>
        </w:tabs>
        <w:ind w:hanging="230"/>
      </w:pPr>
      <w:r>
        <w:t>8.</w:t>
      </w:r>
      <w:r>
        <w:tab/>
        <w:t>treści niezgodne z prawem to treści, które obiektywnie wypełniają jedno ze znamion przestępstwa i nie są uzasadnione: zmuszanie (§ 105 kk, Federalny Dz.U. nr 60/1974), niebezpieczna groźba (§ 107 kk), uporczywe prześladowanie (§ 107a kk), notoryczne nękanie drogą telekomunikacyjną (§ 107c kk), zarzut już rozpatrzonego przez sąd czynu karalnego (§ 113 kk), zniewaga słowna (§ 115 kk), wykonywanie zdjęć bez upoważnienia (§ 120a kk), wymuszenie (§ 144 kk), ubliżanie doktrynom religijnym (§ 188 kk), treści pornograficzne z udziałem małoletnich (§ 207a kk), nagabywanie nieletnich dla celów seksualnych (§ 208a kk), uczestnictwo w organizacji terrorystycznej (§ 278b kk), nakłanianie do popełnienia przestępstwa o charakterze terrorystycznym (§ 278f kk), wzywanie do i pochwalanie przestępstw o charakterze terrorystycznym (§ 282a kk), nawoływanie do nienawiści (§ 283 kk), § 3d, § 3g lub § 3h ustawy zakazującej, Państwowy Dz.U. nr 13/1945;</w:t>
      </w:r>
    </w:p>
    <w:p w:rsidR="004C1883" w:rsidRPr="00380F5F" w:rsidRDefault="004C1883" w:rsidP="00B230E9">
      <w:pPr>
        <w:pStyle w:val="52Aufzaehle1Ziffer"/>
        <w:tabs>
          <w:tab w:val="clear" w:pos="624"/>
        </w:tabs>
        <w:ind w:hanging="230"/>
      </w:pPr>
      <w:r>
        <w:t>9.</w:t>
      </w:r>
      <w:r>
        <w:tab/>
        <w:t xml:space="preserve">program to pojedyncza, zamknięta w sobie część audiowizualnej usługi medialnej, która niezależnie od swojej długości składa się z sekwencji ruchomych obrazów z dźwiękiem lub bez i jest elementem katalogu lub planu programów utworzonego przez dostawcę usług medialnych; pojęcie to obejmuje w szczególności filmy fabularne, wideoklipy, relacje sportowe, </w:t>
      </w:r>
      <w:proofErr w:type="spellStart"/>
      <w:r>
        <w:t>sitcomy</w:t>
      </w:r>
      <w:proofErr w:type="spellEnd"/>
      <w:r>
        <w:t>, filmy dokumentalne, audycje informacyjne, kulturalne i o sztuce, audycje dla dzieci i produkcje oryginalne;</w:t>
      </w:r>
    </w:p>
    <w:p w:rsidR="004C1883" w:rsidRPr="00380F5F" w:rsidRDefault="004C1883" w:rsidP="00B230E9">
      <w:pPr>
        <w:pStyle w:val="52Aufzaehle1Ziffer"/>
        <w:tabs>
          <w:tab w:val="clear" w:pos="624"/>
        </w:tabs>
        <w:ind w:hanging="230"/>
      </w:pPr>
      <w:r>
        <w:t>10.</w:t>
      </w:r>
      <w:r>
        <w:tab/>
        <w:t>jednostka zależna to przedsiębiorstwo kontrolowane przez jednostkę dominującą w rozumieniu § 244 kodeksu spółek handlowych, Dz.U. Rzeszy Niemieckiej, s. 219/1897, w tym każda kontrolowana pośrednio jednostka zależna jednostki dominującej;</w:t>
      </w:r>
    </w:p>
    <w:p w:rsidR="004C1883" w:rsidRPr="00380F5F" w:rsidRDefault="004C1883" w:rsidP="00B230E9">
      <w:pPr>
        <w:pStyle w:val="52Aufzaehle1Ziffer"/>
        <w:tabs>
          <w:tab w:val="clear" w:pos="624"/>
        </w:tabs>
        <w:ind w:hanging="230"/>
      </w:pPr>
      <w:r>
        <w:t>11.</w:t>
      </w:r>
      <w:r>
        <w:tab/>
        <w:t>grupa przedsiębiorstw to jednostka dominująca dostawcy usług, wszystkie jej jednostki zależne i wszystkie inne przedsiębiorstwa powiązane z nimi ekonomicznie lub prawnie;</w:t>
      </w:r>
    </w:p>
    <w:p w:rsidR="004C1883" w:rsidRPr="00380F5F" w:rsidRDefault="004C1883" w:rsidP="00B230E9">
      <w:pPr>
        <w:pStyle w:val="52Aufzaehle1Ziffer"/>
        <w:tabs>
          <w:tab w:val="clear" w:pos="624"/>
        </w:tabs>
        <w:ind w:hanging="230"/>
      </w:pPr>
      <w:r>
        <w:t>12.</w:t>
      </w:r>
      <w:r>
        <w:tab/>
        <w:t xml:space="preserve">platforma udostępniania wideo to usługa w rozumieniu art. 56 i 57 Traktatu o funkcjonowaniu Unii Europejskiej, której główny cel, odrębna część lub istotna funkcja polega na udostępnianiu </w:t>
      </w:r>
      <w:r>
        <w:lastRenderedPageBreak/>
        <w:t>programów (pkt 9) i/lub plików wideo generowanych przez użytkowników (pkt 7), za które dostawca platformy nie ponosi odpowiedzialności redakcyjnej, ogółowi ludności za pośrednictwem sieci łączności elektronicznej w rozumieniu art. 2 pkt 1 dyrektywy (UE) 2018/1972 ustanawiającej Europejski kodeks łączności elektronicznej, Dz.U. L 321/36 z 17.12.2018, w celach informacyjnych, rozrywkowych lub edukacyjnych, i której organizacja – w tym automatyczne środki lub algorytmy, w szczególności poprzez wyświetlanie, oznaczanie i uporządkowywanie – jest określana przez dostawcę platformy.</w:t>
      </w:r>
    </w:p>
    <w:p w:rsidR="004C1883" w:rsidRPr="00380F5F" w:rsidRDefault="004C1883" w:rsidP="00B230E9">
      <w:pPr>
        <w:pStyle w:val="41UeberschrG1"/>
        <w:keepLines/>
      </w:pPr>
      <w:r>
        <w:t>Rozdział 2</w:t>
      </w:r>
    </w:p>
    <w:p w:rsidR="004C1883" w:rsidRPr="00380F5F" w:rsidRDefault="004C1883" w:rsidP="00B230E9">
      <w:pPr>
        <w:pStyle w:val="43UeberschrG2"/>
        <w:keepLines/>
      </w:pPr>
      <w:r>
        <w:t>Wymogi względem platform komunikacyjnych</w:t>
      </w:r>
    </w:p>
    <w:p w:rsidR="004C1883" w:rsidRPr="00380F5F" w:rsidRDefault="004C1883" w:rsidP="00B230E9">
      <w:pPr>
        <w:pStyle w:val="45UeberschrPara"/>
        <w:keepLines/>
      </w:pPr>
      <w:r>
        <w:t>Procedura zgłoszeniowa i weryfikacyjna</w:t>
      </w:r>
    </w:p>
    <w:p w:rsidR="004C1883" w:rsidRPr="00380F5F" w:rsidRDefault="004C1883" w:rsidP="00B230E9">
      <w:pPr>
        <w:pStyle w:val="51Abs"/>
      </w:pPr>
      <w:r>
        <w:rPr>
          <w:rStyle w:val="991GldSymbol"/>
        </w:rPr>
        <w:t>§ 3.</w:t>
      </w:r>
      <w:r>
        <w:t xml:space="preserve"> (1) Dostawcy usług muszą ustanowić skuteczną i przejrzystą procedurę postępowania ze zgłoszeniami dostępnych na platformie komunikacyjnej treści, którym zarzucana jest niezgodność z prawem, i rozpatrywania tych zgłoszeń.</w:t>
      </w:r>
    </w:p>
    <w:p w:rsidR="004C1883" w:rsidRPr="00380F5F" w:rsidRDefault="004C1883" w:rsidP="00B230E9">
      <w:pPr>
        <w:pStyle w:val="51Abs"/>
      </w:pPr>
      <w:r>
        <w:t>(2) Tego rodzaju procedura musi wyglądać tak, by użytkownicy za pomocą łatwych do znalezienia, stale dostępnych i prostych w użyciu funkcji na platformie komunikacyjnej</w:t>
      </w:r>
    </w:p>
    <w:p w:rsidR="004C1883" w:rsidRPr="00380F5F" w:rsidRDefault="004C1883" w:rsidP="00B230E9">
      <w:pPr>
        <w:pStyle w:val="52Aufzaehle1Ziffer"/>
        <w:tabs>
          <w:tab w:val="clear" w:pos="624"/>
        </w:tabs>
        <w:ind w:hanging="230"/>
      </w:pPr>
      <w:r>
        <w:t>1.</w:t>
      </w:r>
      <w:r>
        <w:tab/>
        <w:t>mogli zgłaszać dostawcy usług treści wraz z informacjami potrzebnymi do dokonania oceny,</w:t>
      </w:r>
    </w:p>
    <w:p w:rsidR="004C1883" w:rsidRPr="00380F5F" w:rsidRDefault="004C1883" w:rsidP="00B230E9">
      <w:pPr>
        <w:pStyle w:val="52Aufzaehle1Ziffer"/>
        <w:tabs>
          <w:tab w:val="clear" w:pos="624"/>
        </w:tabs>
        <w:ind w:hanging="230"/>
      </w:pPr>
      <w:r>
        <w:t>2.</w:t>
      </w:r>
      <w:r>
        <w:tab/>
        <w:t>otrzymywali oświadczenie o sposobie postępowania z ich zgłoszeniem i wyniku odnośnej procedury oraz</w:t>
      </w:r>
    </w:p>
    <w:p w:rsidR="004C1883" w:rsidRPr="00380F5F" w:rsidRDefault="004C1883" w:rsidP="00B230E9">
      <w:pPr>
        <w:pStyle w:val="52Aufzaehle1Ziffer"/>
        <w:tabs>
          <w:tab w:val="clear" w:pos="624"/>
        </w:tabs>
        <w:ind w:hanging="230"/>
      </w:pPr>
      <w:r>
        <w:t>3.</w:t>
      </w:r>
      <w:r>
        <w:tab/>
        <w:t>byli niezwłocznie powiadamiani o istotnych powodach decyzji dotyczącej rozpatrzenia odnośnego zgłoszenia łącznie z ewentualną datą i godziną usunięcia lub zablokowania treści oraz informowani o możliwości złożenia wniosku o przeprowadzenie procedury weryfikacyjnej (ust. 4) i udziału w procedurze rozpatrywania skarg (§ 7), przy czym informacje te musi otrzymać również użytkownik, w imieniu którego odnośne treści zostały zapisane na platformie komunikacyjnej.</w:t>
      </w:r>
    </w:p>
    <w:p w:rsidR="004C1883" w:rsidRPr="00380F5F" w:rsidRDefault="004C1883" w:rsidP="00B230E9">
      <w:pPr>
        <w:pStyle w:val="51Abs"/>
        <w:keepNext/>
        <w:keepLines/>
      </w:pPr>
      <w:r>
        <w:t>(3) Dodatkowo przez ukształtowanie wewnętrznej organizacji procedury zgłoszeniowej dostawcy usług</w:t>
      </w:r>
    </w:p>
    <w:p w:rsidR="004C1883" w:rsidRPr="00380F5F" w:rsidRDefault="004C1883" w:rsidP="00B230E9">
      <w:pPr>
        <w:pStyle w:val="52Aufzaehle1Ziffer"/>
        <w:keepNext/>
        <w:keepLines/>
        <w:tabs>
          <w:tab w:val="clear" w:pos="624"/>
        </w:tabs>
        <w:ind w:hanging="230"/>
      </w:pPr>
      <w:r>
        <w:t>1.</w:t>
      </w:r>
      <w:r>
        <w:tab/>
        <w:t>zadbają o to, by zgłoszone treści,</w:t>
      </w:r>
    </w:p>
    <w:p w:rsidR="004C1883" w:rsidRPr="00380F5F" w:rsidRDefault="004C1883" w:rsidP="00B230E9">
      <w:pPr>
        <w:pStyle w:val="52Aufzaehle2Lit"/>
        <w:tabs>
          <w:tab w:val="clear" w:pos="851"/>
        </w:tabs>
        <w:ind w:hanging="223"/>
      </w:pPr>
      <w:r>
        <w:t>a)</w:t>
      </w:r>
      <w:r>
        <w:tab/>
        <w:t>o ile ich niezgodność z prawem jest oczywista bez dalszych ustaleń nawet dla laika w dziedzinie prawa, zostały niezwłocznie, najpóźniej jednak w ciągu 24 godzin od wpłynięcia zgłoszenia, usunięte lub dostęp do nich został zablokowany;</w:t>
      </w:r>
    </w:p>
    <w:p w:rsidR="004C1883" w:rsidRPr="00380F5F" w:rsidRDefault="004C1883" w:rsidP="00B230E9">
      <w:pPr>
        <w:pStyle w:val="52Aufzaehle2Lit"/>
        <w:tabs>
          <w:tab w:val="clear" w:pos="851"/>
        </w:tabs>
        <w:ind w:hanging="223"/>
      </w:pPr>
      <w:r>
        <w:t>b)</w:t>
      </w:r>
      <w:r>
        <w:tab/>
        <w:t>o ile ich niezgodność z prawem wychodzi na jaw dopiero po szczegółowej kontroli, zostały niezwłocznie po zakończeniu tej kontroli, najpóźniej jednak w ciągu siedmiu dni licząc od momentu wpłynięcia zgłoszenia, usunięte lub dostęp do nich został zablokowany;</w:t>
      </w:r>
    </w:p>
    <w:p w:rsidR="004C1883" w:rsidRPr="00380F5F" w:rsidRDefault="004C1883" w:rsidP="00B230E9">
      <w:pPr>
        <w:pStyle w:val="52Aufzaehle1Ziffer"/>
        <w:tabs>
          <w:tab w:val="clear" w:pos="624"/>
        </w:tabs>
        <w:ind w:hanging="230"/>
      </w:pPr>
      <w:r>
        <w:t>2.</w:t>
      </w:r>
      <w:r>
        <w:tab/>
        <w:t>zabezpieczą do celów dowodowych, w tym do celów ścigania karnego, zablokowane lub skasowane treści, datę i godzinę ich zamieszczenia oraz dostępne już u dostawcy usług dane potrzebne do identyfikacji użytkownika, w imieniu którego odnośne treści zostały zapisane na platformie komunikacyjnej, oraz przechowają je przez okres maksymalnie dziesięciu tygodni; termin ten może zostać w pojedynczym przypadku przekroczony w razie wyraźnego wniosku organu ścigania karnego, jeżeli w innym razie zabezpieczenie dowodów zostałoby uniemożliwione; dane muszą zostać skasowane, jeżeli nie istnieje już cel leżący u podstawy ich przetwarzania.</w:t>
      </w:r>
    </w:p>
    <w:p w:rsidR="004C1883" w:rsidRPr="00380F5F" w:rsidRDefault="004C1883" w:rsidP="00B230E9">
      <w:pPr>
        <w:pStyle w:val="51Abs"/>
      </w:pPr>
      <w:r>
        <w:t>(4) Dostawcy usług muszą ponadto zadbać o to, by ustanowiona została skuteczna i przejrzysta procedura weryfikacji ich decyzji o zablokowaniu lub skasowaniu zgłoszonych treści (ust. 3 pkt 1). Weryfikacja powinna się odbyć, jeżeli</w:t>
      </w:r>
    </w:p>
    <w:p w:rsidR="004C1883" w:rsidRPr="00380F5F" w:rsidRDefault="004C1883" w:rsidP="00B230E9">
      <w:pPr>
        <w:pStyle w:val="52Aufzaehle1Ziffer"/>
        <w:tabs>
          <w:tab w:val="clear" w:pos="624"/>
        </w:tabs>
        <w:ind w:hanging="230"/>
      </w:pPr>
      <w:r>
        <w:t>1.</w:t>
      </w:r>
      <w:r>
        <w:tab/>
        <w:t>w przypadku niedokonania zablokowania lub skasowania treści użytkownik, który dokonał zgłoszenia, w ciągu dwóch tygodni od wpłynięcia decyzji złoży wniosek o weryfikację tej decyzji (ust. 3 pkt 2);</w:t>
      </w:r>
    </w:p>
    <w:p w:rsidR="004C1883" w:rsidRPr="00380F5F" w:rsidRDefault="004C1883" w:rsidP="00B230E9">
      <w:pPr>
        <w:pStyle w:val="52Aufzaehle1Ziffer"/>
        <w:tabs>
          <w:tab w:val="clear" w:pos="624"/>
        </w:tabs>
        <w:ind w:hanging="230"/>
      </w:pPr>
      <w:r>
        <w:t>2.</w:t>
      </w:r>
      <w:r>
        <w:tab/>
        <w:t>w przypadku zablokowania lub skasowania treści użytkownik, w imieniu którego te treści zostały zapisane na platformie komunikacyjnej, w ciągu dwóch tygodni od wpłynięcia decyzji złoży wniosek o weryfikację tej decyzji (ust. 3 pkt 2).</w:t>
      </w:r>
    </w:p>
    <w:p w:rsidR="004C1883" w:rsidRPr="00380F5F" w:rsidRDefault="004C1883" w:rsidP="00B230E9">
      <w:pPr>
        <w:pStyle w:val="58Schlussteile0Abs"/>
      </w:pPr>
      <w:r>
        <w:t>Użytkownicy określeni w pkt 1 i 2 zostaną niezwłocznie poinformowani przez dostawcę usług o wyniku weryfikacji. Procedura weryfikacyjna musi zostać zakończona w ciągu dwóch tygodni od złożenia wniosku.</w:t>
      </w:r>
    </w:p>
    <w:p w:rsidR="004C1883" w:rsidRPr="00380F5F" w:rsidRDefault="004C1883" w:rsidP="00B230E9">
      <w:pPr>
        <w:pStyle w:val="51Abs"/>
      </w:pPr>
      <w:r>
        <w:t>(5) Dane osobowe osoby dokonującej zgłoszenia mogą być udostępnianie wyłącznie jej.</w:t>
      </w:r>
    </w:p>
    <w:p w:rsidR="004C1883" w:rsidRPr="00380F5F" w:rsidRDefault="004C1883" w:rsidP="00B230E9">
      <w:pPr>
        <w:pStyle w:val="51Abs"/>
      </w:pPr>
      <w:r>
        <w:lastRenderedPageBreak/>
        <w:t>(6) Dostawca usług nie jest zobowiązany do przeprowadzenia procedury zgłoszeniowej lub weryfikacyjnej, jeżeli w szczególności na podstawie rodzaju lub częstości otrzymanych zgłoszeń może założyć z prawdopodobieństwem graniczącym z pewnością, że zgłoszenia te zostały dokonane w zautomatyzowany lub inny niewłaściwy sposób.</w:t>
      </w:r>
    </w:p>
    <w:p w:rsidR="004C1883" w:rsidRPr="00380F5F" w:rsidRDefault="004C1883" w:rsidP="00B230E9">
      <w:pPr>
        <w:pStyle w:val="51Abs"/>
      </w:pPr>
      <w:r>
        <w:t>(7) Urząd nadzoru może wydać w drodze rozporządzenia szczegółowe przepisy dotyczące formy procesu zgłaszania, w szczególności w odniesieniu do minimalnych standardów używanych przy tym formularzy zgłoszeniowych.</w:t>
      </w:r>
    </w:p>
    <w:p w:rsidR="004C1883" w:rsidRPr="00380F5F" w:rsidRDefault="004C1883" w:rsidP="00B230E9">
      <w:pPr>
        <w:pStyle w:val="45UeberschrPara"/>
        <w:keepLines/>
      </w:pPr>
      <w:r>
        <w:t>Obowiązek sprawozdawczy</w:t>
      </w:r>
    </w:p>
    <w:p w:rsidR="004C1883" w:rsidRPr="00380F5F" w:rsidRDefault="004C1883" w:rsidP="00B230E9">
      <w:pPr>
        <w:pStyle w:val="51Abs"/>
      </w:pPr>
      <w:r>
        <w:rPr>
          <w:rStyle w:val="991GldSymbol"/>
        </w:rPr>
        <w:t>§ 4.</w:t>
      </w:r>
      <w:r>
        <w:t xml:space="preserve"> (1) Dostawcy usług są zobowiązani, by co roku, a w przypadku platform komunikacyjnych z więcej niż milionem zarejestrowanych użytkowników co pół roku, sporządzić sprawozdanie na temat postępowania z treściami, którym zarzucana jest niezgodność z prawem. Sprawozdanie należy przekazać urzędowi nadzoru najpóźniej po miesiącu od zakończenia okresu ujętego w sprawozdaniu i jednocześnie udostępnić na własnej stronie internetowej w sposób trwały i łatwy do znalezienia.</w:t>
      </w:r>
    </w:p>
    <w:p w:rsidR="004C1883" w:rsidRPr="00380F5F" w:rsidRDefault="004C1883" w:rsidP="00B230E9">
      <w:pPr>
        <w:pStyle w:val="51Abs"/>
        <w:keepNext/>
        <w:keepLines/>
      </w:pPr>
      <w:r>
        <w:t>(2) Sprawozdanie musi w każdym przypadku zawierać następujące punkty:</w:t>
      </w:r>
    </w:p>
    <w:p w:rsidR="004C1883" w:rsidRPr="00380F5F" w:rsidRDefault="004C1883" w:rsidP="00B230E9">
      <w:pPr>
        <w:pStyle w:val="52Aufzaehle1Ziffer"/>
        <w:tabs>
          <w:tab w:val="clear" w:pos="624"/>
        </w:tabs>
        <w:ind w:hanging="230"/>
      </w:pPr>
      <w:r>
        <w:t>1.</w:t>
      </w:r>
      <w:r>
        <w:tab/>
        <w:t>ogólne wyjaśnienia, jakie wysiłki podejmuje dostawca usług, aby powstrzymać zamieszczanie na platformie treści niezgodnych z prawem;</w:t>
      </w:r>
    </w:p>
    <w:p w:rsidR="004C1883" w:rsidRPr="00380F5F" w:rsidRDefault="004C1883" w:rsidP="00B230E9">
      <w:pPr>
        <w:pStyle w:val="52Aufzaehle1Ziffer"/>
        <w:tabs>
          <w:tab w:val="clear" w:pos="624"/>
        </w:tabs>
        <w:ind w:hanging="230"/>
      </w:pPr>
      <w:r>
        <w:t>2.</w:t>
      </w:r>
      <w:r>
        <w:tab/>
        <w:t>przedstawienie formy i przyjazności dla użytkownika procedury zgłoszeniowej (§ 3 ust. 1–3) oraz kryteriów podjęcia decyzji o skasowaniu lub zablokowaniu treści niezgodnych z prawem wraz z przeprowadzonymi przy tym etapami kontroli, czy występują treści niezgodne z prawem lub czy naruszone zostały regulacje umowy między dostawcą usług i użytkownikiem;</w:t>
      </w:r>
    </w:p>
    <w:p w:rsidR="004C1883" w:rsidRPr="00380F5F" w:rsidRDefault="004C1883" w:rsidP="00B230E9">
      <w:pPr>
        <w:pStyle w:val="52Aufzaehle1Ziffer"/>
        <w:tabs>
          <w:tab w:val="clear" w:pos="624"/>
        </w:tabs>
        <w:ind w:hanging="230"/>
      </w:pPr>
      <w:r>
        <w:t>3.</w:t>
      </w:r>
      <w:r>
        <w:tab/>
        <w:t>przedstawienie liczby otrzymanych w okresie sprawozdawczym zgłoszeń treści, którym zarzucana jest niezgodność z prawem;</w:t>
      </w:r>
    </w:p>
    <w:p w:rsidR="004C1883" w:rsidRPr="00380F5F" w:rsidRDefault="004C1883" w:rsidP="00B230E9">
      <w:pPr>
        <w:pStyle w:val="52Aufzaehle1Ziffer"/>
        <w:tabs>
          <w:tab w:val="clear" w:pos="624"/>
        </w:tabs>
        <w:ind w:hanging="230"/>
      </w:pPr>
      <w:r>
        <w:t>4.</w:t>
      </w:r>
      <w:r>
        <w:tab/>
        <w:t>zestawienie liczby zgłoszeń treści wskazanych przez użytkowników jako niezgodne z prawem, które doprowadziły w okresie sprawozdawczym do skasowania lub zablokowania kwestionowanych treści, łącznie z informacją o tym, jaki etap kontroli (pkt 2) doprowadził do skasowania lub zablokowania treści, oraz zbiorczy opis rodzaju treści;</w:t>
      </w:r>
    </w:p>
    <w:p w:rsidR="004C1883" w:rsidRPr="00380F5F" w:rsidRDefault="004C1883" w:rsidP="00B230E9">
      <w:pPr>
        <w:pStyle w:val="52Aufzaehle1Ziffer"/>
        <w:tabs>
          <w:tab w:val="clear" w:pos="624"/>
        </w:tabs>
        <w:ind w:hanging="230"/>
      </w:pPr>
      <w:r>
        <w:t>5.</w:t>
      </w:r>
      <w:r>
        <w:tab/>
        <w:t>zestawienie liczby, treści i wyników procedur weryfikacyjnych (§ 3 ust. 4);</w:t>
      </w:r>
    </w:p>
    <w:p w:rsidR="004C1883" w:rsidRPr="00380F5F" w:rsidRDefault="004C1883" w:rsidP="00B230E9">
      <w:pPr>
        <w:pStyle w:val="52Aufzaehle1Ziffer"/>
        <w:tabs>
          <w:tab w:val="clear" w:pos="624"/>
        </w:tabs>
        <w:ind w:hanging="230"/>
      </w:pPr>
      <w:r>
        <w:t>6.</w:t>
      </w:r>
      <w:r>
        <w:tab/>
        <w:t>przedstawienie organizacji, zasobów osobowych, wyposażenia technicznego i kompetencji zawodowych personelu odpowiedzialnego za rozpatrzenie zgłoszeń oraz za procedury weryfikacyjne, a także wykształcenia, wyszkolenia i wsparcia osób odpowiedzialnych za rozpatrzenie zgłoszeń i weryfikacje;</w:t>
      </w:r>
    </w:p>
    <w:p w:rsidR="004C1883" w:rsidRPr="00380F5F" w:rsidRDefault="004C1883" w:rsidP="00B230E9">
      <w:pPr>
        <w:pStyle w:val="52Aufzaehle1Ziffer"/>
        <w:tabs>
          <w:tab w:val="clear" w:pos="624"/>
        </w:tabs>
        <w:ind w:hanging="230"/>
      </w:pPr>
      <w:r>
        <w:t>7.</w:t>
      </w:r>
      <w:r>
        <w:tab/>
        <w:t>zestawienie okresów między wpłynięciem zgłoszenia do dostawcy usług, rozpoczęciem weryfikacji i skasowaniem lub zablokowaniem treści niezgodnych z prawem, z podziałem na okresy „w ciągu 24 godzin”, „w ciągu 72 godzin”, „w ciągu siedmiu dni” i „w późniejszym czasie”;</w:t>
      </w:r>
    </w:p>
    <w:p w:rsidR="004C1883" w:rsidRPr="00380F5F" w:rsidRDefault="004C1883" w:rsidP="00B230E9">
      <w:pPr>
        <w:pStyle w:val="52Aufzaehle1Ziffer"/>
        <w:tabs>
          <w:tab w:val="clear" w:pos="624"/>
        </w:tabs>
        <w:ind w:hanging="230"/>
      </w:pPr>
      <w:r>
        <w:t>8.</w:t>
      </w:r>
      <w:r>
        <w:tab/>
        <w:t>zestawienie liczby i rodzajów przypadków, w których dostawca usług odstąpił od przeprowadzenia procedury zgłoszeniowej i weryfikacyjnej (§ 3 ust. 7).</w:t>
      </w:r>
    </w:p>
    <w:p w:rsidR="004C1883" w:rsidRPr="00380F5F" w:rsidRDefault="004C1883" w:rsidP="00B230E9">
      <w:pPr>
        <w:pStyle w:val="51Abs"/>
      </w:pPr>
      <w:r>
        <w:t>(3) Urząd nadzoru wyda w drodze rozporządzenia szczegółowe przepisy dotyczące formy sprawozdań i zakresu obowiązku sprawozdawczego, aby zapewnić wymowność i porównywalność sprawozdań.</w:t>
      </w:r>
    </w:p>
    <w:p w:rsidR="004C1883" w:rsidRPr="00380F5F" w:rsidRDefault="004C1883" w:rsidP="00B230E9">
      <w:pPr>
        <w:pStyle w:val="45UeberschrPara"/>
        <w:keepLines/>
      </w:pPr>
      <w:r>
        <w:t>Odpowiedzialny pełnomocnik i osoba upoważniona do przyjmowania doręczeń</w:t>
      </w:r>
    </w:p>
    <w:p w:rsidR="004C1883" w:rsidRPr="00380F5F" w:rsidRDefault="004C1883" w:rsidP="00B230E9">
      <w:pPr>
        <w:pStyle w:val="51Abs"/>
        <w:keepNext/>
        <w:keepLines/>
      </w:pPr>
      <w:r>
        <w:rPr>
          <w:rStyle w:val="991GldSymbol"/>
        </w:rPr>
        <w:t>§ 5.</w:t>
      </w:r>
      <w:r>
        <w:t xml:space="preserve"> (1) Dostawcy usług wyznaczą osobę, która spełnia warunki określone w § 9 ust. 4 ustawy z 1991 r. o karach administracyjnych, Federalny Dz.U. nr 52/1991. Osoba ta musi</w:t>
      </w:r>
    </w:p>
    <w:p w:rsidR="004C1883" w:rsidRPr="00380F5F" w:rsidRDefault="004C1883" w:rsidP="00B230E9">
      <w:pPr>
        <w:pStyle w:val="52Aufzaehle1Ziffer"/>
        <w:tabs>
          <w:tab w:val="clear" w:pos="624"/>
        </w:tabs>
        <w:ind w:hanging="230"/>
      </w:pPr>
      <w:r>
        <w:t>1.</w:t>
      </w:r>
      <w:r>
        <w:tab/>
        <w:t>zagwarantować przestrzeganie przepisów niniejszej ustawy federalnej,</w:t>
      </w:r>
    </w:p>
    <w:p w:rsidR="004C1883" w:rsidRPr="00380F5F" w:rsidRDefault="004C1883" w:rsidP="00B230E9">
      <w:pPr>
        <w:pStyle w:val="52Aufzaehle1Ziffer"/>
        <w:tabs>
          <w:tab w:val="clear" w:pos="624"/>
        </w:tabs>
        <w:ind w:hanging="230"/>
      </w:pPr>
      <w:r>
        <w:t>2.</w:t>
      </w:r>
      <w:r>
        <w:tab/>
        <w:t>posiadać upoważnienie do wydawania poleceń wymagane do przestrzegania przepisów niniejszej ustawy federalnej,</w:t>
      </w:r>
    </w:p>
    <w:p w:rsidR="004C1883" w:rsidRPr="00380F5F" w:rsidRDefault="004C1883" w:rsidP="00B230E9">
      <w:pPr>
        <w:pStyle w:val="52Aufzaehle1Ziffer"/>
        <w:tabs>
          <w:tab w:val="clear" w:pos="624"/>
        </w:tabs>
        <w:ind w:hanging="230"/>
      </w:pPr>
      <w:r>
        <w:t>3.</w:t>
      </w:r>
      <w:r>
        <w:tab/>
        <w:t>posiadać znajomość języka niemieckiego potrzebną do współpracy z urzędami i sądami, oraz</w:t>
      </w:r>
    </w:p>
    <w:p w:rsidR="004C1883" w:rsidRPr="00380F5F" w:rsidRDefault="004C1883" w:rsidP="00B230E9">
      <w:pPr>
        <w:pStyle w:val="52Aufzaehle1Ziffer"/>
        <w:tabs>
          <w:tab w:val="clear" w:pos="624"/>
        </w:tabs>
        <w:ind w:hanging="230"/>
      </w:pPr>
      <w:r>
        <w:t>4.</w:t>
      </w:r>
      <w:r>
        <w:tab/>
        <w:t>posiadać zasoby potrzebne do wykonywania jej zadań.</w:t>
      </w:r>
    </w:p>
    <w:p w:rsidR="004C1883" w:rsidRPr="00380F5F" w:rsidRDefault="004C1883" w:rsidP="00B230E9">
      <w:pPr>
        <w:pStyle w:val="51Abs"/>
      </w:pPr>
      <w:r>
        <w:t>(2) Dane kontaktowe odpowiedzialnego pełnomocnika muszą być stale łatwo i bezpośrednio dostępne. Odpowiedzialny pełnomocnik zapewni swoją dostępność dla urzędu nadzoru.</w:t>
      </w:r>
    </w:p>
    <w:p w:rsidR="004C1883" w:rsidRPr="00380F5F" w:rsidRDefault="004C1883" w:rsidP="00B230E9">
      <w:pPr>
        <w:pStyle w:val="51Abs"/>
      </w:pPr>
      <w:r>
        <w:t>(3) Odpowiedzialny pełnomocnik zarejestruje się do przyjmowania doręczeń od służby doręczeniowej w rozumieniu §§ 28b i 35 ustawy o doręczeniach dokumentów urzędowych, Federalny Dz.U. nr 200/1982, i przy rejestracji powiadomi, że nie ma okresów, w których doręczenie ma być wykluczone.</w:t>
      </w:r>
    </w:p>
    <w:p w:rsidR="004C1883" w:rsidRPr="00380F5F" w:rsidRDefault="004C1883" w:rsidP="00B230E9">
      <w:pPr>
        <w:pStyle w:val="51Abs"/>
      </w:pPr>
      <w:r>
        <w:t>(4) Dostawca usług upoważni osobę fizyczną lub prawną do przyjmowania doręczeń urzędowych i sądowych. Zastosowanie znajduje ust. 1 pkt 3, ust. 2 zdanie pierwsze i ust. 3.</w:t>
      </w:r>
    </w:p>
    <w:p w:rsidR="004C1883" w:rsidRPr="00380F5F" w:rsidRDefault="004C1883" w:rsidP="00B230E9">
      <w:pPr>
        <w:pStyle w:val="51Abs"/>
      </w:pPr>
      <w:r>
        <w:lastRenderedPageBreak/>
        <w:t>(5) Urząd nadzoru musi zostać niezwłocznie poinformowany o osobie odpowiedzialnego pełnomocnika i osobie upoważnionej do przyjmowania doręczeń.</w:t>
      </w:r>
    </w:p>
    <w:p w:rsidR="004C1883" w:rsidRPr="00380F5F" w:rsidRDefault="004C1883" w:rsidP="00B230E9">
      <w:pPr>
        <w:pStyle w:val="45UeberschrPara"/>
        <w:keepLines/>
      </w:pPr>
      <w:r>
        <w:t>Egzekwowanie</w:t>
      </w:r>
    </w:p>
    <w:p w:rsidR="004C1883" w:rsidRPr="00380F5F" w:rsidRDefault="004C1883" w:rsidP="00B230E9">
      <w:pPr>
        <w:pStyle w:val="51Abs"/>
      </w:pPr>
      <w:r>
        <w:rPr>
          <w:rStyle w:val="991GldSymbol"/>
        </w:rPr>
        <w:t>§ 6.</w:t>
      </w:r>
      <w:r>
        <w:t xml:space="preserve"> (1) Jeżeli dostawca usług nie spełni z własnej inicjatywy swojego obowiązku wyznaczenia odpowiedzialnego pełnomocnika lub osoby upoważnionej do przyjmowania doręczeń, urząd wezwie go do tego pisemnie w terminie siedmiu dni. O ile dostawca usług nie posiada siedziby, oddziału ani innego stałego zakładu w kraju i okazuje się, że mające skutek prawny doręczenie tego wezwania za granicę nie jest wykonalne w ogóle lub w stosownym czasie, wezwanie zostanie podane do wiadomości przez publikację na stronie internetowej urzędu nadzoru. Wezwanie uważa się za doręczone dostawcy usług wraz z momentem publikacji. Publikacja musi zawierać również informację, że dalsze zarządzenia urzędu uważa się za doręczone wraz ze złożeniem w urzędzie i udostępnieniem do odbioru.</w:t>
      </w:r>
    </w:p>
    <w:p w:rsidR="004C1883" w:rsidRPr="00380F5F" w:rsidRDefault="004C1883" w:rsidP="00B230E9">
      <w:pPr>
        <w:pStyle w:val="51Abs"/>
      </w:pPr>
      <w:r>
        <w:t>(2) Jeżeli dostawca usług nie zastosuje się do wezwania ze strony urzędu nadzoru do wyznaczenia odpowiedzialnego pełnomocnika lub osoby upoważnionej do przyjmowania doręczeń, urząd nałoży na niego karę grzywny (§ 10 ust. 1). O ile dostawca usług nie posiada siedziby, oddziału ani innego stałego zakładu w kraju, a także nie wyznaczył odpowiedzialnego pełnomocnika lub osoby upoważnionej do przyjmowania doręczeń, który mógłby bądź która mogłaby otrzymywać doręczenia ze skutkiem prawnym, decyzje lub inne zarządzenia urzędu nadzoru zostaną złożone w tym urzędzie. Powiadomienie dostawcy usług o złożeniu dokumentu odbywa się na stronie internetowej urzędu nadzoru. Musi ono również określać rozpoczęcie i czas trwania okresu odbioru oraz informować o skutku złożenia dokumentu (ust. 3).</w:t>
      </w:r>
    </w:p>
    <w:p w:rsidR="004C1883" w:rsidRPr="00380F5F" w:rsidRDefault="004C1883" w:rsidP="00B230E9">
      <w:pPr>
        <w:pStyle w:val="51Abs"/>
      </w:pPr>
      <w:r>
        <w:t>(3) Złożony dokument musi być dostępny do odbioru przez co najmniej dwa tygodnie. Bieg tego terminu rozpoczyna się z dniem publikacji powiadomienia na stronie internetowej. Złożone dokumenty uważa się za doręczone wraz z pierwszym dniem tego terminu.</w:t>
      </w:r>
    </w:p>
    <w:p w:rsidR="004C1883" w:rsidRPr="00380F5F" w:rsidRDefault="004C1883" w:rsidP="00B230E9">
      <w:pPr>
        <w:pStyle w:val="51Abs"/>
      </w:pPr>
      <w:r>
        <w:t>(4) Wykonalność decyzji w przypadku dostawców usług z siedzibą w kraju stosuje się do regulacji ustawy z 1991 r. o egzekucji administracyjnej, Federalny Dz.U. nr 53/1991. O ile dostawca usług nie posiada siedziby, oddziału ani innego stałego zakładu w kraju, decyzje urzędu nadzoru o nałożeniu kar grzywny zgodnie z niniejszą ustawą federalną mogą być wykonywane również w taki sposób, że decyzją administracyjną zabrania się znanym dłużnikom dostawcy i przedsiębiorstw powiązanych z nim (ust. 5) dokonywania płatności na rzecz dostawcy lub przedsiębiorstwa powiązanego z nim. Za dłużników w rozumieniu poprzedniego zdania uważa się przedsiębiorstwa, które pozostają w regularnych stosunkach handlowych z dostawcą usług lub przedsiębiorstwem powiązanym z nim (ust. 5) w celach wprowadzenia na rynek lub sprzedaży informacji handlowych w Austrii. Wierzytelność pieniężna obłożona w ten sposób zakazem zapłaty jest przekazywana urzędowi nadzoru ze skutkiem zwalniającym dłużnika z zapłaty na rzecz dostawcy usług lub odnośnego przedsiębiorstwa powiązanego. Tak otrzymane kwoty zapisuje się na własnym koncie. Jeżeli suma otrzymanych kwot przewyższa kwotę kary grzywny podlegającej wykonaniu, pozostała kwota jest przekazywana dostawcy usług lub przedsiębiorstwu powiązanemu.</w:t>
      </w:r>
    </w:p>
    <w:p w:rsidR="004C1883" w:rsidRPr="00380F5F" w:rsidRDefault="004C1883" w:rsidP="00B230E9">
      <w:pPr>
        <w:pStyle w:val="51Abs"/>
        <w:keepNext/>
        <w:keepLines/>
      </w:pPr>
      <w:r>
        <w:t>(5) Za powiązane z dostawcą usług w rozumieniu ust. 4 uważa się</w:t>
      </w:r>
    </w:p>
    <w:p w:rsidR="004C1883" w:rsidRPr="00380F5F" w:rsidRDefault="004C1883" w:rsidP="00B230E9">
      <w:pPr>
        <w:pStyle w:val="52Aufzaehle1Ziffer"/>
        <w:tabs>
          <w:tab w:val="clear" w:pos="624"/>
        </w:tabs>
        <w:ind w:hanging="230"/>
      </w:pPr>
      <w:r>
        <w:t>1.</w:t>
      </w:r>
      <w:r>
        <w:tab/>
        <w:t>jego jednostkę dominującą;</w:t>
      </w:r>
    </w:p>
    <w:p w:rsidR="004C1883" w:rsidRPr="00380F5F" w:rsidRDefault="004C1883" w:rsidP="00B230E9">
      <w:pPr>
        <w:pStyle w:val="52Aufzaehle1Ziffer"/>
        <w:tabs>
          <w:tab w:val="clear" w:pos="624"/>
        </w:tabs>
        <w:ind w:hanging="230"/>
      </w:pPr>
      <w:r>
        <w:t>2.</w:t>
      </w:r>
      <w:r>
        <w:tab/>
        <w:t>każdą jednostkę zależną;</w:t>
      </w:r>
    </w:p>
    <w:p w:rsidR="004C1883" w:rsidRPr="00380F5F" w:rsidRDefault="004C1883" w:rsidP="00B230E9">
      <w:pPr>
        <w:pStyle w:val="52Aufzaehle1Ziffer"/>
        <w:tabs>
          <w:tab w:val="clear" w:pos="624"/>
        </w:tabs>
        <w:ind w:hanging="230"/>
      </w:pPr>
      <w:r>
        <w:t>3.</w:t>
      </w:r>
      <w:r>
        <w:tab/>
        <w:t>każde inne przedsiębiorstwo z grupy przedsiębiorstw dostawcy usług oraz</w:t>
      </w:r>
    </w:p>
    <w:p w:rsidR="004C1883" w:rsidRPr="00380F5F" w:rsidRDefault="004C1883" w:rsidP="00B230E9">
      <w:pPr>
        <w:pStyle w:val="52Aufzaehle1Ziffer"/>
        <w:tabs>
          <w:tab w:val="clear" w:pos="624"/>
        </w:tabs>
        <w:ind w:hanging="230"/>
      </w:pPr>
      <w:r>
        <w:t>4.</w:t>
      </w:r>
      <w:r>
        <w:tab/>
        <w:t>każde przedsiębiorstwo, które prowadzi w kraju regularną działalność gospodarczą, tj. ma stabilną i efektywną relację z gospodarką krajową oraz pozostaje w tego rodzaju stosunkach handlowych z dostawcą usług lub przedsiębiorstwem powiązanym z nim w rozumieniu pkt 1–3, w szczególności przez wprowadzenie na rynek lub sprzedaż informacji handlowych do publikacji na platformie komunikacyjnej.</w:t>
      </w:r>
    </w:p>
    <w:p w:rsidR="004C1883" w:rsidRPr="00380F5F" w:rsidRDefault="004C1883" w:rsidP="00B230E9">
      <w:pPr>
        <w:pStyle w:val="45UeberschrPara"/>
        <w:keepLines/>
      </w:pPr>
      <w:r>
        <w:t>Procedura rozpatrywania skarg</w:t>
      </w:r>
    </w:p>
    <w:p w:rsidR="004C1883" w:rsidRPr="00380F5F" w:rsidRDefault="004C1883" w:rsidP="00B230E9">
      <w:pPr>
        <w:pStyle w:val="51Abs"/>
      </w:pPr>
      <w:r>
        <w:rPr>
          <w:rStyle w:val="991GldSymbol"/>
        </w:rPr>
        <w:t>§ 7.</w:t>
      </w:r>
      <w:r>
        <w:t xml:space="preserve"> (1) W przypadku skarg na niewystarczalność procedury zgłoszeniowej w rozumieniu § 3 ust. 2 pkt 1–3 lub na niewystarczalność procedury weryfikacyjnej w rozumieniu § 3 ust. 4 użytkownicy mogą zwrócić się do organu rozpatrującego skargi. Warunkiem odwołania się do organu rozpatrującego skargi jest to, aby użytkownik zwrócił się wcześniej do dostawcy usług i nie otrzymał od niego odpowiedzi lub strony sporu nie były w stanie rozwiązać sporu. Organ rozpatrujący skargi doprowadzi do zgodnego rozwiązania sporu przez opracowanie propozycji rozwiązania lub przekaże użytkownikowi i dostawcy usług swoje zdanie na temat przedstawionego przypadku.</w:t>
      </w:r>
    </w:p>
    <w:p w:rsidR="004C1883" w:rsidRPr="00380F5F" w:rsidRDefault="004C1883" w:rsidP="00B230E9">
      <w:pPr>
        <w:pStyle w:val="51Abs"/>
      </w:pPr>
      <w:r>
        <w:t>(2) Po wysłuchaniu urzędu nadzoru organ rozpatrujący skargi ustali wytyczne dotyczące przeprowadzenia tej procedury, przy czym w szczególności określone muszą zostać dopasowane do występującego stanu rzeczy terminy zakończenia procedury. Wytyczne te muszą kierować się zasadami określonymi w § 6 ust. 2 i ust. 6 pkt 1, § 7 ust. 1, § 8 ust. 1 pkt 1 i 2 i ust. 2 ustawy o pozasądowym rozstrzyganiu sporów, Federalny Dz.U. I nr 105/2015, i zostać opublikowane w stosownej formie.</w:t>
      </w:r>
    </w:p>
    <w:p w:rsidR="004C1883" w:rsidRPr="00380F5F" w:rsidRDefault="004C1883" w:rsidP="00B230E9">
      <w:pPr>
        <w:pStyle w:val="51Abs"/>
      </w:pPr>
      <w:r>
        <w:lastRenderedPageBreak/>
        <w:t>(3) Organ rozpatrujący skargi sporządzi co roku sprawozdanie z zawisłych spraw, które zostanie opublikowane w ramach sprawozdania z działalności w rozumieniu § 19 ust. 2 ustawy o Austriackim Urzędzie Komunikacyjnym, Federalny Dz.U. I nr 32/2001. Ponadto organ rozpatrujący skargi udostępni co miesiąc urzędowi nadzoru zestawienie liczby, rodzajów i treści załatwionych przez siebie i nowych przypadków skarg.</w:t>
      </w:r>
    </w:p>
    <w:p w:rsidR="004C1883" w:rsidRPr="00380F5F" w:rsidRDefault="004C1883" w:rsidP="00B230E9">
      <w:pPr>
        <w:pStyle w:val="41UeberschrG1"/>
        <w:keepLines/>
      </w:pPr>
      <w:r>
        <w:t>Rozdział 3</w:t>
      </w:r>
    </w:p>
    <w:p w:rsidR="004C1883" w:rsidRPr="00380F5F" w:rsidRDefault="004C1883" w:rsidP="00B230E9">
      <w:pPr>
        <w:pStyle w:val="43UeberschrG2"/>
        <w:keepLines/>
      </w:pPr>
      <w:r>
        <w:t>Nadzór i sankcje</w:t>
      </w:r>
    </w:p>
    <w:p w:rsidR="004C1883" w:rsidRPr="00380F5F" w:rsidRDefault="004C1883" w:rsidP="00B230E9">
      <w:pPr>
        <w:pStyle w:val="45UeberschrPara"/>
        <w:keepLines/>
      </w:pPr>
      <w:r>
        <w:t>Urząd nadzoru, organ rozpatrujący skargi, wkłady finansowe</w:t>
      </w:r>
    </w:p>
    <w:p w:rsidR="004C1883" w:rsidRPr="00380F5F" w:rsidRDefault="004C1883" w:rsidP="00B230E9">
      <w:pPr>
        <w:pStyle w:val="51Abs"/>
      </w:pPr>
      <w:r>
        <w:rPr>
          <w:rStyle w:val="991GldSymbol"/>
        </w:rPr>
        <w:t>§ 8.</w:t>
      </w:r>
      <w:r>
        <w:t xml:space="preserve"> (1) Urzędem nadzoru w rozumieniu niniejszej ustawy federalnej jest Austriacki Urząd Komunikacyjny utworzony zgodnie z § 1 ustawy o Austriackim Urzędzie Komunikacyjnym.</w:t>
      </w:r>
    </w:p>
    <w:p w:rsidR="004C1883" w:rsidRPr="00380F5F" w:rsidRDefault="004C1883" w:rsidP="00B230E9">
      <w:pPr>
        <w:pStyle w:val="51Abs"/>
      </w:pPr>
      <w:r>
        <w:t>(2) Wsparcie administracyjne Austriackiego Urzędu Komunikacyjnego w sprawach niniejszej ustawy federalnej i funkcja organu rozpatrującego skargi należą do spółki RTR-GmbH w ramach odpowiedzialności dyrektora generalnego działu mediów.</w:t>
      </w:r>
    </w:p>
    <w:p w:rsidR="006F1770" w:rsidRPr="00380F5F" w:rsidRDefault="006F1770" w:rsidP="00B230E9">
      <w:pPr>
        <w:pStyle w:val="51Abs"/>
      </w:pPr>
      <w:r>
        <w:t>(2a) W ramach sporządzanego za rok 2022 sprawozdania z działalności (§ 19 ust. 2 ustawy o Austriackim Urzędzie Komunikacyjnym) urząd nadzoru przy wsparciu ze strony organu rozpatrującego skargi oceni skuteczność przewidzianych w niniejszej ustawie federalnej środków i obowiązków zachowania się oraz związane z nimi tendencje występujące w ciągu dwóch poprzednich lat kalendarzowych.</w:t>
      </w:r>
    </w:p>
    <w:p w:rsidR="004C1883" w:rsidRPr="00380F5F" w:rsidRDefault="004C1883" w:rsidP="00B230E9">
      <w:pPr>
        <w:pStyle w:val="51Abs"/>
      </w:pPr>
      <w:r>
        <w:t>(3) Do finansowania wydatków powstających przy wykonywaniu uregulowanych w niniejszej ustawie federalnej zadań Austriackiego Urzędu Komunikacyjnego i spółki RTR-GmbH służą w stosunku 2:1 z jednej strony wkłady finansowe dostawców usług objętych niniejszą ustawą federalną i z drugiej strony środki z budżetu federalnego. Z budżetu federalnego przekazuje się na to corocznie z dniem 30 stycznia dotację w wysokości 80 000 euro z wpływów z opłat w rozumieniu § 3 ust. 1 ustawy o abonamencie radiowo-telewizyjnym, Federalny Dz.U. I nr 159/1999, dodatkowo obok wkładu wpłacanego zgodnie z § 35 ust. 1 ustawy o Austriackim Urzędzie Komunikacyjnym. Zastosowanie znajduje § 35 ust. 1 zdanie trzecie i ostatnie ustawy o Austriackim Urzędzie Komunikacyjnym.</w:t>
      </w:r>
    </w:p>
    <w:p w:rsidR="004C1883" w:rsidRPr="00380F5F" w:rsidRDefault="004C1883" w:rsidP="00B230E9">
      <w:pPr>
        <w:pStyle w:val="51Abs"/>
      </w:pPr>
      <w:r>
        <w:t>(4) Wysokość wkładów finansowych zgodnie z ust. 3 zdanie pierwsze oblicza się w taki sposób, że wszyscy dostawcy usług w stosunku swoich obrotów krajowych uzyskanych z informacji handlowych przyczyniają się do finansowania pokrywanej przez wkłady finansowe części szacowanych wydatków. Do procedury ustalenia wkładów finansowych i nakazania ich wniesienia stosuje się przepisy zawarte w § 35 ust. 4–14 ustawy o Austriackim Urzędzie Komunikacyjnym. O ile dostawca usług nie posiada siedziby, oddziału ani innego stałego zakładu w kraju, do procedury egzekwowania płatności wkładu finansowego stosuje się § 6 ust. 4.</w:t>
      </w:r>
    </w:p>
    <w:p w:rsidR="004C1883" w:rsidRPr="00380F5F" w:rsidRDefault="004C1883" w:rsidP="00B230E9">
      <w:pPr>
        <w:pStyle w:val="45UeberschrPara"/>
        <w:keepLines/>
      </w:pPr>
      <w:r>
        <w:t>Procedury nadzoru</w:t>
      </w:r>
    </w:p>
    <w:p w:rsidR="004C1883" w:rsidRPr="00380F5F" w:rsidRDefault="004C1883" w:rsidP="00B230E9">
      <w:pPr>
        <w:pStyle w:val="51Abs"/>
      </w:pPr>
      <w:r>
        <w:rPr>
          <w:rStyle w:val="991GldSymbol"/>
        </w:rPr>
        <w:t>§ 9.</w:t>
      </w:r>
      <w:r>
        <w:t xml:space="preserve"> (1) Jeżeli w ciągu miesiąca do organu rozpatrującego skargi wpłynie więcej niż pięć uzasadnionych skarg (§ 7) na niewystarczalność środków podjętych przez dostawcę usług, urząd nadzoru sprawdzi, czy środki te były odpowiednie do spełnienia wymogów uregulowanych w § 3.</w:t>
      </w:r>
    </w:p>
    <w:p w:rsidR="004C1883" w:rsidRPr="00380F5F" w:rsidRDefault="004C1883" w:rsidP="00B230E9">
      <w:pPr>
        <w:pStyle w:val="51Abs"/>
      </w:pPr>
      <w:r>
        <w:t>(2) Jeżeli na podstawie częstości składania i rodzaju skarg, wyników dotychczasowych procedur nadzoru, powiadomienia organu rozpatrującego skargi lub własnej wstępnej oceny urząd nadzoru dojdzie do wniosku, że obowiązki uregulowane w niniejszej ustawie federalnej są naruszane, rozpocznie procedurę nadzoru i</w:t>
      </w:r>
    </w:p>
    <w:p w:rsidR="004C1883" w:rsidRPr="00380F5F" w:rsidRDefault="004C1883" w:rsidP="00B230E9">
      <w:pPr>
        <w:pStyle w:val="52Aufzaehle1Ziffer"/>
        <w:tabs>
          <w:tab w:val="clear" w:pos="624"/>
        </w:tabs>
        <w:ind w:hanging="230"/>
      </w:pPr>
      <w:r>
        <w:t>1.</w:t>
      </w:r>
      <w:r>
        <w:tab/>
        <w:t>poza przypadkami określonymi w pkt 2 decyzją administracyjną nakaże dostawcy usług doprowadzenie do stanu zgodnego z prawem i podjęcie odpowiednich środków zaradczych, aby nie dopuścić do naruszeń prawa w przyszłości; dostawca usług wykona tę decyzję w wyznaczonym przez urząd nadzoru terminie maksymalnie czterech tygodni i za pośrednictwem odpowiedzialnego pełnomocnika poinformuje o tym urząd nadzoru;</w:t>
      </w:r>
    </w:p>
    <w:p w:rsidR="004C1883" w:rsidRPr="00380F5F" w:rsidRDefault="004C1883" w:rsidP="00B230E9">
      <w:pPr>
        <w:pStyle w:val="52Aufzaehle1Ziffer"/>
        <w:tabs>
          <w:tab w:val="clear" w:pos="624"/>
        </w:tabs>
        <w:ind w:hanging="230"/>
      </w:pPr>
      <w:r>
        <w:t>2.</w:t>
      </w:r>
      <w:r>
        <w:tab/>
        <w:t>w przypadkach, w których na niekorzyść dostawcy usług została już wydana więcej niż jedna decyzja w rozumieniu pkt 1, jeżeli dostawca usług nie wykonuje decyzji w rozumieniu pkt 1, nałoży karę grzywny w procedurze określonej w § 10.</w:t>
      </w:r>
    </w:p>
    <w:p w:rsidR="004C1883" w:rsidRPr="00380F5F" w:rsidRDefault="004C1883" w:rsidP="00B230E9">
      <w:pPr>
        <w:pStyle w:val="51Abs"/>
      </w:pPr>
      <w:r>
        <w:t xml:space="preserve">(3) W swojej ocenie adekwatności i w poleceniu podjęcia odpowiednich środków zaradczych urząd nadzoru uwzględni to, że środki wymagane od dostawcy usług przez niniejszą ustawę federalną nie mogą skutkować ogólną wstępną kontrolą treści. Nakazane środki zaradcze i środki wymagane przy tym do podjęcia muszą przy uwzględnieniu prawnych interesów dostawców usług być odpowiednie i proporcjonalne dla osiągnięcia zamierzonych celów, takich jak w szczególności zwiększenie skuteczności </w:t>
      </w:r>
      <w:r>
        <w:lastRenderedPageBreak/>
        <w:t>mechanizmów ochrony użytkowników, ochrona społeczeństwa przed treściami niezgodnymi z prawem i ochrona interesów osób dotkniętych osobiście takimi treściami.</w:t>
      </w:r>
    </w:p>
    <w:p w:rsidR="004C1883" w:rsidRPr="00380F5F" w:rsidRDefault="004C1883" w:rsidP="00B230E9">
      <w:pPr>
        <w:pStyle w:val="45UeberschrPara"/>
        <w:keepLines/>
      </w:pPr>
      <w:r>
        <w:t>Kary grzywny</w:t>
      </w:r>
    </w:p>
    <w:p w:rsidR="004C1883" w:rsidRPr="00380F5F" w:rsidRDefault="004C1883" w:rsidP="00B230E9">
      <w:pPr>
        <w:pStyle w:val="51Abs"/>
      </w:pPr>
      <w:r>
        <w:rPr>
          <w:rStyle w:val="991GldSymbol"/>
        </w:rPr>
        <w:t>§ 10.</w:t>
      </w:r>
      <w:r>
        <w:t xml:space="preserve"> (1) Kto jako osoba na stanowisku kierowniczym powołana samodzielnie bądź jako część organu do reprezentowania dostawcy usług na zewnątrz lub upoważniona do podejmowania decyzji w imieniu dostawcy usług mimo wezwania ze strony urzędu nadzoru (§ 6 ust. 1) nie wypełnia obowiązku wyznaczenia odpowiedzialnego pełnomocnika zgodnie z § 5 ust. 1 lub obowiązku wyznaczenia osoby upoważnionej do przyjmowania doręczeń zgodnie z § 5 ust. 4, podlega karze grzywny w wysokości do jednego miliona euro. Urząd nadzoru odstąpi od ukarania, jeżeli za takie samo wykroczenie została już nałożona kara grzywny na osobę prawną w rozumieniu ust. 2 i nie występują szczególne okoliczności stojące na przeszkodzie odstąpieniu od ukarania.</w:t>
      </w:r>
    </w:p>
    <w:p w:rsidR="006E7389" w:rsidRPr="00380F5F" w:rsidRDefault="006E7389" w:rsidP="00B230E9">
      <w:pPr>
        <w:pStyle w:val="51Abs"/>
      </w:pPr>
      <w:r>
        <w:t>(2) W zależności od wagi naruszenia i stosownie do § 9 ust. 2 urząd nadzoru nałoży na dostawcę usług karę grzywny w wysokości do dziesięciu milionów euro, jeżeli</w:t>
      </w:r>
    </w:p>
    <w:p w:rsidR="006E7389" w:rsidRPr="00380F5F" w:rsidRDefault="006E7389" w:rsidP="00B230E9">
      <w:pPr>
        <w:pStyle w:val="52Aufzaehle1Ziffer"/>
        <w:keepNext/>
        <w:keepLines/>
        <w:tabs>
          <w:tab w:val="clear" w:pos="624"/>
        </w:tabs>
        <w:ind w:hanging="230"/>
      </w:pPr>
      <w:r>
        <w:t>1.</w:t>
      </w:r>
      <w:r>
        <w:tab/>
        <w:t>ten</w:t>
      </w:r>
    </w:p>
    <w:p w:rsidR="006E7389" w:rsidRPr="00380F5F" w:rsidRDefault="006E7389" w:rsidP="00B230E9">
      <w:pPr>
        <w:pStyle w:val="52Aufzaehle2Lit"/>
        <w:tabs>
          <w:tab w:val="clear" w:pos="851"/>
        </w:tabs>
        <w:ind w:hanging="223"/>
      </w:pPr>
      <w:r>
        <w:t>a)</w:t>
      </w:r>
      <w:r>
        <w:tab/>
        <w:t>wbrew § 3 ust. 2 pkt 1–3 nie udostępni procedury zgłoszeniowej lub udostępni taki system, który nie posiada wszystkich funkcji określonych w § 3 ust. 2 pkt 1–3,</w:t>
      </w:r>
    </w:p>
    <w:p w:rsidR="006E7389" w:rsidRPr="00380F5F" w:rsidRDefault="006E7389" w:rsidP="00B230E9">
      <w:pPr>
        <w:pStyle w:val="52Aufzaehle2Lit"/>
        <w:tabs>
          <w:tab w:val="clear" w:pos="851"/>
        </w:tabs>
        <w:ind w:hanging="223"/>
      </w:pPr>
      <w:r>
        <w:t>b)</w:t>
      </w:r>
      <w:r>
        <w:tab/>
        <w:t>wbrew § 3 ust. 3 pkt 1 nie podejmie środków służących ocenie i opartym na niej zablokowaniu lub usunięciu treści niezgodnych z prawem,</w:t>
      </w:r>
    </w:p>
    <w:p w:rsidR="006E7389" w:rsidRPr="00380F5F" w:rsidRDefault="006E7389" w:rsidP="00B230E9">
      <w:pPr>
        <w:pStyle w:val="52Aufzaehle2Lit"/>
        <w:tabs>
          <w:tab w:val="clear" w:pos="851"/>
        </w:tabs>
        <w:ind w:hanging="223"/>
      </w:pPr>
      <w:r>
        <w:t>c)</w:t>
      </w:r>
      <w:r>
        <w:tab/>
        <w:t>wbrew § 3 ust. 3 pkt 2 nie zadba o to, by skasowane lub zablokowane treści zostały zabezpieczone i były przechowywane do celów dowodowych,</w:t>
      </w:r>
    </w:p>
    <w:p w:rsidR="006E7389" w:rsidRPr="00380F5F" w:rsidRDefault="006E7389" w:rsidP="00B230E9">
      <w:pPr>
        <w:pStyle w:val="52Aufzaehle2Lit"/>
        <w:tabs>
          <w:tab w:val="clear" w:pos="851"/>
        </w:tabs>
        <w:ind w:hanging="223"/>
      </w:pPr>
      <w:r>
        <w:t>d)</w:t>
      </w:r>
      <w:r>
        <w:tab/>
        <w:t>wbrew § 3 ust. 4 nie udostępni procedury weryfikacyjnej lub udostępni taki system, który nie jest skuteczny i przejrzysty zgodnie z § 3 ust. 4,</w:t>
      </w:r>
    </w:p>
    <w:p w:rsidR="006E7389" w:rsidRPr="00380F5F" w:rsidRDefault="006E7389" w:rsidP="00B230E9">
      <w:pPr>
        <w:pStyle w:val="52Aufzaehle2Lit"/>
        <w:tabs>
          <w:tab w:val="clear" w:pos="851"/>
        </w:tabs>
        <w:ind w:hanging="223"/>
      </w:pPr>
      <w:r>
        <w:t>e)</w:t>
      </w:r>
      <w:r>
        <w:tab/>
        <w:t>wbrew § 3 ust. 5 udzieli informacji innym osobom,</w:t>
      </w:r>
    </w:p>
    <w:p w:rsidR="006E7389" w:rsidRPr="00380F5F" w:rsidRDefault="006F1770" w:rsidP="00B230E9">
      <w:pPr>
        <w:pStyle w:val="52Aufzaehle2Lit"/>
        <w:tabs>
          <w:tab w:val="clear" w:pos="851"/>
        </w:tabs>
        <w:ind w:hanging="223"/>
      </w:pPr>
      <w:r>
        <w:t>f)</w:t>
      </w:r>
      <w:r>
        <w:tab/>
        <w:t>wbrew § 4 ust. 1 i ust. 2 nie wypełnia swojego obowiązku sprawozdawczego w ogóle lub w wyznaczonym terminie lub spełnia go jedynie niekompletnie,</w:t>
      </w:r>
    </w:p>
    <w:p w:rsidR="006E7389" w:rsidRPr="00380F5F" w:rsidRDefault="006E7389" w:rsidP="00B230E9">
      <w:pPr>
        <w:pStyle w:val="52Aufzaehle2Lit"/>
        <w:tabs>
          <w:tab w:val="clear" w:pos="851"/>
        </w:tabs>
        <w:ind w:hanging="223"/>
      </w:pPr>
      <w:r>
        <w:t>g)</w:t>
      </w:r>
      <w:r>
        <w:tab/>
        <w:t>wbrew § 5 ust. 1 nie wyznaczy odpowiedzialnego pełnomocnika, lub</w:t>
      </w:r>
    </w:p>
    <w:p w:rsidR="006E7389" w:rsidRPr="00380F5F" w:rsidRDefault="006E7389" w:rsidP="00B230E9">
      <w:pPr>
        <w:pStyle w:val="52Aufzaehle2Lit"/>
        <w:tabs>
          <w:tab w:val="clear" w:pos="851"/>
        </w:tabs>
        <w:ind w:hanging="223"/>
      </w:pPr>
      <w:r>
        <w:t>h)</w:t>
      </w:r>
      <w:r>
        <w:tab/>
        <w:t>wbrew § 5 ust. 4 nie wyznaczy osoby upoważnionej do przyjmowania doręczeń,</w:t>
      </w:r>
    </w:p>
    <w:p w:rsidR="006E7389" w:rsidRPr="00380F5F" w:rsidRDefault="006E7389" w:rsidP="00B230E9">
      <w:pPr>
        <w:pStyle w:val="58Schlussteile1Ziffer"/>
      </w:pPr>
      <w:r>
        <w:t>oraz</w:t>
      </w:r>
    </w:p>
    <w:p w:rsidR="006E7389" w:rsidRPr="00380F5F" w:rsidRDefault="006E7389" w:rsidP="00B230E9">
      <w:pPr>
        <w:pStyle w:val="52Aufzaehle1Ziffer"/>
        <w:keepNext/>
        <w:keepLines/>
        <w:tabs>
          <w:tab w:val="clear" w:pos="624"/>
        </w:tabs>
        <w:ind w:hanging="230"/>
      </w:pPr>
      <w:r>
        <w:t>2.</w:t>
      </w:r>
    </w:p>
    <w:p w:rsidR="006E7389" w:rsidRPr="00380F5F" w:rsidRDefault="006E7389" w:rsidP="00B230E9">
      <w:pPr>
        <w:pStyle w:val="52Aufzaehle2Lit"/>
        <w:tabs>
          <w:tab w:val="clear" w:pos="851"/>
        </w:tabs>
        <w:ind w:hanging="223"/>
      </w:pPr>
      <w:r>
        <w:t>a)</w:t>
      </w:r>
      <w:r>
        <w:tab/>
        <w:t>odpowiedzialny pełnomocnik lub</w:t>
      </w:r>
    </w:p>
    <w:p w:rsidR="006E7389" w:rsidRPr="00380F5F" w:rsidRDefault="006E7389" w:rsidP="00B230E9">
      <w:pPr>
        <w:pStyle w:val="52Aufzaehle2Lit"/>
        <w:tabs>
          <w:tab w:val="clear" w:pos="851"/>
        </w:tabs>
        <w:ind w:hanging="223"/>
      </w:pPr>
      <w:r>
        <w:t>b)</w:t>
      </w:r>
      <w:r>
        <w:tab/>
        <w:t>– ponieważ wbrew § 5 ust. 1 nie jest wyznaczony odpowiedzialny pełnomocnik – osoba na stanowisku kierowniczym powołana samodzielnie bądź jako część organu do reprezentowania dostawcy usług na zewnątrz lub upoważniona do podejmowania decyzji w imieniu dostawcy usług</w:t>
      </w:r>
    </w:p>
    <w:p w:rsidR="006E7389" w:rsidRPr="00380F5F" w:rsidRDefault="006E7389" w:rsidP="00B230E9">
      <w:pPr>
        <w:pStyle w:val="58Schlussteile1Ziffer"/>
      </w:pPr>
      <w:r>
        <w:t>wykonując swoje upoważnienie do wydawania zarządzeń i przeprowadzania kontroli, nie zadbał(</w:t>
      </w:r>
      <w:r>
        <w:noBreakHyphen/>
        <w:t>a) o to, by obowiązki określone w pkt 1 były wypełniane.</w:t>
      </w:r>
    </w:p>
    <w:p w:rsidR="004C1883" w:rsidRPr="00380F5F" w:rsidRDefault="004C1883" w:rsidP="00B230E9">
      <w:pPr>
        <w:pStyle w:val="51Abs"/>
        <w:keepNext/>
        <w:keepLines/>
      </w:pPr>
      <w:r>
        <w:t>(3) Przy wymierzaniu wysokości kary grzywny zgodnie z ust. 1 lub 2 muszą zostać uwzględnione zwłaszcza następujące okoliczności:</w:t>
      </w:r>
    </w:p>
    <w:p w:rsidR="004C1883" w:rsidRPr="00380F5F" w:rsidRDefault="004C1883" w:rsidP="00B230E9">
      <w:pPr>
        <w:pStyle w:val="52Aufzaehle1Ziffer"/>
        <w:tabs>
          <w:tab w:val="clear" w:pos="624"/>
        </w:tabs>
        <w:ind w:hanging="230"/>
      </w:pPr>
      <w:r>
        <w:t>1.</w:t>
      </w:r>
      <w:r>
        <w:tab/>
        <w:t>zdolności finansowe dostawcy usług, jakie można wywnioskować na przykład z jego całkowitych obrotów;</w:t>
      </w:r>
    </w:p>
    <w:p w:rsidR="004C1883" w:rsidRPr="00380F5F" w:rsidRDefault="004C1883" w:rsidP="00B230E9">
      <w:pPr>
        <w:pStyle w:val="52Aufzaehle1Ziffer"/>
        <w:tabs>
          <w:tab w:val="clear" w:pos="624"/>
        </w:tabs>
        <w:ind w:hanging="230"/>
      </w:pPr>
      <w:r>
        <w:t>2.</w:t>
      </w:r>
      <w:r>
        <w:tab/>
        <w:t>liczba zarejestrowanych użytkowników platformy;</w:t>
      </w:r>
    </w:p>
    <w:p w:rsidR="004C1883" w:rsidRPr="00380F5F" w:rsidRDefault="004C1883" w:rsidP="00B230E9">
      <w:pPr>
        <w:pStyle w:val="52Aufzaehle1Ziffer"/>
        <w:tabs>
          <w:tab w:val="clear" w:pos="624"/>
        </w:tabs>
        <w:ind w:hanging="230"/>
      </w:pPr>
      <w:r>
        <w:t>3.</w:t>
      </w:r>
      <w:r>
        <w:tab/>
        <w:t>wcześniejsze naruszenia obowiązków;</w:t>
      </w:r>
    </w:p>
    <w:p w:rsidR="004C1883" w:rsidRPr="00380F5F" w:rsidRDefault="004C1883" w:rsidP="00B230E9">
      <w:pPr>
        <w:pStyle w:val="52Aufzaehle1Ziffer"/>
        <w:tabs>
          <w:tab w:val="clear" w:pos="624"/>
        </w:tabs>
        <w:ind w:hanging="230"/>
      </w:pPr>
      <w:r>
        <w:t>4.</w:t>
      </w:r>
      <w:r>
        <w:tab/>
        <w:t>stopień i czas trwania opieszałości dostawcy usług przy spełnianiu nałożonego obowiązku;</w:t>
      </w:r>
    </w:p>
    <w:p w:rsidR="004C1883" w:rsidRPr="00380F5F" w:rsidRDefault="004C1883" w:rsidP="00B230E9">
      <w:pPr>
        <w:pStyle w:val="52Aufzaehle1Ziffer"/>
        <w:tabs>
          <w:tab w:val="clear" w:pos="624"/>
        </w:tabs>
        <w:ind w:hanging="230"/>
      </w:pPr>
      <w:r>
        <w:t>5.</w:t>
      </w:r>
      <w:r>
        <w:tab/>
        <w:t>wkład w ustalenie prawdy oraz</w:t>
      </w:r>
    </w:p>
    <w:p w:rsidR="004C1883" w:rsidRPr="00380F5F" w:rsidRDefault="004C1883" w:rsidP="00B230E9">
      <w:pPr>
        <w:pStyle w:val="52Aufzaehle1Ziffer"/>
        <w:tabs>
          <w:tab w:val="clear" w:pos="624"/>
        </w:tabs>
        <w:ind w:hanging="230"/>
      </w:pPr>
      <w:r>
        <w:t>6.</w:t>
      </w:r>
      <w:r>
        <w:tab/>
        <w:t>zakres podjętych środków zaradczych służących zapobieganiu naruszeniu obowiązków lub nakłonieniu pracowników do postępowania zgodnego z prawem.</w:t>
      </w:r>
    </w:p>
    <w:p w:rsidR="004C1883" w:rsidRPr="00380F5F" w:rsidRDefault="004C1883" w:rsidP="00B230E9">
      <w:pPr>
        <w:pStyle w:val="51Abs"/>
        <w:keepNext/>
        <w:keepLines/>
      </w:pPr>
      <w:r>
        <w:t>(4) Kto jako odpowiedzialny pełnomocnik</w:t>
      </w:r>
    </w:p>
    <w:p w:rsidR="004C1883" w:rsidRPr="00380F5F" w:rsidRDefault="004C1883" w:rsidP="00B230E9">
      <w:pPr>
        <w:pStyle w:val="52Aufzaehle1Ziffer"/>
        <w:tabs>
          <w:tab w:val="clear" w:pos="624"/>
        </w:tabs>
        <w:ind w:hanging="230"/>
      </w:pPr>
      <w:r>
        <w:t>1.</w:t>
      </w:r>
      <w:r>
        <w:tab/>
        <w:t>wbrew § 5 ust. 2 zdanie pierwsze nie zadba o to, by jego dane kontaktowe były stale łatwo i bezpośrednio dostępne, lub</w:t>
      </w:r>
    </w:p>
    <w:p w:rsidR="004C1883" w:rsidRPr="00380F5F" w:rsidRDefault="004C1883" w:rsidP="00B230E9">
      <w:pPr>
        <w:pStyle w:val="52Aufzaehle1Ziffer"/>
        <w:tabs>
          <w:tab w:val="clear" w:pos="624"/>
        </w:tabs>
        <w:ind w:hanging="230"/>
      </w:pPr>
      <w:r>
        <w:t>2.</w:t>
      </w:r>
      <w:r>
        <w:tab/>
        <w:t>wbrew § 5 ust. 2 zdanie drugie nie zapewni swojej dostępności dla urzędu nadzoru lub</w:t>
      </w:r>
    </w:p>
    <w:p w:rsidR="004C1883" w:rsidRPr="00380F5F" w:rsidRDefault="004C1883" w:rsidP="00B230E9">
      <w:pPr>
        <w:pStyle w:val="52Aufzaehle1Ziffer"/>
        <w:tabs>
          <w:tab w:val="clear" w:pos="624"/>
        </w:tabs>
        <w:ind w:hanging="230"/>
      </w:pPr>
      <w:r>
        <w:t>3.</w:t>
      </w:r>
      <w:r>
        <w:tab/>
        <w:t>nie spełnia obowiązku uregulowanego w § 5 ust. 3,</w:t>
      </w:r>
    </w:p>
    <w:p w:rsidR="004C1883" w:rsidRPr="00380F5F" w:rsidRDefault="004C1883" w:rsidP="00B230E9">
      <w:pPr>
        <w:pStyle w:val="58Schlussteile0Abs"/>
      </w:pPr>
      <w:r>
        <w:t>popełnia wykroczenie administracyjne i urząd nadzoru nakłada na niego karę grzywny w wysokości do 10 000 euro.</w:t>
      </w:r>
    </w:p>
    <w:p w:rsidR="004C1883" w:rsidRPr="00380F5F" w:rsidRDefault="004C1883" w:rsidP="00B230E9">
      <w:pPr>
        <w:pStyle w:val="51Abs"/>
        <w:keepNext/>
        <w:keepLines/>
      </w:pPr>
      <w:r>
        <w:lastRenderedPageBreak/>
        <w:t>(5) Kto jako osoba upoważniona do przyjmowania doręczeń</w:t>
      </w:r>
    </w:p>
    <w:p w:rsidR="004C1883" w:rsidRPr="00380F5F" w:rsidRDefault="004C1883" w:rsidP="00B230E9">
      <w:pPr>
        <w:pStyle w:val="52Aufzaehle1Ziffer"/>
        <w:tabs>
          <w:tab w:val="clear" w:pos="624"/>
        </w:tabs>
        <w:ind w:hanging="230"/>
      </w:pPr>
      <w:r>
        <w:t>1.</w:t>
      </w:r>
      <w:r>
        <w:tab/>
        <w:t>wbrew § 5 ust. 2 zdanie pierwsze w związku z ust. 4 zdanie drugie nie zadba o to, by jego dane kontaktowe były stale łatwo i bezpośrednio dostępne, lub</w:t>
      </w:r>
    </w:p>
    <w:p w:rsidR="004C1883" w:rsidRPr="00380F5F" w:rsidRDefault="004C1883" w:rsidP="00B230E9">
      <w:pPr>
        <w:pStyle w:val="52Aufzaehle1Ziffer"/>
        <w:tabs>
          <w:tab w:val="clear" w:pos="624"/>
        </w:tabs>
        <w:ind w:hanging="230"/>
      </w:pPr>
      <w:r>
        <w:t>2.</w:t>
      </w:r>
      <w:r>
        <w:tab/>
        <w:t>nie spełnia obowiązku uregulowanego w § 5 ust. 3 w związku z ust. 4 zdanie drugie,</w:t>
      </w:r>
    </w:p>
    <w:p w:rsidR="004C1883" w:rsidRPr="00380F5F" w:rsidRDefault="004C1883" w:rsidP="00B230E9">
      <w:pPr>
        <w:pStyle w:val="58Schlussteile0Abs"/>
      </w:pPr>
      <w:r>
        <w:t>popełnia wykroczenie administracyjne i urząd nadzoru nakłada na niego karę grzywny w wysokości do 10 000 euro.</w:t>
      </w:r>
    </w:p>
    <w:p w:rsidR="004C1883" w:rsidRPr="00380F5F" w:rsidRDefault="004C1883" w:rsidP="00B230E9">
      <w:pPr>
        <w:pStyle w:val="51Abs"/>
        <w:keepNext/>
        <w:keepLines/>
      </w:pPr>
      <w:r>
        <w:t>(6) Kto jako dostawca usług mimo wezwania nie wypełnia</w:t>
      </w:r>
    </w:p>
    <w:p w:rsidR="004C1883" w:rsidRPr="00380F5F" w:rsidRDefault="004C1883" w:rsidP="00B230E9">
      <w:pPr>
        <w:pStyle w:val="52Aufzaehle1Ziffer"/>
        <w:tabs>
          <w:tab w:val="clear" w:pos="624"/>
        </w:tabs>
        <w:ind w:hanging="230"/>
      </w:pPr>
      <w:r>
        <w:t>1.</w:t>
      </w:r>
      <w:r>
        <w:tab/>
        <w:t>obowiązku udzielania informacji w celu ustalenia jego funkcji dostawcy usług podlegającego niniejszej ustawie federalnej lub</w:t>
      </w:r>
    </w:p>
    <w:p w:rsidR="004C1883" w:rsidRPr="00380F5F" w:rsidRDefault="004C1883" w:rsidP="00B230E9">
      <w:pPr>
        <w:pStyle w:val="52Aufzaehle1Ziffer"/>
        <w:tabs>
          <w:tab w:val="clear" w:pos="624"/>
        </w:tabs>
        <w:ind w:hanging="230"/>
      </w:pPr>
      <w:r>
        <w:t>2.</w:t>
      </w:r>
      <w:r>
        <w:tab/>
        <w:t>obowiązku udzielania informacji oraz zapewnienia wglądu do ewidencji i ksiąg (§ 8 ust. 4 w związku z § 35 ust. 13 ustawy o Austriackim Urzędzie Komunikacyjnym)</w:t>
      </w:r>
    </w:p>
    <w:p w:rsidR="004C1883" w:rsidRPr="00380F5F" w:rsidRDefault="004C1883" w:rsidP="00B230E9">
      <w:pPr>
        <w:pStyle w:val="58Schlussteile0Abs"/>
      </w:pPr>
      <w:r>
        <w:t>popełnia wykroczenie administracyjne i urząd nadzoru nakłada na niego karę grzywny w wysokości do 58 000 euro.</w:t>
      </w:r>
    </w:p>
    <w:p w:rsidR="004C1883" w:rsidRPr="00380F5F" w:rsidRDefault="004C1883" w:rsidP="00B230E9">
      <w:pPr>
        <w:pStyle w:val="45UeberschrPara"/>
        <w:keepLines/>
      </w:pPr>
      <w:r>
        <w:t>Skargi</w:t>
      </w:r>
    </w:p>
    <w:p w:rsidR="004C1883" w:rsidRPr="00380F5F" w:rsidRDefault="004C1883" w:rsidP="00B230E9">
      <w:pPr>
        <w:pStyle w:val="51Abs"/>
      </w:pPr>
      <w:r>
        <w:rPr>
          <w:rStyle w:val="991GldSymbol"/>
        </w:rPr>
        <w:t>§ 11.</w:t>
      </w:r>
      <w:r>
        <w:t xml:space="preserve"> Skargi na decyzje o grzywnach i na decyzje w rozumieniu § 9 ust. 2 pkt 1 nie mają skutku zawieszającego w drodze odstępstwa od § 13 ust. 1 ustawy o sądowym postępowaniu administracyjnym, Federalny Dz.U. I nr 33/2013. Federalny Sąd Administracyjny może na wniosek przyznać skutek zawieszający w odnośnym postępowaniu, jeżeli po wyważeniu wszystkich naruszonych interesów z wykonaniem decyzji dla osoby składającej skargę wiązałaby się poważna i niedająca się naprawić szkoda.</w:t>
      </w:r>
    </w:p>
    <w:p w:rsidR="004C1883" w:rsidRPr="00380F5F" w:rsidRDefault="004C1883" w:rsidP="00B230E9">
      <w:pPr>
        <w:pStyle w:val="41UeberschrG1"/>
        <w:keepLines/>
      </w:pPr>
      <w:r>
        <w:t>Rozdział 4</w:t>
      </w:r>
    </w:p>
    <w:p w:rsidR="004C1883" w:rsidRPr="00380F5F" w:rsidRDefault="004C1883" w:rsidP="00B230E9">
      <w:pPr>
        <w:pStyle w:val="43UeberschrG2"/>
        <w:keepLines/>
      </w:pPr>
      <w:r>
        <w:t>Przepisy końcowe</w:t>
      </w:r>
    </w:p>
    <w:p w:rsidR="004C1883" w:rsidRPr="00380F5F" w:rsidRDefault="004C1883" w:rsidP="00B230E9">
      <w:pPr>
        <w:pStyle w:val="45UeberschrPara"/>
        <w:keepLines/>
      </w:pPr>
      <w:r>
        <w:t>Odnośniki i określenia</w:t>
      </w:r>
    </w:p>
    <w:p w:rsidR="004C1883" w:rsidRPr="00380F5F" w:rsidRDefault="004C1883" w:rsidP="00B230E9">
      <w:pPr>
        <w:pStyle w:val="51Abs"/>
      </w:pPr>
      <w:r>
        <w:rPr>
          <w:rStyle w:val="991GldSymbol"/>
        </w:rPr>
        <w:t>§ 12.</w:t>
      </w:r>
      <w:r>
        <w:t xml:space="preserve"> (1) Jeżeli w niniejszej ustawie federalnej znajdują się odnośniki do innych ustaw federalnych, ustawy te stosuje się w ich aktualnie obowiązującym brzmieniu. O ile nie określono inaczej w niniejszej ustawie federalnej, przepisy ustawy o audiowizualnych usługach medialnych, Federalny Dz.U. I nr 84/2001, i ustawy o e-handlu pozostają niezmienione.</w:t>
      </w:r>
    </w:p>
    <w:p w:rsidR="004C1883" w:rsidRPr="00380F5F" w:rsidRDefault="004C1883" w:rsidP="00B230E9">
      <w:pPr>
        <w:pStyle w:val="51Abs"/>
      </w:pPr>
      <w:r>
        <w:t>(2) Wszystkie określenia osób stosowane w niniejszej ustawie federalnej odnoszą się w równej mierze do osób płci żeńskiej i męskiej.</w:t>
      </w:r>
    </w:p>
    <w:p w:rsidR="004C1883" w:rsidRPr="00380F5F" w:rsidRDefault="004C1883" w:rsidP="00B230E9">
      <w:pPr>
        <w:pStyle w:val="51Abs"/>
      </w:pPr>
      <w:r>
        <w:t>(3) Środki uzyskane z nałożonych zgodnie z niniejszą ustawą federalną kar grzywny wpływają do Federacji. Decyzje kończące postępowanie w sprawie są tytułami egzekucyjnymi. Łącznie spółce RTR</w:t>
      </w:r>
      <w:r>
        <w:noBreakHyphen/>
        <w:t>GmbH przekazuje się rocznie połowę sumy wpływów z nałożonych kar grzywny jako wkład finansowy w wydatki powstające w wyniku wykonywania przewidzianych w niniejszej ustawie federalnej zadań urzędu nadzoru i organu rozpatrującego skargi.</w:t>
      </w:r>
    </w:p>
    <w:p w:rsidR="004C1883" w:rsidRPr="00380F5F" w:rsidRDefault="004C1883" w:rsidP="00B230E9">
      <w:pPr>
        <w:pStyle w:val="45UeberschrPara"/>
        <w:keepLines/>
      </w:pPr>
      <w:r>
        <w:t>Wykonanie</w:t>
      </w:r>
    </w:p>
    <w:p w:rsidR="004C1883" w:rsidRPr="00380F5F" w:rsidRDefault="004C1883" w:rsidP="00B230E9">
      <w:pPr>
        <w:pStyle w:val="51Abs"/>
      </w:pPr>
      <w:r>
        <w:rPr>
          <w:rStyle w:val="991GldSymbol"/>
        </w:rPr>
        <w:t>§ 13.</w:t>
      </w:r>
      <w:r>
        <w:t xml:space="preserve"> Wykonanie niniejszej ustawy federalnej jest powierzone Kanclerzowi Federalnemu.</w:t>
      </w:r>
    </w:p>
    <w:p w:rsidR="004C1883" w:rsidRPr="00380F5F" w:rsidRDefault="004C1883" w:rsidP="00B230E9">
      <w:pPr>
        <w:pStyle w:val="45UeberschrPara"/>
        <w:keepLines/>
      </w:pPr>
      <w:r>
        <w:t>Wejście w życie i przepisy przejściowe</w:t>
      </w:r>
    </w:p>
    <w:p w:rsidR="004C1883" w:rsidRPr="00380F5F" w:rsidRDefault="006E7389" w:rsidP="00B230E9">
      <w:pPr>
        <w:pStyle w:val="51Abs"/>
      </w:pPr>
      <w:r>
        <w:rPr>
          <w:rStyle w:val="991GldSymbol"/>
        </w:rPr>
        <w:t>§ 14.</w:t>
      </w:r>
      <w:r>
        <w:t xml:space="preserve"> Niniejsza ustawa federalna wchodzi w życie z dniem 1 stycznia 2021 r. Dostawcy usług, którzy w momencie wejścia w życie niniejszej ustawy federalnej są obejmowani jej przepisami, muszą zrealizować obowiązki przewidziane w niniejszej ustawie federalnej do dnia 31 marca 2021 r., a dochodzący później dostawcy – w ciągu trzech miesięcy od dnia rozpoczęcia działalności.</w:t>
      </w:r>
    </w:p>
    <w:p w:rsidR="004C1883" w:rsidRPr="00380F5F" w:rsidRDefault="004C1883" w:rsidP="00B230E9">
      <w:pPr>
        <w:pStyle w:val="41UeberschrG1"/>
        <w:keepLines/>
      </w:pPr>
      <w:r>
        <w:t>Artykuł 2</w:t>
      </w:r>
    </w:p>
    <w:p w:rsidR="004C1883" w:rsidRPr="00380F5F" w:rsidRDefault="004C1883" w:rsidP="00B230E9">
      <w:pPr>
        <w:pStyle w:val="43UeberschrG2"/>
        <w:keepLines/>
      </w:pPr>
      <w:r>
        <w:t>Zmiana ustawy o Austriackim Urzędzie Komunikacyjnym</w:t>
      </w:r>
    </w:p>
    <w:p w:rsidR="004C1883" w:rsidRPr="00380F5F" w:rsidRDefault="004C1883" w:rsidP="00B230E9">
      <w:pPr>
        <w:pStyle w:val="12PromKlEinlSatz"/>
        <w:keepNext w:val="0"/>
      </w:pPr>
      <w:r>
        <w:t>W ustawie federalnej o utworzeniu Austriackiego Urzędu Komunikacyjnego (ustawa o Austriackim Urzędzie Komunikacyjnym), Federalny Dz.U. I nr 32/2001, ostatnio zmienionej ustawą opublikowaną w Federalnym Dz.U. I nr 24/2020, wprowadza się następujące zmiany:</w:t>
      </w:r>
    </w:p>
    <w:p w:rsidR="004C1883" w:rsidRPr="00380F5F" w:rsidRDefault="004C1883" w:rsidP="00B230E9">
      <w:pPr>
        <w:pStyle w:val="21NovAo1"/>
        <w:keepLines/>
      </w:pPr>
      <w:r>
        <w:t>1. W § 2 ust. 1 na końcu pkt 14 kropkę zastępuje się przecinkiem i dodaje się pkt 15 w brzmieniu:</w:t>
      </w:r>
    </w:p>
    <w:p w:rsidR="004C1883" w:rsidRPr="00380F5F" w:rsidRDefault="004C1883" w:rsidP="00B230E9">
      <w:pPr>
        <w:pStyle w:val="52Aufzaehle1Ziffer"/>
        <w:tabs>
          <w:tab w:val="clear" w:pos="624"/>
        </w:tabs>
        <w:ind w:hanging="410"/>
      </w:pPr>
      <w:r>
        <w:t>„15.</w:t>
      </w:r>
      <w:r>
        <w:tab/>
        <w:t>wykonywanie zadań określonych w ustawie o platformach komunikacyjnych, Federalny Dz.U. I nr 151/2020.”.</w:t>
      </w:r>
    </w:p>
    <w:p w:rsidR="004C1883" w:rsidRPr="00380F5F" w:rsidRDefault="004C1883" w:rsidP="00B230E9">
      <w:pPr>
        <w:pStyle w:val="21NovAo1"/>
        <w:keepLines/>
      </w:pPr>
      <w:r>
        <w:lastRenderedPageBreak/>
        <w:t>2. W § 2 ust. 3 na końcu pkt 9 kropkę zastępuje się średnikiem i dodaje się pkt 10 w brzmieniu:</w:t>
      </w:r>
    </w:p>
    <w:p w:rsidR="004C1883" w:rsidRPr="00380F5F" w:rsidRDefault="004C1883" w:rsidP="00B230E9">
      <w:pPr>
        <w:pStyle w:val="52Aufzaehle1Ziffer"/>
        <w:tabs>
          <w:tab w:val="clear" w:pos="624"/>
        </w:tabs>
        <w:ind w:hanging="410"/>
      </w:pPr>
      <w:r>
        <w:t>„10.</w:t>
      </w:r>
      <w:r>
        <w:tab/>
        <w:t>zapewnienie skutecznych i przejrzystych środków podejmowanych przez dostawców platform komunikacyjnych.”.</w:t>
      </w:r>
    </w:p>
    <w:p w:rsidR="004C1883" w:rsidRPr="00380F5F" w:rsidRDefault="004C1883" w:rsidP="00B230E9">
      <w:pPr>
        <w:pStyle w:val="21NovAo1"/>
        <w:keepLines/>
      </w:pPr>
      <w:r>
        <w:t>3. W § 13 ust. 4 pkt 1 na końcu lit. m) kropkę zastępuje się średnikiem i dodaje się lit. n) w brzmieniu:</w:t>
      </w:r>
    </w:p>
    <w:p w:rsidR="004C1883" w:rsidRPr="00380F5F" w:rsidRDefault="004C1883" w:rsidP="00B230E9">
      <w:pPr>
        <w:pStyle w:val="52Aufzaehle1Ziffer"/>
        <w:tabs>
          <w:tab w:val="clear" w:pos="624"/>
        </w:tabs>
        <w:ind w:hanging="410"/>
      </w:pPr>
      <w:r>
        <w:t>„n)</w:t>
      </w:r>
      <w:r>
        <w:tab/>
        <w:t>zadania urzędu nadzoru według ustawy o platformach komunikacyjnych.”.</w:t>
      </w:r>
    </w:p>
    <w:p w:rsidR="004C1883" w:rsidRPr="00380F5F" w:rsidRDefault="004C1883" w:rsidP="00B230E9">
      <w:pPr>
        <w:pStyle w:val="21NovAo1"/>
        <w:keepLines/>
      </w:pPr>
      <w:r>
        <w:t>4. W § 17 ust. 6a pkt 3 kropkę na końcu zastępuje się średnikiem i dodaje się pkt 4 w brzmieniu:</w:t>
      </w:r>
    </w:p>
    <w:p w:rsidR="004C1883" w:rsidRPr="00380F5F" w:rsidRDefault="003F6B42" w:rsidP="00B230E9">
      <w:pPr>
        <w:pStyle w:val="52Aufzaehle1Ziffer"/>
        <w:tabs>
          <w:tab w:val="clear" w:pos="624"/>
        </w:tabs>
        <w:ind w:hanging="410"/>
      </w:pPr>
      <w:r>
        <w:t>„4.</w:t>
      </w:r>
      <w:r>
        <w:tab/>
        <w:t>organ rozpatrujący skargi w rozumieniu ustawy o platformach komunikacyjnych.”.</w:t>
      </w:r>
    </w:p>
    <w:p w:rsidR="004C1883" w:rsidRPr="00380F5F" w:rsidRDefault="004C1883" w:rsidP="00B230E9">
      <w:pPr>
        <w:pStyle w:val="21NovAo1"/>
        <w:keepLines/>
      </w:pPr>
      <w:r>
        <w:t>5. W § 19 ust. 3 pkt 5a dodaje się lit. d) w brzmieniu:</w:t>
      </w:r>
    </w:p>
    <w:p w:rsidR="004C1883" w:rsidRPr="00380F5F" w:rsidRDefault="00B132B5" w:rsidP="00B230E9">
      <w:pPr>
        <w:pStyle w:val="52Aufzaehle1Ziffer"/>
        <w:tabs>
          <w:tab w:val="clear" w:pos="624"/>
        </w:tabs>
        <w:ind w:hanging="410"/>
      </w:pPr>
      <w:r>
        <w:t>„d)</w:t>
      </w:r>
      <w:r>
        <w:tab/>
        <w:t>organ rozpatrujący skargi w rozumieniu ustawy o platformach komunikacyjnych;”.</w:t>
      </w:r>
    </w:p>
    <w:p w:rsidR="006E7389" w:rsidRPr="00380F5F" w:rsidRDefault="006E7389" w:rsidP="00B230E9">
      <w:pPr>
        <w:pStyle w:val="21NovAo1"/>
        <w:keepLines/>
      </w:pPr>
      <w:r>
        <w:t xml:space="preserve">6. </w:t>
      </w:r>
      <w:r>
        <w:rPr>
          <w:i w:val="0"/>
        </w:rPr>
        <w:t>W</w:t>
      </w:r>
      <w:r>
        <w:t xml:space="preserve"> § 44 dodaje się ust. 25 w brzmieniu:</w:t>
      </w:r>
    </w:p>
    <w:p w:rsidR="004C1883" w:rsidRPr="00380F5F" w:rsidRDefault="006E7389" w:rsidP="00B230E9">
      <w:pPr>
        <w:pStyle w:val="51Abs"/>
      </w:pPr>
      <w:r>
        <w:t>„(25) § 2 ust. 1 i 3, § 13 ust. 4, § 17 ust. 6a i § 19 ust. 3 w brzmieniu ustawy opublikowanej w Federalnym Dz.U. I nr 151/2020 wchodzą w życie z dniem 1 stycznia 2021 r.”.</w:t>
      </w:r>
    </w:p>
    <w:p w:rsidR="00344954" w:rsidRPr="00380F5F" w:rsidRDefault="00344954" w:rsidP="00B230E9">
      <w:pPr>
        <w:pStyle w:val="68UnterschrL"/>
        <w:keepNext/>
        <w:keepLines/>
      </w:pPr>
      <w:r>
        <w:t xml:space="preserve">Van der </w:t>
      </w:r>
      <w:proofErr w:type="spellStart"/>
      <w:r>
        <w:t>Bellen</w:t>
      </w:r>
      <w:proofErr w:type="spellEnd"/>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1AC" w:rsidRDefault="00F841AC" w:rsidP="00427CB8">
      <w:r>
        <w:separator/>
      </w:r>
    </w:p>
  </w:endnote>
  <w:endnote w:type="continuationSeparator" w:id="0">
    <w:p w:rsidR="00F841AC" w:rsidRDefault="00F841AC" w:rsidP="00427CB8">
      <w:r>
        <w:continuationSeparator/>
      </w:r>
    </w:p>
  </w:endnote>
  <w:endnote w:type="continuationNotice" w:id="1">
    <w:p w:rsidR="00F841AC" w:rsidRDefault="00F8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1AC" w:rsidRDefault="00F841AC" w:rsidP="00427CB8">
      <w:r>
        <w:separator/>
      </w:r>
    </w:p>
  </w:footnote>
  <w:footnote w:type="continuationSeparator" w:id="0">
    <w:p w:rsidR="00F841AC" w:rsidRDefault="00F841AC" w:rsidP="00427CB8">
      <w:r>
        <w:continuationSeparator/>
      </w:r>
    </w:p>
  </w:footnote>
  <w:footnote w:type="continuationNotice" w:id="1">
    <w:p w:rsidR="00F841AC" w:rsidRDefault="00F84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Federalny Dz.U. I - wydanie z dnia 23 grudnia 2020 r. - nr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z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Federalny Dz.U. I - wydanie z dnia 23 grudnia 2020 r. - nr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z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z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4A9"/>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1AC"/>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2F84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pl-PL"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pl-PL"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pl-PL"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pl-PL"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pl-PL"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pl-PL"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pl-PL"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pl-PL"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pl-PL" w:eastAsia="de-DE"/>
    </w:rPr>
  </w:style>
  <w:style w:type="character" w:customStyle="1" w:styleId="21NovAo1Zchn">
    <w:name w:val="21_NovAo1 Zchn"/>
    <w:link w:val="21NovAo1"/>
    <w:locked/>
    <w:rsid w:val="006E7389"/>
    <w:rPr>
      <w:i/>
      <w:color w:val="000000"/>
      <w:lang w:val="pl-P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4778</Words>
  <Characters>27241</Characters>
  <Application>Microsoft Office Word</Application>
  <DocSecurity>0</DocSecurity>
  <Lines>227</Lines>
  <Paragraphs>63</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