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2021. január 15. 65. sz.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Rendelet az elektronikus cigaretták, valamint a nikotinos és nikotinmentes utántöltő flakonok reklámozásának, látható elhelyezésének és megjelenítésének stb. tilalmáról</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3DD35012" w:rsidR="00F01996" w:rsidRDefault="00F01996" w:rsidP="00F01996">
      <w:pPr>
        <w:autoSpaceDE w:val="0"/>
        <w:autoSpaceDN w:val="0"/>
        <w:adjustRightInd w:val="0"/>
        <w:spacing w:after="0" w:line="240" w:lineRule="auto"/>
        <w:rPr>
          <w:rFonts w:ascii="Calibri" w:hAnsi="Calibri" w:cs="Calibri"/>
          <w:color w:val="000000"/>
          <w:sz w:val="24"/>
          <w:szCs w:val="24"/>
        </w:rPr>
      </w:pPr>
      <w:r>
        <w:rPr>
          <w:sz w:val="24"/>
        </w:rPr>
        <w:t>Az elektronikus cigarettákról stb. szóló törvény 18. §-a, valamint 18a. §-ának (4) bekezdése szerint, vö. a 2020. december 21-i 2071. sz. törvény általi módosításnak megfelelően az alábbiak kerülnek meghatározásra:</w:t>
      </w:r>
    </w:p>
    <w:p w14:paraId="13135E46" w14:textId="77777777" w:rsidR="005749F1" w:rsidRDefault="005749F1" w:rsidP="00F01996">
      <w:pPr>
        <w:autoSpaceDE w:val="0"/>
        <w:autoSpaceDN w:val="0"/>
        <w:adjustRightInd w:val="0"/>
        <w:spacing w:after="0" w:line="240" w:lineRule="auto"/>
        <w:jc w:val="center"/>
        <w:rPr>
          <w:sz w:val="24"/>
        </w:rPr>
      </w:pPr>
    </w:p>
    <w:p w14:paraId="6488B9B7" w14:textId="70AC0A48" w:rsidR="00F01996" w:rsidRPr="007E53B4" w:rsidRDefault="00F01996" w:rsidP="00F01996">
      <w:pPr>
        <w:autoSpaceDE w:val="0"/>
        <w:autoSpaceDN w:val="0"/>
        <w:adjustRightInd w:val="0"/>
        <w:spacing w:after="0" w:line="240" w:lineRule="auto"/>
        <w:jc w:val="center"/>
        <w:rPr>
          <w:sz w:val="24"/>
        </w:rPr>
      </w:pPr>
      <w:r>
        <w:rPr>
          <w:sz w:val="24"/>
        </w:rPr>
        <w:t>1. fejezet</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Hatály és fogalommeghatározások</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547F4F0" w:rsidR="00F01996" w:rsidRDefault="00945979" w:rsidP="00F01996">
      <w:pPr>
        <w:autoSpaceDE w:val="0"/>
        <w:autoSpaceDN w:val="0"/>
        <w:adjustRightInd w:val="0"/>
        <w:spacing w:after="0" w:line="240" w:lineRule="auto"/>
        <w:rPr>
          <w:rFonts w:eastAsia="TimesNewRomanPSMT" w:cstheme="minorHAnsi"/>
          <w:sz w:val="24"/>
          <w:szCs w:val="24"/>
        </w:rPr>
      </w:pPr>
      <w:r>
        <w:rPr>
          <w:b/>
          <w:sz w:val="24"/>
        </w:rPr>
        <w:t xml:space="preserve">§ </w:t>
      </w:r>
      <w:r w:rsidR="00F01996">
        <w:rPr>
          <w:b/>
          <w:sz w:val="24"/>
        </w:rPr>
        <w:t>1.</w:t>
      </w:r>
      <w:r>
        <w:rPr>
          <w:sz w:val="24"/>
        </w:rPr>
        <w:t xml:space="preserve"> </w:t>
      </w:r>
      <w:r w:rsidR="00F01996">
        <w:rPr>
          <w:sz w:val="24"/>
        </w:rPr>
        <w:t>Ez a rendelet a következőkre vonatkozik:</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olyan nikotint tartalmazó elektronikus cigaretták és utántöltő flakonok, amelyeket a Gyógyszertörvény szerinti forgalombahozatali engedély vagy az emberi felhasználásra szánt gyógyszerek engedélyezésére vonatkozó közösségi eljárásokat meghatározó uniós szabályok szerint nem engedélyeztek, vagy amelyeket orvostechnikai eszközként, az orvostechnikai eszközökről szóló rendelettel összhangban CE-jelöléssel láttak el, illetve</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nikotin nélküli elektronikus cigaretták és utántöltő flakonok.</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(2) bekezdés.</w:t>
      </w:r>
      <w:r>
        <w:rPr>
          <w:sz w:val="24"/>
        </w:rPr>
        <w:t xml:space="preserve"> § E rendelet alkalmazásában a következő fogalommeghatározások alkalmazandók:</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Elektronikus cigaretta: olyan termék, amely szopókán keresztül nikotintartalmú pára fogyasztását teszi lehetővé, vagy annak bármely alkotóeleme (beleértve a patronokat, az utántölthető tartályokat és a patron vagy utántölthető tartály nélküli készüléket is). Az elektronikus cigaretta lehet eldobható vagy utántölthető (utántöltő flakon és utántölthető tartály révén), vagy egyszer használatos patronokkal újratölthető.</w:t>
      </w:r>
    </w:p>
    <w:p w14:paraId="6488B9C0" w14:textId="69146F7B" w:rsidR="00F01996" w:rsidRDefault="00F01996" w:rsidP="00F01996">
      <w:pPr>
        <w:pStyle w:val="ListParagraph"/>
        <w:numPr>
          <w:ilvl w:val="0"/>
          <w:numId w:val="7"/>
        </w:numPr>
        <w:autoSpaceDE w:val="0"/>
        <w:autoSpaceDN w:val="0"/>
        <w:adjustRightInd w:val="0"/>
        <w:spacing w:after="0" w:line="240" w:lineRule="auto"/>
        <w:rPr>
          <w:sz w:val="24"/>
        </w:rPr>
      </w:pPr>
      <w:r>
        <w:rPr>
          <w:sz w:val="24"/>
        </w:rPr>
        <w:t>Utántöltő flakon: egy nikotin tartalmú, vagy nikotinmentes folyadékot tartalmazó tartály, amely a nikotinos vagy nikotinmentes elektronikus cigaretta utántöltésére használható.</w:t>
      </w:r>
    </w:p>
    <w:p w14:paraId="5005A989" w14:textId="77777777" w:rsidR="005749F1" w:rsidRPr="00350BF0" w:rsidRDefault="005749F1" w:rsidP="005749F1">
      <w:pPr>
        <w:pStyle w:val="ListParagraph"/>
        <w:autoSpaceDE w:val="0"/>
        <w:autoSpaceDN w:val="0"/>
        <w:adjustRightInd w:val="0"/>
        <w:spacing w:after="0" w:line="240" w:lineRule="auto"/>
        <w:rPr>
          <w:sz w:val="24"/>
        </w:rPr>
      </w:pP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77777777" w:rsidR="00F01996" w:rsidRPr="007E53B4" w:rsidRDefault="00F01996" w:rsidP="00F01996">
      <w:pPr>
        <w:autoSpaceDE w:val="0"/>
        <w:autoSpaceDN w:val="0"/>
        <w:adjustRightInd w:val="0"/>
        <w:spacing w:after="0" w:line="240" w:lineRule="auto"/>
        <w:jc w:val="center"/>
        <w:rPr>
          <w:sz w:val="24"/>
        </w:rPr>
      </w:pPr>
      <w:r>
        <w:rPr>
          <w:sz w:val="24"/>
        </w:rPr>
        <w:t>2. fejezet</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Reklámozás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2. </w:t>
      </w:r>
      <w:r>
        <w:rPr>
          <w:sz w:val="24"/>
        </w:rPr>
        <w:t>§ Tilos az elektronikus cigaretta és az utántöltő flakon bármilyen reklámozása, vö. az elektronikus cigarettákról stb. szóló törvény 16. § (1) bekezdése.</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(2) bekezdés. </w:t>
      </w:r>
      <w:r>
        <w:rPr>
          <w:sz w:val="24"/>
        </w:rPr>
        <w:t>Az (1) alszakaszban szereplő reklámtilalom magában foglalja az alábbiak tilalmát:</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Név, márka, szimbólum vagy elsősorban elektronikus cigarettákkal és utántöltő flakonokkal kapcsolatban ismert egyéb szimbólum használata más termékek és szolgáltatások reklámozása során.</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Elektronikus cigaretták és utántöltő flakonok forgalmazása olyan név, márka, szimbólum vagy más olyan jellemző segítségével, amely más áruk és szolgáltatások márkájaként ismert vagy használt.</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 xml:space="preserve">Elektronikus cigaretta és utántöltő flakonok forgalmazása </w:t>
      </w:r>
      <w:r>
        <w:rPr>
          <w:rFonts w:ascii="Calibri" w:hAnsi="Calibri"/>
          <w:color w:val="000000"/>
          <w:sz w:val="24"/>
        </w:rPr>
        <w:t>olyan nevek, márkák, szimbólumok, ábrák vagy hasonlók segítségével, amelyek elsősorban a 18 év alatti gyermekeket és fiatalokat célozzák.</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Konkrét elektronikus cigarettákhoz, valamint utántöltő flakonokhoz kapcsolódó elrendezés, kialakítás vagy egyedi színkombinációk.</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Felismerhető elektronikus cigaretták és utántöltő flakonok használata más termékek és szolgáltatások reklámozása során.</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64A2CBA6" w:rsidR="00350BF0" w:rsidRDefault="00F01996" w:rsidP="00F01996">
      <w:pPr>
        <w:autoSpaceDE w:val="0"/>
        <w:autoSpaceDN w:val="0"/>
        <w:adjustRightInd w:val="0"/>
        <w:spacing w:after="0" w:line="240" w:lineRule="auto"/>
        <w:rPr>
          <w:sz w:val="24"/>
        </w:rPr>
      </w:pPr>
      <w:r>
        <w:rPr>
          <w:i/>
          <w:sz w:val="24"/>
        </w:rPr>
        <w:t>(3)</w:t>
      </w:r>
      <w:r>
        <w:rPr>
          <w:sz w:val="24"/>
        </w:rPr>
        <w:t> bekezdés</w:t>
      </w:r>
      <w:r w:rsidR="00945979">
        <w:rPr>
          <w:sz w:val="24"/>
        </w:rPr>
        <w:t>.</w:t>
      </w:r>
      <w:r>
        <w:rPr>
          <w:sz w:val="24"/>
        </w:rPr>
        <w:t xml:space="preserve"> Azonban az (1) alszakaszban foglalt tilalom nem vonatkozik az alábbiakra:</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kizárólag az elektronikus cigaretták vagy utántöltő flakonok ágazatában dolgozó szakembereknek szánt sajtóban és más nyomtatott kiadványokban, valamint a harmadik országokban nyomtatott és közzétett kiadványokban való reklámozás, feltéve, hogy azokat nem elsősorban az uniós piacra szánják.</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Egy olyan név használata, amelyet 2016. június 7-e előtt mind elektronikus cigaretták, mind utántöltő flakonok, valamint egyéb áruk vagy szolgáltatások vonatkozásában használtak ezen egyéb termékek reklámozására, amennyiben a név olyan formában jelenik meg, amely egyértelműen különbözik attól, ahogyan a név az elektronikus cigarettán </w:t>
      </w:r>
      <w:r>
        <w:rPr>
          <w:rFonts w:ascii="Calibri" w:hAnsi="Calibri"/>
          <w:color w:val="000000"/>
          <w:sz w:val="24"/>
        </w:rPr>
        <w:t>és az utántöltő flakonon megjelenik</w:t>
      </w:r>
      <w:r>
        <w:rPr>
          <w:sz w:val="24"/>
        </w:rPr>
        <w:t>.</w:t>
      </w:r>
    </w:p>
    <w:p w14:paraId="6488B9D5" w14:textId="0445BD2C" w:rsidR="00F01996" w:rsidRPr="005749F1"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elektronikus cigarettákkal kapcsolatban ismert név használata más áruk és szolgáltatások reklámozása során, ha az egyéb árukat vagy szolgáltatásokat csak korlátozott földrajzi területen hozzák forgalomba.</w:t>
      </w:r>
    </w:p>
    <w:p w14:paraId="0276F0A5" w14:textId="77777777" w:rsidR="005749F1" w:rsidRPr="00350BF0" w:rsidRDefault="005749F1" w:rsidP="005749F1">
      <w:pPr>
        <w:pStyle w:val="ListParagraph"/>
        <w:autoSpaceDE w:val="0"/>
        <w:autoSpaceDN w:val="0"/>
        <w:adjustRightInd w:val="0"/>
        <w:spacing w:after="0" w:line="240" w:lineRule="auto"/>
        <w:rPr>
          <w:rFonts w:ascii="Calibri" w:hAnsi="Calibri" w:cs="Calibri"/>
          <w:color w:val="000000"/>
          <w:sz w:val="24"/>
          <w:szCs w:val="24"/>
        </w:rPr>
      </w:pP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293AD78C" w:rsidR="00F01996" w:rsidRPr="00202056" w:rsidRDefault="00F01996" w:rsidP="00F01996">
      <w:pPr>
        <w:autoSpaceDE w:val="0"/>
        <w:autoSpaceDN w:val="0"/>
        <w:adjustRightInd w:val="0"/>
        <w:spacing w:after="0" w:line="240" w:lineRule="auto"/>
        <w:jc w:val="center"/>
        <w:rPr>
          <w:sz w:val="24"/>
        </w:rPr>
      </w:pPr>
      <w:r>
        <w:rPr>
          <w:sz w:val="24"/>
        </w:rPr>
        <w:t xml:space="preserve">3. </w:t>
      </w:r>
      <w:r w:rsidR="00945979">
        <w:rPr>
          <w:sz w:val="24"/>
        </w:rPr>
        <w:t>fejezet</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A látható elhelyezés és megjelenítés tilalma fizikai értékesítési helyeken</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2FBCE610" w:rsidR="00F01996" w:rsidRPr="005124ED" w:rsidRDefault="00945979"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 </w:t>
      </w:r>
      <w:r w:rsidR="00F01996">
        <w:rPr>
          <w:b/>
          <w:sz w:val="24"/>
        </w:rPr>
        <w:t>3.</w:t>
      </w:r>
      <w:r w:rsidR="00F01996">
        <w:rPr>
          <w:sz w:val="24"/>
        </w:rPr>
        <w:t xml:space="preserve"> Tilos az elektronikus cigaretták és az utántöltő flakonok látható elhelyezése és megjelenítése az értékesítési helyeken, beleértve az internetet is</w:t>
      </w:r>
      <w:r w:rsidR="00F01996">
        <w:rPr>
          <w:rStyle w:val="tlid-translation"/>
          <w:color w:val="000000" w:themeColor="text1"/>
          <w:sz w:val="24"/>
        </w:rPr>
        <w:t>. A választék azonban a vevő előzetes kérésére bemutatható.</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(2) bekezdés. </w:t>
      </w:r>
      <w:r>
        <w:rPr>
          <w:sz w:val="24"/>
        </w:rPr>
        <w:t xml:space="preserve">Az (1) bekezdés hatálya alá tartozó termékekkel együtt történő felhasználásra szánt termékek szintén az (1) bekezdés szerinti tilalom hatálya alá tartoznak. </w:t>
      </w:r>
    </w:p>
    <w:p w14:paraId="6488B9DD" w14:textId="546B982A" w:rsidR="00F01996" w:rsidRDefault="00F01996" w:rsidP="00F01996">
      <w:pPr>
        <w:autoSpaceDE w:val="0"/>
        <w:autoSpaceDN w:val="0"/>
        <w:adjustRightInd w:val="0"/>
        <w:spacing w:after="0" w:line="240" w:lineRule="auto"/>
        <w:rPr>
          <w:sz w:val="24"/>
        </w:rPr>
      </w:pPr>
      <w:r>
        <w:rPr>
          <w:i/>
          <w:sz w:val="24"/>
        </w:rPr>
        <w:t>(3) bekezdés</w:t>
      </w:r>
      <w:r w:rsidR="00945979">
        <w:rPr>
          <w:i/>
          <w:sz w:val="24"/>
        </w:rPr>
        <w:t>.</w:t>
      </w:r>
      <w:r>
        <w:rPr>
          <w:sz w:val="24"/>
        </w:rPr>
        <w:t xml:space="preserve"> A (2) bekezdés szerinti tilalom magában foglalja többek között a töltőket, az üres utántöltő flakonokat, a csomagolást, az elemeket, illetve az aromákat. A (2) bekezdésben szereplő tilalom nem foglalja magában az általánosabb rendeltetésű termékeket, kivéve ha ezeket kifejezetten elektronikus cigarettákra és utántöltő flakonokra tekintettel tervezték vagy értékesítik.</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(4) bekezdés. </w:t>
      </w:r>
      <w:r>
        <w:rPr>
          <w:sz w:val="24"/>
        </w:rPr>
        <w:t>Az (1) és (2) bekezdésben foglalt tilalomnak megfelelően tilos:</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sz w:val="24"/>
        </w:rPr>
        <w:t xml:space="preserve">annak </w:t>
      </w:r>
      <w:r>
        <w:rPr>
          <w:rStyle w:val="tlid-translation"/>
          <w:color w:val="000000" w:themeColor="text1"/>
          <w:sz w:val="24"/>
        </w:rPr>
        <w:t>közvetlen vagy közvetett reklámozása vagy bejelentése</w:t>
      </w:r>
      <w:r>
        <w:rPr>
          <w:sz w:val="24"/>
        </w:rPr>
        <w:t xml:space="preserve">, hogy az </w:t>
      </w:r>
      <w:r>
        <w:rPr>
          <w:rStyle w:val="tlid-translation"/>
          <w:color w:val="000000" w:themeColor="text1"/>
          <w:sz w:val="24"/>
        </w:rPr>
        <w:t>értékesítési helyen</w:t>
      </w:r>
      <w:r>
        <w:rPr>
          <w:sz w:val="24"/>
        </w:rPr>
        <w:t xml:space="preserve"> elektromos cigarettát és utántöltő flakont értékesítenek,</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olyan szövegek, illusztrációk, képek, színek, logók, szimbólumok vagy más eszközök használata, amelyek a fogyasztóban azt a benyomást keltik, hogy az (1) és a (2) bekezdés hatálya alá tartozó termékekre vagy termékkategóriákra hivatkoznak, vagy amelyek azt a </w:t>
      </w:r>
      <w:r>
        <w:rPr>
          <w:rStyle w:val="tlid-translation"/>
          <w:color w:val="000000" w:themeColor="text1"/>
          <w:sz w:val="24"/>
        </w:rPr>
        <w:lastRenderedPageBreak/>
        <w:t xml:space="preserve">benyomást keltik, hogy ezek a termékek az egészségre nézve hasznosak, kevésbé károsak, mint más termékek, </w:t>
      </w:r>
      <w:r>
        <w:rPr>
          <w:sz w:val="24"/>
        </w:rPr>
        <w:t>segíthetnek a dohányzásról való leszokásban</w:t>
      </w:r>
      <w:r>
        <w:rPr>
          <w:rStyle w:val="tlid-translation"/>
          <w:color w:val="000000" w:themeColor="text1"/>
          <w:sz w:val="24"/>
        </w:rPr>
        <w:t xml:space="preserve">, vagy más jótékony hatással vagy előnyökkel bírnak, vagy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az ilyen termékek szín, egyedi megvilágítás vagy hasonlók segítségével történő, az értékesítési hely többi részével szembeni kiemelése.  </w:t>
      </w:r>
    </w:p>
    <w:p w14:paraId="6488B9E3" w14:textId="77777777" w:rsidR="00F01996" w:rsidRPr="00D819D9" w:rsidRDefault="00F01996" w:rsidP="00F01996">
      <w:pPr>
        <w:rPr>
          <w:rStyle w:val="tlid-translation"/>
          <w:rFonts w:cstheme="minorHAnsi"/>
          <w:color w:val="FF0000"/>
          <w:sz w:val="24"/>
          <w:szCs w:val="24"/>
        </w:rPr>
      </w:pP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77777777" w:rsidR="00F01996" w:rsidRPr="00202056" w:rsidRDefault="00F01996" w:rsidP="00F01996">
      <w:pPr>
        <w:autoSpaceDE w:val="0"/>
        <w:autoSpaceDN w:val="0"/>
        <w:adjustRightInd w:val="0"/>
        <w:spacing w:after="0" w:line="240" w:lineRule="auto"/>
        <w:jc w:val="center"/>
        <w:rPr>
          <w:sz w:val="24"/>
        </w:rPr>
      </w:pPr>
      <w:r>
        <w:rPr>
          <w:sz w:val="24"/>
        </w:rPr>
        <w:t>4. fejezet</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A termékekre és az árakra vonatkozó semleges információk a fizikai értékesítési helyeken</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9E2D310" w:rsidR="00F01996" w:rsidRPr="00202056" w:rsidRDefault="00945979" w:rsidP="00F01996">
      <w:pPr>
        <w:autoSpaceDE w:val="0"/>
        <w:autoSpaceDN w:val="0"/>
        <w:adjustRightInd w:val="0"/>
        <w:spacing w:after="0" w:line="240" w:lineRule="auto"/>
        <w:rPr>
          <w:sz w:val="24"/>
        </w:rPr>
      </w:pPr>
      <w:r>
        <w:rPr>
          <w:b/>
          <w:sz w:val="24"/>
        </w:rPr>
        <w:t xml:space="preserve">§ </w:t>
      </w:r>
      <w:r w:rsidR="00F01996">
        <w:rPr>
          <w:b/>
          <w:sz w:val="24"/>
        </w:rPr>
        <w:t xml:space="preserve">4. </w:t>
      </w:r>
      <w:r w:rsidR="00F01996">
        <w:rPr>
          <w:sz w:val="24"/>
        </w:rPr>
        <w:t>A fizikai értékesítési pontok semleges információkat tartalmazó listát adhatnak a vásárlónak arról, hogy mely elektronikus cigarettákat és utántöltő flakonokat értékesítik az értékesítési helyen, és semleges információkat adhatnak a termékek áráról.</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(2) bekezdés.</w:t>
      </w:r>
      <w:r>
        <w:rPr>
          <w:sz w:val="24"/>
        </w:rPr>
        <w:t xml:space="preserve"> Az (1) bekezdés szerint megengedett információk közé tartozik:</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a termék márkája és neve,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szám, súly, méret és térfogat, valamint</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az ár.</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(3) bekezdés. </w:t>
      </w:r>
      <w:r>
        <w:rPr>
          <w:sz w:val="24"/>
        </w:rPr>
        <w:t>A (2) bekezdésben lévő listán szereplő információkat fekete szöveggel kell megjeleníteni egy fehér A4-es, vagy annál kisebb papírlapon, amelyen a (4) bekezdésben foglaltakon kívül nem szerepelhetnek illusztrációk, képek, színek, logók, szimbólumok vagy más szöveg. A listán szereplő információk nem kaphatnak nagyobb hangsúlyt, és az információk:</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betűrendben jelennek meg a márka alapján,</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 következő sorrendben jelennek meg minden terméknél: Márka, a termék neve, szám, súly, térfogat és ár, valamint</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azonos betűtípussal és betűmérettel kell megjeleníteni. A betűméret nem haladhatja meg a 14 pontot.</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bekezdés. </w:t>
      </w:r>
      <w:r>
        <w:rPr>
          <w:sz w:val="24"/>
        </w:rPr>
        <w:t xml:space="preserve">A (3) bekezdés szerinti lista tartalmazza a Dán Egészségügyi Hatóság által készített grafikont az elektronikus cigaretta és az utántöltő tartályok értékesítésének korhatáráról, lásd az elektronikus cigarettákról stb. szóló törvény 15. § (1) bekezdését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(5) bekezdés. </w:t>
      </w:r>
      <w:r>
        <w:rPr>
          <w:sz w:val="24"/>
        </w:rPr>
        <w:t>A (3) bekezdés szerinti listán szereplő minden egyes termékhez sorszám rendelhető.</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(6) bekezdés.</w:t>
      </w:r>
      <w:r>
        <w:rPr>
          <w:sz w:val="24"/>
        </w:rPr>
        <w:t xml:space="preserve"> A (3) bekezdés szerinti lista a következő kategóriák közül egy vagy akár több szerint is felosztható: „Elektronikus cigaretták”, „Utántöltő flakonok”, „Elektronikus cigaretta kellékek” és „Egyebek”. A jegyzékben szereplő kategóriák nikotint tartalmazó és nem nikotintartalmú termékekre oszthatók fel. A kategóriákba való besorolásnak összhangban kell lennie az elektronikus cigarettákról stb. szóló törvényben az elektronikus cigarettára és az utántöltő flakonokra vonatkozóan meghatározott meghatározásokkal.</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B" w14:textId="27FA8B23" w:rsidR="00F01996" w:rsidRPr="005749F1" w:rsidRDefault="00F01996" w:rsidP="00F01996">
      <w:pPr>
        <w:autoSpaceDE w:val="0"/>
        <w:autoSpaceDN w:val="0"/>
        <w:adjustRightInd w:val="0"/>
        <w:spacing w:after="0" w:line="240" w:lineRule="auto"/>
        <w:rPr>
          <w:sz w:val="24"/>
        </w:rPr>
      </w:pPr>
      <w:r>
        <w:rPr>
          <w:i/>
          <w:sz w:val="24"/>
        </w:rPr>
        <w:t>(7) bekezdés.</w:t>
      </w:r>
      <w:r>
        <w:rPr>
          <w:sz w:val="24"/>
        </w:rPr>
        <w:t xml:space="preserve"> A (3) bekezdés szerinti listát a vevő kérésére meg lehet mutatni, vagy a személyzettel működtetett pénztárgépnél ki lehet helyezni.</w:t>
      </w:r>
    </w:p>
    <w:p w14:paraId="6488B9FC" w14:textId="77777777" w:rsidR="00F01996" w:rsidRPr="00202056" w:rsidRDefault="00F01996" w:rsidP="00F01996">
      <w:pPr>
        <w:autoSpaceDE w:val="0"/>
        <w:autoSpaceDN w:val="0"/>
        <w:adjustRightInd w:val="0"/>
        <w:spacing w:after="0" w:line="240" w:lineRule="auto"/>
        <w:jc w:val="center"/>
        <w:rPr>
          <w:sz w:val="24"/>
        </w:rPr>
      </w:pPr>
      <w:r>
        <w:rPr>
          <w:sz w:val="24"/>
        </w:rPr>
        <w:lastRenderedPageBreak/>
        <w:t>5. fejezet</w:t>
      </w:r>
    </w:p>
    <w:p w14:paraId="6488B9FD" w14:textId="77777777" w:rsidR="00F01996" w:rsidRPr="00202056" w:rsidRDefault="00F01996" w:rsidP="00F01996">
      <w:pPr>
        <w:jc w:val="center"/>
        <w:rPr>
          <w:i/>
          <w:sz w:val="24"/>
        </w:rPr>
      </w:pPr>
      <w:r>
        <w:rPr>
          <w:i/>
          <w:sz w:val="24"/>
        </w:rPr>
        <w:t>Online és digitális megoldások útján történő értékesítés</w:t>
      </w:r>
    </w:p>
    <w:p w14:paraId="6488B9FE" w14:textId="1A3036F8" w:rsidR="00F01996" w:rsidRPr="005124ED" w:rsidRDefault="00945979" w:rsidP="00F01996">
      <w:pPr>
        <w:autoSpaceDE w:val="0"/>
        <w:autoSpaceDN w:val="0"/>
        <w:adjustRightInd w:val="0"/>
        <w:spacing w:after="0" w:line="240" w:lineRule="auto"/>
        <w:rPr>
          <w:rFonts w:cstheme="minorHAnsi"/>
          <w:i/>
          <w:sz w:val="24"/>
          <w:szCs w:val="24"/>
        </w:rPr>
      </w:pPr>
      <w:r>
        <w:rPr>
          <w:b/>
          <w:sz w:val="24"/>
        </w:rPr>
        <w:t xml:space="preserve">§ </w:t>
      </w:r>
      <w:r w:rsidR="00F01996">
        <w:rPr>
          <w:b/>
          <w:sz w:val="24"/>
        </w:rPr>
        <w:t>5.</w:t>
      </w:r>
      <w:r w:rsidR="00F01996">
        <w:rPr>
          <w:sz w:val="24"/>
        </w:rPr>
        <w:t xml:space="preserve"> A 3. § (1)-(3) bekezdése szerinti, az elektronikus cigaretták és utántöltő flakonok látható elhelyezésének és megjelenítésének tilalma az online és a digitális megoldásokkal történő értékesítésre is alkalmazandó, például a kiskereskedői honlapokra, az internetes üzletekre, a cégek honlapjaira, valamint a közösségi médiában és alkalmazásokban megjelenő céges oldalakra, amik fogyasztókat céloznak, vagy azok számára értékesítenek.</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(2) bekezdés. </w:t>
      </w:r>
      <w:r>
        <w:rPr>
          <w:sz w:val="24"/>
        </w:rPr>
        <w:t xml:space="preserve">Az (1) bekezdés szerinti értékesítési pontok semleges információkat adhatnak a vásárlónak arról, hogy mely elektronikus cigarettákat és utántöltő flakonokat értékesítik az értékesítési helyen, akárcsak a termékek áráról. Ezen túlmenően a termékek csomagolásán olyan információkat, illetve műszaki adatokat is fel lehet tüntetni, amelyek lehetővé teszik a vevő számára annak értékelését, hogy a termék mely egyéb termékekkel kompatibilis.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5DD43544" w:rsidR="00F01996" w:rsidRDefault="00F01996" w:rsidP="00F01996">
      <w:pPr>
        <w:autoSpaceDE w:val="0"/>
        <w:autoSpaceDN w:val="0"/>
        <w:adjustRightInd w:val="0"/>
        <w:spacing w:after="0" w:line="240" w:lineRule="auto"/>
        <w:rPr>
          <w:rFonts w:cstheme="minorHAnsi"/>
          <w:sz w:val="24"/>
          <w:szCs w:val="24"/>
        </w:rPr>
      </w:pPr>
      <w:r>
        <w:rPr>
          <w:i/>
          <w:sz w:val="24"/>
        </w:rPr>
        <w:t>(3) bekezdés</w:t>
      </w:r>
      <w:r w:rsidR="00945979">
        <w:rPr>
          <w:i/>
          <w:sz w:val="24"/>
        </w:rPr>
        <w:t>.</w:t>
      </w:r>
      <w:r>
        <w:rPr>
          <w:sz w:val="24"/>
        </w:rPr>
        <w:t xml:space="preserve"> A (2) bekezdésben említett információk nem kelthetik azt a benyomást, hogy az elektronikus cigaretták vagy az utántöltő flakonokban lévő folyadékok egészségügyi előnyökkel járnak, kevésbé károsak, mint más termékek, vagy más kedvező hatással vagy előnyökkel járnak.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310C63AC" w:rsidR="00F01996" w:rsidRDefault="00F01996" w:rsidP="00F01996">
      <w:pPr>
        <w:pStyle w:val="CommentText"/>
        <w:spacing w:after="0"/>
        <w:rPr>
          <w:rFonts w:cstheme="minorHAnsi"/>
          <w:sz w:val="24"/>
          <w:szCs w:val="24"/>
        </w:rPr>
      </w:pPr>
      <w:r>
        <w:rPr>
          <w:i/>
          <w:sz w:val="24"/>
        </w:rPr>
        <w:t>(4) bekezdés</w:t>
      </w:r>
      <w:r w:rsidR="00945979">
        <w:rPr>
          <w:i/>
          <w:sz w:val="24"/>
        </w:rPr>
        <w:t>.</w:t>
      </w:r>
      <w:r>
        <w:rPr>
          <w:sz w:val="24"/>
        </w:rPr>
        <w:t xml:space="preserve"> A (2) bekezdésben említett információk nem tüntethetők fel az értékesítési hely homlokzatán, de az „Elektronikus cigaretta”, az „Utántöltő flakonok”, az „Elektronikus cigaretta kellékek” és az „Egyéb” kategória feltüntethető. A kategóriák nikotint tartalmazó és nem nikotintartalmú termékekre oszthatók fel.</w:t>
      </w:r>
    </w:p>
    <w:p w14:paraId="6488BA05" w14:textId="43587B86" w:rsidR="00F01996" w:rsidRDefault="00F01996" w:rsidP="00F01996">
      <w:pPr>
        <w:pStyle w:val="CommentText"/>
        <w:spacing w:after="0"/>
        <w:rPr>
          <w:rFonts w:cstheme="minorHAnsi"/>
          <w:sz w:val="24"/>
          <w:szCs w:val="24"/>
        </w:rPr>
      </w:pPr>
      <w:r>
        <w:rPr>
          <w:sz w:val="24"/>
        </w:rPr>
        <w:br/>
      </w:r>
      <w:r>
        <w:rPr>
          <w:i/>
          <w:sz w:val="24"/>
        </w:rPr>
        <w:t>(5) bekezdés</w:t>
      </w:r>
      <w:r w:rsidR="00945979">
        <w:rPr>
          <w:i/>
          <w:sz w:val="24"/>
        </w:rPr>
        <w:t>.</w:t>
      </w:r>
      <w:r>
        <w:rPr>
          <w:i/>
          <w:sz w:val="24"/>
        </w:rPr>
        <w:t xml:space="preserve"> </w:t>
      </w:r>
      <w:r>
        <w:rPr>
          <w:sz w:val="24"/>
        </w:rPr>
        <w:t>A (2) bekezdésben foglalt információk nem jeleníthetők meg illusztrációkkal, képekkel, színekkel, logókkal, szimbólumokkal vagy más szövegekkel, ill. azok kíséretében. Semmilyen információt nem szabad kiemelni, vagy feltűnővé tenni, és az információt ugyanolyan betűszínnel, betűtípussal és betűmérettel kell megjeleníteni, mint amelyet általában a termékeknek a weboldalon történő bemutatásakor használnak.</w:t>
      </w:r>
    </w:p>
    <w:p w14:paraId="6488BA06" w14:textId="77777777" w:rsidR="00F01996" w:rsidRPr="005124ED" w:rsidRDefault="00F01996" w:rsidP="00F01996">
      <w:pPr>
        <w:pStyle w:val="CommentText"/>
        <w:spacing w:after="0"/>
      </w:pPr>
    </w:p>
    <w:p w14:paraId="6488BA07" w14:textId="3487ACCE" w:rsidR="00F01996" w:rsidRPr="005124ED" w:rsidRDefault="00F01996" w:rsidP="00F01996">
      <w:pPr>
        <w:autoSpaceDE w:val="0"/>
        <w:autoSpaceDN w:val="0"/>
        <w:adjustRightInd w:val="0"/>
        <w:spacing w:after="0" w:line="240" w:lineRule="auto"/>
        <w:rPr>
          <w:rFonts w:cstheme="minorHAnsi"/>
          <w:sz w:val="24"/>
          <w:szCs w:val="24"/>
        </w:rPr>
      </w:pPr>
      <w:r>
        <w:rPr>
          <w:i/>
          <w:sz w:val="24"/>
        </w:rPr>
        <w:t>(6) bekezdés</w:t>
      </w:r>
      <w:r w:rsidR="00945979">
        <w:rPr>
          <w:i/>
          <w:sz w:val="24"/>
        </w:rPr>
        <w:t>.</w:t>
      </w:r>
      <w:r>
        <w:rPr>
          <w:sz w:val="24"/>
        </w:rPr>
        <w:t xml:space="preserve"> Az (5) bekezdésben említett tilalom nem terjed ki a „kosárba” szimbólumra vagy a weboldal működésével és a web-hozzáférhetőség biztosításával kapcsolatos egyéb kérdésekre.</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53FD2E9B" w:rsidR="00F01996" w:rsidRPr="00202056" w:rsidRDefault="00F01996" w:rsidP="00F01996">
      <w:pPr>
        <w:autoSpaceDE w:val="0"/>
        <w:autoSpaceDN w:val="0"/>
        <w:adjustRightInd w:val="0"/>
        <w:spacing w:after="0" w:line="240" w:lineRule="auto"/>
        <w:rPr>
          <w:sz w:val="24"/>
        </w:rPr>
      </w:pPr>
      <w:r>
        <w:rPr>
          <w:i/>
          <w:sz w:val="24"/>
        </w:rPr>
        <w:t>(7) bekezdés</w:t>
      </w:r>
      <w:r w:rsidR="00945979">
        <w:rPr>
          <w:i/>
          <w:sz w:val="24"/>
        </w:rPr>
        <w:t>.</w:t>
      </w:r>
      <w:r>
        <w:rPr>
          <w:sz w:val="24"/>
        </w:rPr>
        <w:t xml:space="preserve"> Az (1) bekezdés hatálya alá tartozó értékesítési helyek nem biztosíthatnak lehetőséget az ügyfelek vagy az oldal látogatói számára arra, hogy az (1) bekezdés hatálya alá tartozó termékekről véleményt, értékelést vagy hasonlót adhassanak, ha a vélemény stb. bármilyen módon láthatóvá vagy hozzáférhetővé válik a vélemény írója vagy a termékeket árusító értékesítési helynél alkalmazásban nem álló személyek számára.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32F1CCFF" w:rsidR="00F01996" w:rsidRPr="005124ED" w:rsidRDefault="00F01996" w:rsidP="00F01996">
      <w:pPr>
        <w:autoSpaceDE w:val="0"/>
        <w:autoSpaceDN w:val="0"/>
        <w:adjustRightInd w:val="0"/>
        <w:spacing w:after="0" w:line="240" w:lineRule="auto"/>
        <w:rPr>
          <w:rFonts w:cstheme="minorHAnsi"/>
          <w:sz w:val="24"/>
          <w:szCs w:val="24"/>
        </w:rPr>
      </w:pPr>
      <w:r>
        <w:rPr>
          <w:i/>
          <w:sz w:val="24"/>
        </w:rPr>
        <w:t>(8) bekezdés</w:t>
      </w:r>
      <w:r w:rsidR="00945979">
        <w:rPr>
          <w:i/>
          <w:sz w:val="24"/>
        </w:rPr>
        <w:t>.</w:t>
      </w:r>
      <w:r>
        <w:rPr>
          <w:i/>
          <w:sz w:val="24"/>
        </w:rPr>
        <w:t xml:space="preserve"> </w:t>
      </w:r>
      <w:r>
        <w:rPr>
          <w:sz w:val="24"/>
        </w:rPr>
        <w:t xml:space="preserve">Az (1) bekezdés hatálya alá tartozó értékesítési pontoknak biztosítaniuk kell, hogy a termék kiválasztása előtt a vevőnek a Dán Egészségügyi és Gyógyszerészeti Hatóság által készített, az elektronikus cigaretták és utántöltő flakonok értékesítésére vonatkozó korhatárt feltüntető grafikus képe legyen, lásd az elektronikus cigarettáról szóló törvény 15. §-ának (1) bekezdését stb. </w:t>
      </w: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46B80A8E" w14:textId="77777777" w:rsidR="00945979" w:rsidRDefault="00945979" w:rsidP="00F01996">
      <w:pPr>
        <w:autoSpaceDE w:val="0"/>
        <w:autoSpaceDN w:val="0"/>
        <w:adjustRightInd w:val="0"/>
        <w:spacing w:after="0" w:line="240" w:lineRule="auto"/>
        <w:jc w:val="center"/>
        <w:rPr>
          <w:sz w:val="24"/>
        </w:rPr>
      </w:pPr>
    </w:p>
    <w:p w14:paraId="63AFA535" w14:textId="77777777" w:rsidR="00945979" w:rsidRDefault="00945979" w:rsidP="00F01996">
      <w:pPr>
        <w:autoSpaceDE w:val="0"/>
        <w:autoSpaceDN w:val="0"/>
        <w:adjustRightInd w:val="0"/>
        <w:spacing w:after="0" w:line="240" w:lineRule="auto"/>
        <w:jc w:val="center"/>
        <w:rPr>
          <w:sz w:val="24"/>
        </w:rPr>
      </w:pPr>
    </w:p>
    <w:p w14:paraId="6488BA0D" w14:textId="1D79C60D" w:rsidR="00F01996" w:rsidRPr="00202056" w:rsidRDefault="00F01996" w:rsidP="00F01996">
      <w:pPr>
        <w:autoSpaceDE w:val="0"/>
        <w:autoSpaceDN w:val="0"/>
        <w:adjustRightInd w:val="0"/>
        <w:spacing w:after="0" w:line="240" w:lineRule="auto"/>
        <w:jc w:val="center"/>
        <w:rPr>
          <w:sz w:val="24"/>
        </w:rPr>
      </w:pPr>
      <w:r>
        <w:rPr>
          <w:sz w:val="24"/>
        </w:rPr>
        <w:lastRenderedPageBreak/>
        <w:t>6. fejezet</w:t>
      </w:r>
    </w:p>
    <w:p w14:paraId="6488BA0E" w14:textId="77777777" w:rsidR="00F01996" w:rsidRPr="00202056" w:rsidRDefault="00F01996" w:rsidP="00F01996">
      <w:pPr>
        <w:spacing w:line="240" w:lineRule="auto"/>
        <w:jc w:val="center"/>
        <w:rPr>
          <w:i/>
          <w:sz w:val="24"/>
        </w:rPr>
      </w:pPr>
      <w:r>
        <w:rPr>
          <w:i/>
          <w:sz w:val="24"/>
        </w:rPr>
        <w:t xml:space="preserve">Elektronikus cigaretták és utántöltő flakonok értékesítésére szakosodott fizikai értékesítési helyek </w:t>
      </w:r>
    </w:p>
    <w:p w14:paraId="6488BA0F" w14:textId="5F15CE7C" w:rsidR="00F01996" w:rsidRPr="005124ED" w:rsidRDefault="00945979" w:rsidP="00F01996">
      <w:pPr>
        <w:autoSpaceDE w:val="0"/>
        <w:autoSpaceDN w:val="0"/>
        <w:adjustRightInd w:val="0"/>
        <w:spacing w:after="0" w:line="240" w:lineRule="auto"/>
        <w:rPr>
          <w:rFonts w:eastAsia="TimesNewRomanPSMT" w:cstheme="minorHAnsi"/>
          <w:sz w:val="24"/>
          <w:szCs w:val="24"/>
        </w:rPr>
      </w:pPr>
      <w:r>
        <w:rPr>
          <w:b/>
          <w:sz w:val="24"/>
        </w:rPr>
        <w:t xml:space="preserve">§ </w:t>
      </w:r>
      <w:r w:rsidR="00F01996">
        <w:rPr>
          <w:b/>
          <w:sz w:val="24"/>
        </w:rPr>
        <w:t xml:space="preserve">6. </w:t>
      </w:r>
      <w:r w:rsidR="00F01996">
        <w:rPr>
          <w:sz w:val="24"/>
        </w:rPr>
        <w:t xml:space="preserve">A látható elhelyezés és megjelenítés 3. § (1) és (2) bekezdése szerinti tilalma nem vonatkozik az elektronikus cigaretták és utántöltő flakonok értékesítésére olyan fizikai értékesítési helyeken, amelyek e termékek értékesítésére szakosodtak.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(2) bekezdés.</w:t>
      </w:r>
      <w:r>
        <w:rPr>
          <w:sz w:val="24"/>
        </w:rPr>
        <w:t xml:space="preserve"> Az (1) bekezdés szerinti értékesítési hely akkor tekinthető elektronikus cigaretták és nikotinos valamint nikotinmentes utántöltő flakonok értékesítésére szakosodottnak, </w:t>
      </w:r>
      <w:r>
        <w:rPr>
          <w:rFonts w:ascii="Calibri" w:hAnsi="Calibri"/>
          <w:color w:val="000000"/>
          <w:sz w:val="24"/>
        </w:rPr>
        <w:t>ha az értékesítési hely kizárólag vagy főleg elektronikus cigarettákat és nikotinos valamint nikotinmentes utántöltő flakonokat értékesít.</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(3) bekezdés.</w:t>
      </w:r>
      <w:r>
        <w:rPr>
          <w:sz w:val="24"/>
        </w:rPr>
        <w:t xml:space="preserve"> Az (1) bekezdés szerinti látható elhelyezés és megjelenítés tilalma alóli mentesség csak az elektronikus cigarettákra és az utántöltő flakonokra vonatkozik. Ha az értékesítési hely más termékeket vagy dohánytermékeket, dohánypótlókat vagy dohányzási célú gyógynövénytermékeket árusít, ezekre a jelen rendelet 3. §-ának (1) és (2) bekezdései, illetve 4. §-ának termékekről és árakról szóló semleges információkra vonatkozó szabályai</w:t>
      </w:r>
      <w:r>
        <w:rPr>
          <w:i/>
          <w:sz w:val="24"/>
        </w:rPr>
        <w:t xml:space="preserve"> </w:t>
      </w:r>
      <w:r>
        <w:rPr>
          <w:sz w:val="24"/>
        </w:rPr>
        <w:t>, vagy a dohánytermékek, dohánypótlók és dohányzási célú gyógynövénytermékek reklámozásának, látható elhelyezésének és megjelenítésének stb. tilalmáról szóló rendelet 2. §-ának (1) és (2) bekezdései, illetve 3. §-a szerinti tilalom vonatkozik.</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bekezdés. </w:t>
      </w:r>
      <w:r>
        <w:rPr>
          <w:sz w:val="24"/>
        </w:rPr>
        <w:t xml:space="preserve">Ha az (1) bekezdés szerinti értékesítési hely digitális megoldásokon keresztül értékesít elektronikus cigarettákat és utántöltő flakonokat (például kiskereskedői honlapokon, internetes üzletekben, céges honlapokon, valamint a közösségi médiában és alkalmazásokban található céges oldalakon), erről az 5. § rendelkezik.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(5) bekezdés.</w:t>
      </w:r>
      <w:r>
        <w:rPr>
          <w:color w:val="000000" w:themeColor="text1"/>
          <w:sz w:val="24"/>
        </w:rPr>
        <w:t xml:space="preserve"> Az (1) bekezdés szerinti fizikai értékesítési hely nem engedélyezheti az elektronikus cigaretták és utántöltő flakonok reklámozását az értékesítési helyen, a kirakatban vagy a bolt homlokzatán, a (6) bekezdésben foglaltak kivételével. Ez a következőket foglalja magában:</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az a helyzet, amikor nem lehetnek olyan elemek, többek között a termékek körül, amelyek promóciós hatást fejthetnek ki, mint például a különleges világítás, a színek használata vagy más olyan hatások, amelyek egyébként kiemelnek egy adott terméket, kereskedelmi nevet, árat vagy az elektronikus cigaretták és utántöltő flakonok egyéb jellemzőit; vagy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szöveggel, illusztrációkkal, képekkel, színekkel, logókkal, szimbólumokkal vagy más eszközökkel olyan benyomás keltése a vevőben</w:t>
      </w:r>
      <w:r>
        <w:rPr>
          <w:rStyle w:val="tlid-translation"/>
          <w:color w:val="000000" w:themeColor="text1"/>
          <w:sz w:val="24"/>
        </w:rPr>
        <w:t xml:space="preserve">, hogy egy vagy több termék előnyös az egészségre, kevésbé káros, mint más termékek, </w:t>
      </w:r>
      <w:r>
        <w:rPr>
          <w:sz w:val="24"/>
        </w:rPr>
        <w:t>segít a dohányzásról való leszokásban</w:t>
      </w:r>
      <w:r>
        <w:rPr>
          <w:rStyle w:val="tlid-translation"/>
          <w:color w:val="000000" w:themeColor="text1"/>
          <w:sz w:val="24"/>
        </w:rPr>
        <w:t xml:space="preserve">, vagy más módon fejt ki jótékony hatást vagy előnyt. </w:t>
      </w:r>
    </w:p>
    <w:p w14:paraId="6488BA1C" w14:textId="6461BCD7" w:rsidR="00F01996" w:rsidRPr="00B6712B" w:rsidRDefault="00F01996" w:rsidP="00F01996">
      <w:pPr>
        <w:autoSpaceDE w:val="0"/>
        <w:autoSpaceDN w:val="0"/>
        <w:adjustRightInd w:val="0"/>
        <w:spacing w:after="0" w:line="240" w:lineRule="auto"/>
        <w:rPr>
          <w:sz w:val="24"/>
        </w:rPr>
      </w:pPr>
      <w:r>
        <w:rPr>
          <w:i/>
          <w:sz w:val="24"/>
        </w:rPr>
        <w:t>(6) bekezdés</w:t>
      </w:r>
      <w:r w:rsidR="00945979">
        <w:rPr>
          <w:i/>
          <w:sz w:val="24"/>
        </w:rPr>
        <w:t>.</w:t>
      </w:r>
      <w:r>
        <w:rPr>
          <w:sz w:val="24"/>
        </w:rPr>
        <w:t xml:space="preserve"> Az (1) bekezdés szerinti fizikai értékesítési hely nevét semleges kivitelben kell feltüntetni a fizikai boltban és a bolt homlokzatán. Magának a névnek nem lehet reklámhatása, illetve nem tűnhet ki, de tartalmazhatja az „elektronikus cigaretták” kifejezést, vagy semleges módon utalhat az elektronikus cigarettára.</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(7) bekezdés.</w:t>
      </w:r>
      <w:r>
        <w:rPr>
          <w:sz w:val="24"/>
        </w:rPr>
        <w:t xml:space="preserve"> Az (1) alszakasz szerinti, a látható elhelyezés és megjelenítés tilalma alóli mentesség nem ad lehetőséget az értékesítési helynek arra, hogy az elektronikus cigarettákat és az utántöltő </w:t>
      </w:r>
      <w:r>
        <w:rPr>
          <w:sz w:val="24"/>
        </w:rPr>
        <w:lastRenderedPageBreak/>
        <w:t>flakonokat az értékesítési helytől eltérő helyeken látható módon elhelyezze és megjelenítse, vagy reklám céljából szórólapokat és ingyenes termékeket terjesszen stb.</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7. fejezet</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Önkiszolgáló automaták</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bookmarkStart w:id="0" w:name="_Hlk90283287"/>
      <w:r>
        <w:rPr>
          <w:b/>
          <w:sz w:val="24"/>
        </w:rPr>
        <w:t>§</w:t>
      </w:r>
      <w:bookmarkEnd w:id="0"/>
      <w:r>
        <w:rPr>
          <w:b/>
          <w:sz w:val="24"/>
        </w:rPr>
        <w:t xml:space="preserve"> 7</w:t>
      </w:r>
      <w:r>
        <w:rPr>
          <w:sz w:val="24"/>
        </w:rPr>
        <w:t>. Azon önkiszolgáló gépek, amelyek elektronikus cigaretták és utántöltő tartályok kiadására szolgálnak a személyzet által működtetett pénztárgépnél történő értékesítést követően, semleges módon kell kialakítani A gépen a márkát, a terméknevet és az árakat tartalmazó információkat fekete betűvel kell megjeleníteni, fehér alapon.</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(2) bekezdés.</w:t>
      </w:r>
      <w:r>
        <w:rPr>
          <w:sz w:val="24"/>
        </w:rPr>
        <w:t xml:space="preserve"> Az (1) bekezdés hatálya alá tartozó gépek:</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nem használhatnak márkára vagy cégnévre utaló címkét vagy e termékekre vonatkozó egyéb elemet, beleértve a termék képét is,</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nem emelhetnek ki információkat, és</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nem használhatnak olyan szöveget, illusztrációkat, képeket, színeket, logókat, szimbólumokat vagy más eszközöket, amelyek a vásárlóban azt a benyomást keltik, hogy az adott gépből eladott termékek az egészségre nézve hasznosak, kevésbé károsak, mint más termékek, segíthetnek a dohányzásról való leszokásban, vagy más jótékony hatásokkal vagy előnyökkel bírnak.</w:t>
      </w: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8. fejezet</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Szankciók</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407B5E44" w:rsidR="00F01996" w:rsidRPr="00B6712B" w:rsidRDefault="00945979" w:rsidP="00F01996">
      <w:pPr>
        <w:autoSpaceDE w:val="0"/>
        <w:autoSpaceDN w:val="0"/>
        <w:adjustRightInd w:val="0"/>
        <w:spacing w:after="0" w:line="240" w:lineRule="auto"/>
        <w:rPr>
          <w:sz w:val="24"/>
        </w:rPr>
      </w:pPr>
      <w:r>
        <w:rPr>
          <w:b/>
          <w:sz w:val="24"/>
        </w:rPr>
        <w:t xml:space="preserve">§ </w:t>
      </w:r>
      <w:r w:rsidR="00F01996">
        <w:rPr>
          <w:b/>
          <w:sz w:val="24"/>
        </w:rPr>
        <w:t xml:space="preserve">8. </w:t>
      </w:r>
      <w:r w:rsidR="00F01996">
        <w:rPr>
          <w:sz w:val="24"/>
        </w:rPr>
        <w:t>Amennyiben más jogszabály súlyosabb szankcióról nem rendelkezik, bírsággal sújtandó az a személy, aki megsérti a 2. és 3. szakasz szerinti tilalmat, illetve a 4–7. szakaszokban foglalt rendelkezéseket.</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2E8A4E91" w14:textId="71489673" w:rsidR="005749F1" w:rsidRDefault="00F01996" w:rsidP="00F01996">
      <w:pPr>
        <w:autoSpaceDE w:val="0"/>
        <w:autoSpaceDN w:val="0"/>
        <w:adjustRightInd w:val="0"/>
        <w:spacing w:after="0" w:line="240" w:lineRule="auto"/>
        <w:rPr>
          <w:sz w:val="24"/>
        </w:rPr>
      </w:pPr>
      <w:r>
        <w:rPr>
          <w:i/>
          <w:sz w:val="24"/>
        </w:rPr>
        <w:t xml:space="preserve">(2) bekezdés. </w:t>
      </w:r>
      <w:r>
        <w:rPr>
          <w:sz w:val="24"/>
        </w:rPr>
        <w:t>(jogi személyek) a büntető törvénykönyv [Straffeloven] 5. fejezetének rendelkezései alapján büntetőjogi felelősségre vonhatók.</w:t>
      </w:r>
    </w:p>
    <w:p w14:paraId="08C0AE25" w14:textId="77777777" w:rsidR="005749F1" w:rsidRPr="00B6712B" w:rsidRDefault="005749F1" w:rsidP="00F01996">
      <w:pPr>
        <w:autoSpaceDE w:val="0"/>
        <w:autoSpaceDN w:val="0"/>
        <w:adjustRightInd w:val="0"/>
        <w:spacing w:after="0" w:line="240" w:lineRule="auto"/>
        <w:rPr>
          <w:sz w:val="24"/>
        </w:rPr>
      </w:pPr>
    </w:p>
    <w:p w14:paraId="6488BA33" w14:textId="77777777" w:rsidR="00F01996" w:rsidRPr="00B6712B" w:rsidRDefault="00F01996" w:rsidP="00F01996">
      <w:pPr>
        <w:autoSpaceDE w:val="0"/>
        <w:autoSpaceDN w:val="0"/>
        <w:adjustRightInd w:val="0"/>
        <w:spacing w:after="0" w:line="240" w:lineRule="auto"/>
        <w:jc w:val="center"/>
        <w:rPr>
          <w:sz w:val="24"/>
        </w:rPr>
      </w:pPr>
      <w:r>
        <w:rPr>
          <w:sz w:val="24"/>
        </w:rPr>
        <w:t>9. fejezet</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Hatálybalépés</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1B72DE01" w:rsidR="00F01996" w:rsidRPr="00B6712B" w:rsidRDefault="00945979" w:rsidP="00F01996">
      <w:pPr>
        <w:autoSpaceDE w:val="0"/>
        <w:autoSpaceDN w:val="0"/>
        <w:adjustRightInd w:val="0"/>
        <w:spacing w:after="0" w:line="240" w:lineRule="auto"/>
        <w:rPr>
          <w:sz w:val="24"/>
        </w:rPr>
      </w:pPr>
      <w:r>
        <w:rPr>
          <w:b/>
          <w:sz w:val="24"/>
        </w:rPr>
        <w:t xml:space="preserve">§ </w:t>
      </w:r>
      <w:r w:rsidR="00F01996">
        <w:rPr>
          <w:b/>
          <w:sz w:val="24"/>
        </w:rPr>
        <w:t xml:space="preserve">9. </w:t>
      </w:r>
      <w:r w:rsidR="00F01996">
        <w:rPr>
          <w:sz w:val="24"/>
        </w:rPr>
        <w:t xml:space="preserve">Ez a rendelet 2021. április 1-jén lép hatályba.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Egészségügyi Minisztérium, 2021. január 15.</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Magnus Heunicke</w:t>
      </w:r>
    </w:p>
    <w:p w14:paraId="6488BA47" w14:textId="6B17169F" w:rsidR="00BD2828" w:rsidRPr="00945979" w:rsidRDefault="00F01996" w:rsidP="00945979">
      <w:pPr>
        <w:autoSpaceDE w:val="0"/>
        <w:autoSpaceDN w:val="0"/>
        <w:adjustRightInd w:val="0"/>
        <w:spacing w:after="0" w:line="240" w:lineRule="auto"/>
        <w:ind w:left="2608" w:firstLine="1304"/>
        <w:jc w:val="center"/>
        <w:rPr>
          <w:sz w:val="24"/>
        </w:rPr>
      </w:pPr>
      <w:r>
        <w:rPr>
          <w:sz w:val="24"/>
        </w:rPr>
        <w:t>/ Mie Saabye</w:t>
      </w:r>
    </w:p>
    <w:sectPr w:rsidR="00BD2828" w:rsidRPr="0094597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DD55" w14:textId="77777777" w:rsidR="007912BF" w:rsidRDefault="007912BF" w:rsidP="00350BF0">
      <w:pPr>
        <w:spacing w:after="0" w:line="240" w:lineRule="auto"/>
      </w:pPr>
      <w:r>
        <w:separator/>
      </w:r>
    </w:p>
  </w:endnote>
  <w:endnote w:type="continuationSeparator" w:id="0">
    <w:p w14:paraId="7EDAD76B" w14:textId="77777777" w:rsidR="007912BF" w:rsidRDefault="007912BF"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BF5D6" w14:textId="77777777" w:rsidR="007912BF" w:rsidRDefault="007912BF" w:rsidP="00350BF0">
      <w:pPr>
        <w:spacing w:after="0" w:line="240" w:lineRule="auto"/>
      </w:pPr>
      <w:r>
        <w:separator/>
      </w:r>
    </w:p>
  </w:footnote>
  <w:footnote w:type="continuationSeparator" w:id="0">
    <w:p w14:paraId="0CBF9215" w14:textId="77777777" w:rsidR="007912BF" w:rsidRDefault="007912BF"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3345F5"/>
    <w:rsid w:val="00350BF0"/>
    <w:rsid w:val="0037143F"/>
    <w:rsid w:val="005749F1"/>
    <w:rsid w:val="007912BF"/>
    <w:rsid w:val="007E4503"/>
    <w:rsid w:val="007F49CF"/>
    <w:rsid w:val="008B795A"/>
    <w:rsid w:val="00945979"/>
    <w:rsid w:val="00B21D4C"/>
    <w:rsid w:val="00BC77E7"/>
    <w:rsid w:val="00BD5461"/>
    <w:rsid w:val="00BE0E06"/>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1979</Words>
  <Characters>13461</Characters>
  <Application>Microsoft Office Word</Application>
  <DocSecurity>0</DocSecurity>
  <Lines>263</Lines>
  <Paragraphs>98</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3</cp:revision>
  <dcterms:created xsi:type="dcterms:W3CDTF">2021-12-13T09:23:00Z</dcterms:created>
  <dcterms:modified xsi:type="dcterms:W3CDTF">2021-12-13T09:37:00Z</dcterms:modified>
</cp:coreProperties>
</file>