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59" w:rsidRPr="003A38BA" w:rsidRDefault="006D5959" w:rsidP="006D5959">
      <w:pPr>
        <w:jc w:val="center"/>
        <w:rPr>
          <w:b/>
          <w:sz w:val="32"/>
        </w:rPr>
      </w:pPr>
    </w:p>
    <w:p w:rsidR="006D5959" w:rsidRPr="003A38BA" w:rsidRDefault="006D5959" w:rsidP="006D5959">
      <w:pPr>
        <w:jc w:val="center"/>
        <w:rPr>
          <w:b/>
          <w:sz w:val="32"/>
        </w:rPr>
      </w:pPr>
    </w:p>
    <w:p w:rsidR="001B12A8" w:rsidRPr="00EE13A3" w:rsidRDefault="001B12A8" w:rsidP="001B12A8">
      <w:pPr>
        <w:ind w:left="0" w:firstLine="0"/>
        <w:jc w:val="center"/>
        <w:rPr>
          <w:rFonts w:ascii="Courier New" w:hAnsi="Courier New"/>
          <w:sz w:val="20"/>
        </w:rPr>
      </w:pPr>
      <w:r>
        <w:rPr>
          <w:rFonts w:ascii="Courier New" w:hAnsi="Courier New"/>
          <w:sz w:val="20"/>
        </w:rPr>
        <w:t>1. ------IND- 2017 0262 D-- PL- ------ 20190626 --- --- FINAL</w:t>
      </w:r>
    </w:p>
    <w:p w:rsidR="002A210D" w:rsidRPr="003A38BA" w:rsidRDefault="002A210D" w:rsidP="006D5959">
      <w:pPr>
        <w:jc w:val="center"/>
        <w:rPr>
          <w:b/>
          <w:sz w:val="40"/>
        </w:rPr>
      </w:pPr>
    </w:p>
    <w:p w:rsidR="006D5959" w:rsidRPr="003A38BA" w:rsidRDefault="006D5959" w:rsidP="006D5959">
      <w:pPr>
        <w:rPr>
          <w:b/>
          <w:sz w:val="40"/>
        </w:rPr>
      </w:pPr>
    </w:p>
    <w:p w:rsidR="006D5959" w:rsidRPr="003A38BA" w:rsidRDefault="006D5959" w:rsidP="006D5959">
      <w:pPr>
        <w:rPr>
          <w:b/>
          <w:sz w:val="40"/>
        </w:rPr>
      </w:pPr>
    </w:p>
    <w:p w:rsidR="006D5959" w:rsidRPr="003A38BA" w:rsidRDefault="006D5959" w:rsidP="006D5959">
      <w:pPr>
        <w:rPr>
          <w:b/>
          <w:sz w:val="40"/>
        </w:rPr>
      </w:pPr>
    </w:p>
    <w:p w:rsidR="006D5959" w:rsidRPr="003A38BA" w:rsidRDefault="006D5959" w:rsidP="006D5959">
      <w:pPr>
        <w:jc w:val="center"/>
        <w:rPr>
          <w:sz w:val="40"/>
        </w:rPr>
      </w:pPr>
      <w:r>
        <w:rPr>
          <w:b/>
          <w:sz w:val="40"/>
        </w:rPr>
        <w:t>Techniczne warunki badania systemów oznakowania</w:t>
      </w:r>
    </w:p>
    <w:p w:rsidR="006D5959" w:rsidRPr="003A38BA" w:rsidRDefault="006D5959" w:rsidP="006D5959">
      <w:pPr>
        <w:rPr>
          <w:b/>
          <w:sz w:val="40"/>
        </w:rPr>
      </w:pPr>
    </w:p>
    <w:p w:rsidR="006D5959" w:rsidRPr="003A38BA" w:rsidRDefault="00C32DCC" w:rsidP="006D5959">
      <w:pPr>
        <w:jc w:val="center"/>
        <w:rPr>
          <w:b/>
          <w:sz w:val="40"/>
          <w:szCs w:val="40"/>
        </w:rPr>
      </w:pPr>
      <w:r>
        <w:rPr>
          <w:b/>
          <w:sz w:val="40"/>
          <w:szCs w:val="40"/>
        </w:rPr>
        <w:t xml:space="preserve">TP M </w:t>
      </w:r>
    </w:p>
    <w:p w:rsidR="006D5959" w:rsidRPr="003A38BA" w:rsidRDefault="006D5959" w:rsidP="00B032BC">
      <w:pPr>
        <w:jc w:val="center"/>
        <w:rPr>
          <w:b/>
          <w:sz w:val="40"/>
          <w:szCs w:val="40"/>
        </w:rPr>
      </w:pPr>
    </w:p>
    <w:p w:rsidR="006D5959" w:rsidRPr="003A38BA" w:rsidRDefault="00EB1650" w:rsidP="006D5959">
      <w:pPr>
        <w:jc w:val="center"/>
        <w:rPr>
          <w:sz w:val="36"/>
          <w:szCs w:val="36"/>
        </w:rPr>
      </w:pPr>
      <w:r>
        <w:rPr>
          <w:b/>
          <w:sz w:val="36"/>
          <w:szCs w:val="36"/>
        </w:rPr>
        <w:t>2018</w:t>
      </w: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EB1650" w:rsidRPr="003A38BA" w:rsidRDefault="00EB1650" w:rsidP="00EB1650">
      <w:pPr>
        <w:jc w:val="center"/>
        <w:rPr>
          <w:sz w:val="32"/>
        </w:rPr>
      </w:pPr>
      <w:r>
        <w:rPr>
          <w:sz w:val="32"/>
        </w:rPr>
        <w:t>opracowane przez Federalny Instytut Drogownictwa</w:t>
      </w:r>
    </w:p>
    <w:p w:rsidR="006D5959" w:rsidRPr="003A38BA" w:rsidRDefault="00EB1650" w:rsidP="00EB1650">
      <w:pPr>
        <w:jc w:val="center"/>
        <w:rPr>
          <w:sz w:val="32"/>
        </w:rPr>
      </w:pPr>
      <w:r>
        <w:rPr>
          <w:sz w:val="32"/>
        </w:rPr>
        <w:t>z siedzibą w Bergisch Gladbach</w:t>
      </w: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6D5959">
      <w:pPr>
        <w:jc w:val="center"/>
        <w:rPr>
          <w:sz w:val="32"/>
        </w:rPr>
      </w:pPr>
      <w:bookmarkStart w:id="0" w:name="_Toc382970342"/>
      <w:bookmarkStart w:id="1" w:name="_Toc382970502"/>
      <w:bookmarkStart w:id="2" w:name="_Toc382971511"/>
    </w:p>
    <w:p w:rsidR="006D5959" w:rsidRPr="003A38BA" w:rsidRDefault="006D5959" w:rsidP="006D5959">
      <w:pPr>
        <w:jc w:val="center"/>
        <w:rPr>
          <w:sz w:val="32"/>
        </w:rPr>
      </w:pPr>
    </w:p>
    <w:p w:rsidR="006D5959" w:rsidRPr="003A38BA" w:rsidRDefault="006D5959" w:rsidP="006D5959">
      <w:pPr>
        <w:jc w:val="center"/>
        <w:rPr>
          <w:sz w:val="32"/>
        </w:rPr>
      </w:pPr>
    </w:p>
    <w:p w:rsidR="006D5959" w:rsidRPr="003A38BA" w:rsidRDefault="006D5959" w:rsidP="006D5959">
      <w:pPr>
        <w:jc w:val="center"/>
        <w:rPr>
          <w:sz w:val="32"/>
        </w:rPr>
      </w:pPr>
    </w:p>
    <w:p w:rsidR="006D5959" w:rsidRPr="003A38BA" w:rsidRDefault="00497E24" w:rsidP="006D5959">
      <w:pPr>
        <w:jc w:val="center"/>
        <w:rPr>
          <w:sz w:val="32"/>
        </w:rPr>
      </w:pPr>
      <w:bookmarkStart w:id="3" w:name="_Toc382970343"/>
      <w:bookmarkStart w:id="4" w:name="_Toc382970503"/>
      <w:bookmarkStart w:id="5" w:name="_Toc382971512"/>
      <w:bookmarkEnd w:id="0"/>
      <w:bookmarkEnd w:id="1"/>
      <w:bookmarkEnd w:id="2"/>
      <w:r>
        <w:rPr>
          <w:sz w:val="32"/>
        </w:rPr>
        <w:t>Wydanie z 2018 r.</w:t>
      </w:r>
    </w:p>
    <w:p w:rsidR="006D5959" w:rsidRPr="003A38BA" w:rsidRDefault="006D5959" w:rsidP="008C55C5">
      <w:pPr>
        <w:pageBreakBefore/>
        <w:spacing w:before="8400" w:line="300" w:lineRule="exact"/>
        <w:ind w:left="0" w:firstLine="0"/>
        <w:rPr>
          <w:b/>
          <w:sz w:val="24"/>
        </w:rPr>
      </w:pPr>
      <w:r>
        <w:rPr>
          <w:b/>
          <w:sz w:val="24"/>
        </w:rPr>
        <w:lastRenderedPageBreak/>
        <w:t>Uwaga wstępna</w:t>
      </w:r>
      <w:bookmarkEnd w:id="3"/>
      <w:bookmarkEnd w:id="4"/>
      <w:bookmarkEnd w:id="5"/>
    </w:p>
    <w:p w:rsidR="006D5959" w:rsidRPr="003A38BA" w:rsidRDefault="006D5959" w:rsidP="006D5959"/>
    <w:p w:rsidR="006D5959" w:rsidRPr="003A38BA" w:rsidRDefault="00CC1B26" w:rsidP="00CC1B26">
      <w:pPr>
        <w:ind w:left="0" w:firstLine="0"/>
        <w:jc w:val="both"/>
      </w:pPr>
      <w:r>
        <w:t>„Techniczne warunki badania systemów oznakowania” zostały opracowane przez Federalny Instytut Drogownictwa na zlecenie Federalnego Ministerstwa Transportu i Infrastruktury Cyfrowej (BMVI) oraz uzgodnione z krajami związkowymi i specjalistami z dziedziny oznakowania z krajów związkowych. Przed publikacją zasięgnięto opinii branży za pośrednictwem Niemieckiego Towarzystwa Naukowego ds. Oznakowań Dróg (DSGS e.V.).</w:t>
      </w:r>
    </w:p>
    <w:p w:rsidR="00CC1B26" w:rsidRPr="003A38BA" w:rsidRDefault="003E1828" w:rsidP="004A2F9C">
      <w:pPr>
        <w:ind w:left="0" w:firstLine="0"/>
        <w:jc w:val="both"/>
      </w:pPr>
      <w:r>
        <w:t>Uwzględniono zobowiązania wynikające z dyrektywy (UE) 2015/1535 Parlamentu Europejskiego i Rady z dnia 9 września 2015 r. ustanawiającej procedurę udzielania informacji w dziedzinie przepisów technicznych oraz zasad dotyczących usług społeczeństwa informacyjnego (Dz.U. L 241 z 17.9.2015 r., s. 1).</w:t>
      </w:r>
    </w:p>
    <w:p w:rsidR="006D5959" w:rsidRPr="003A38BA" w:rsidRDefault="006D5959" w:rsidP="006D5959">
      <w:pPr>
        <w:jc w:val="center"/>
        <w:rPr>
          <w:b/>
          <w:sz w:val="28"/>
        </w:rPr>
        <w:sectPr w:rsidR="006D5959" w:rsidRPr="003A38BA">
          <w:headerReference w:type="even" r:id="rId8"/>
          <w:headerReference w:type="default" r:id="rId9"/>
          <w:footerReference w:type="even" r:id="rId10"/>
          <w:headerReference w:type="first" r:id="rId11"/>
          <w:footnotePr>
            <w:numRestart w:val="eachSect"/>
          </w:footnotePr>
          <w:pgSz w:w="11907" w:h="16840"/>
          <w:pgMar w:top="1134" w:right="992" w:bottom="1134" w:left="1418" w:header="720" w:footer="720" w:gutter="0"/>
          <w:pgNumType w:fmt="upperRoman" w:start="1"/>
          <w:cols w:space="720"/>
          <w:titlePg/>
        </w:sectPr>
      </w:pPr>
    </w:p>
    <w:sdt>
      <w:sdtPr>
        <w:rPr>
          <w:rFonts w:asciiTheme="minorHAnsi" w:eastAsiaTheme="minorHAnsi" w:hAnsiTheme="minorHAnsi" w:cstheme="minorBidi"/>
          <w:b w:val="0"/>
          <w:bCs w:val="0"/>
          <w:color w:val="auto"/>
          <w:sz w:val="22"/>
          <w:szCs w:val="22"/>
        </w:rPr>
        <w:id w:val="2540518"/>
        <w:docPartObj>
          <w:docPartGallery w:val="Table of Contents"/>
          <w:docPartUnique/>
        </w:docPartObj>
      </w:sdtPr>
      <w:sdtEndPr>
        <w:rPr>
          <w:sz w:val="24"/>
          <w:szCs w:val="24"/>
        </w:rPr>
      </w:sdtEndPr>
      <w:sdtContent>
        <w:p w:rsidR="002100A4" w:rsidRPr="003A38BA" w:rsidRDefault="002100A4">
          <w:pPr>
            <w:pStyle w:val="TOCHeading"/>
          </w:pPr>
          <w:r>
            <w:t>Spis treści</w:t>
          </w:r>
        </w:p>
        <w:p w:rsidR="00A66784" w:rsidRDefault="004939B5">
          <w:pPr>
            <w:pStyle w:val="TOC1"/>
            <w:rPr>
              <w:rFonts w:asciiTheme="minorHAnsi" w:eastAsiaTheme="minorEastAsia" w:hAnsiTheme="minorHAnsi" w:cstheme="minorBidi"/>
              <w:b w:val="0"/>
              <w:sz w:val="22"/>
              <w:szCs w:val="22"/>
              <w:lang w:val="en-US" w:eastAsia="en-US"/>
            </w:rPr>
          </w:pPr>
          <w:r w:rsidRPr="003A38BA">
            <w:rPr>
              <w:rFonts w:asciiTheme="minorHAnsi" w:hAnsiTheme="minorHAnsi"/>
              <w:b w:val="0"/>
              <w:sz w:val="24"/>
              <w:szCs w:val="24"/>
            </w:rPr>
            <w:fldChar w:fldCharType="begin"/>
          </w:r>
          <w:r w:rsidR="002100A4" w:rsidRPr="003A38BA">
            <w:rPr>
              <w:rFonts w:asciiTheme="minorHAnsi" w:hAnsiTheme="minorHAnsi"/>
              <w:b w:val="0"/>
              <w:sz w:val="24"/>
              <w:szCs w:val="24"/>
            </w:rPr>
            <w:instrText xml:space="preserve"> TOC \o "1-3" \h \z \u </w:instrText>
          </w:r>
          <w:r w:rsidRPr="003A38BA">
            <w:rPr>
              <w:rFonts w:asciiTheme="minorHAnsi" w:hAnsiTheme="minorHAnsi"/>
              <w:b w:val="0"/>
              <w:sz w:val="24"/>
              <w:szCs w:val="24"/>
            </w:rPr>
            <w:fldChar w:fldCharType="separate"/>
          </w:r>
          <w:hyperlink w:anchor="_Toc12481193" w:history="1">
            <w:r w:rsidR="00A66784" w:rsidRPr="005E2D07">
              <w:rPr>
                <w:rStyle w:val="Hyperlink"/>
                <w:rFonts w:eastAsiaTheme="majorEastAsia"/>
              </w:rPr>
              <w:t>1.</w:t>
            </w:r>
            <w:r w:rsidR="00A66784">
              <w:rPr>
                <w:rFonts w:asciiTheme="minorHAnsi" w:eastAsiaTheme="minorEastAsia" w:hAnsiTheme="minorHAnsi" w:cstheme="minorBidi"/>
                <w:b w:val="0"/>
                <w:sz w:val="22"/>
                <w:szCs w:val="22"/>
                <w:lang w:val="en-US" w:eastAsia="en-US"/>
              </w:rPr>
              <w:tab/>
            </w:r>
            <w:r w:rsidR="00A66784" w:rsidRPr="005E2D07">
              <w:rPr>
                <w:rStyle w:val="Hyperlink"/>
                <w:rFonts w:eastAsiaTheme="majorEastAsia"/>
              </w:rPr>
              <w:t>Informacje ogólne</w:t>
            </w:r>
            <w:r w:rsidR="00A66784">
              <w:rPr>
                <w:webHidden/>
              </w:rPr>
              <w:tab/>
            </w:r>
            <w:r w:rsidR="00A66784">
              <w:rPr>
                <w:webHidden/>
              </w:rPr>
              <w:fldChar w:fldCharType="begin"/>
            </w:r>
            <w:r w:rsidR="00A66784">
              <w:rPr>
                <w:webHidden/>
              </w:rPr>
              <w:instrText xml:space="preserve"> PAGEREF _Toc12481193 \h </w:instrText>
            </w:r>
            <w:r w:rsidR="00A66784">
              <w:rPr>
                <w:webHidden/>
              </w:rPr>
            </w:r>
            <w:r w:rsidR="00A66784">
              <w:rPr>
                <w:webHidden/>
              </w:rPr>
              <w:fldChar w:fldCharType="separate"/>
            </w:r>
            <w:r w:rsidR="00A66784">
              <w:rPr>
                <w:webHidden/>
              </w:rPr>
              <w:t>5</w:t>
            </w:r>
            <w:r w:rsidR="00A66784">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194" w:history="1">
            <w:r w:rsidRPr="005E2D07">
              <w:rPr>
                <w:rStyle w:val="Hyperlink"/>
                <w:rFonts w:eastAsiaTheme="majorEastAsia"/>
              </w:rPr>
              <w:t>2.</w:t>
            </w:r>
            <w:r>
              <w:rPr>
                <w:rFonts w:asciiTheme="minorHAnsi" w:eastAsiaTheme="minorEastAsia" w:hAnsiTheme="minorHAnsi" w:cstheme="minorBidi"/>
                <w:b w:val="0"/>
                <w:sz w:val="22"/>
                <w:szCs w:val="22"/>
                <w:lang w:val="en-US" w:eastAsia="en-US"/>
              </w:rPr>
              <w:tab/>
            </w:r>
            <w:r w:rsidRPr="005E2D07">
              <w:rPr>
                <w:rStyle w:val="Hyperlink"/>
                <w:rFonts w:eastAsiaTheme="majorEastAsia"/>
              </w:rPr>
              <w:t>Odniesienia do norm</w:t>
            </w:r>
            <w:r>
              <w:rPr>
                <w:webHidden/>
              </w:rPr>
              <w:tab/>
            </w:r>
            <w:r>
              <w:rPr>
                <w:webHidden/>
              </w:rPr>
              <w:fldChar w:fldCharType="begin"/>
            </w:r>
            <w:r>
              <w:rPr>
                <w:webHidden/>
              </w:rPr>
              <w:instrText xml:space="preserve"> PAGEREF _Toc12481194 \h </w:instrText>
            </w:r>
            <w:r>
              <w:rPr>
                <w:webHidden/>
              </w:rPr>
            </w:r>
            <w:r>
              <w:rPr>
                <w:webHidden/>
              </w:rPr>
              <w:fldChar w:fldCharType="separate"/>
            </w:r>
            <w:r>
              <w:rPr>
                <w:webHidden/>
              </w:rPr>
              <w:t>5</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195" w:history="1">
            <w:r w:rsidRPr="005E2D07">
              <w:rPr>
                <w:rStyle w:val="Hyperlink"/>
                <w:rFonts w:eastAsiaTheme="majorEastAsia"/>
              </w:rPr>
              <w:t>3.</w:t>
            </w:r>
            <w:r>
              <w:rPr>
                <w:rFonts w:asciiTheme="minorHAnsi" w:eastAsiaTheme="minorEastAsia" w:hAnsiTheme="minorHAnsi" w:cstheme="minorBidi"/>
                <w:b w:val="0"/>
                <w:sz w:val="22"/>
                <w:szCs w:val="22"/>
                <w:lang w:val="en-US" w:eastAsia="en-US"/>
              </w:rPr>
              <w:tab/>
            </w:r>
            <w:r w:rsidRPr="005E2D07">
              <w:rPr>
                <w:rStyle w:val="Hyperlink"/>
                <w:rFonts w:eastAsiaTheme="majorEastAsia"/>
              </w:rPr>
              <w:t>Terminy i definicje</w:t>
            </w:r>
            <w:r>
              <w:rPr>
                <w:webHidden/>
              </w:rPr>
              <w:tab/>
            </w:r>
            <w:r>
              <w:rPr>
                <w:webHidden/>
              </w:rPr>
              <w:fldChar w:fldCharType="begin"/>
            </w:r>
            <w:r>
              <w:rPr>
                <w:webHidden/>
              </w:rPr>
              <w:instrText xml:space="preserve"> PAGEREF _Toc12481195 \h </w:instrText>
            </w:r>
            <w:r>
              <w:rPr>
                <w:webHidden/>
              </w:rPr>
            </w:r>
            <w:r>
              <w:rPr>
                <w:webHidden/>
              </w:rPr>
              <w:fldChar w:fldCharType="separate"/>
            </w:r>
            <w:r>
              <w:rPr>
                <w:webHidden/>
              </w:rPr>
              <w:t>6</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196" w:history="1">
            <w:r w:rsidRPr="005E2D07">
              <w:rPr>
                <w:rStyle w:val="Hyperlink"/>
                <w:rFonts w:eastAsiaTheme="majorEastAsia"/>
              </w:rPr>
              <w:t>4.</w:t>
            </w:r>
            <w:r>
              <w:rPr>
                <w:rFonts w:asciiTheme="minorHAnsi" w:eastAsiaTheme="minorEastAsia" w:hAnsiTheme="minorHAnsi" w:cstheme="minorBidi"/>
                <w:b w:val="0"/>
                <w:sz w:val="22"/>
                <w:szCs w:val="22"/>
                <w:lang w:val="en-US" w:eastAsia="en-US"/>
              </w:rPr>
              <w:tab/>
            </w:r>
            <w:r w:rsidRPr="005E2D07">
              <w:rPr>
                <w:rStyle w:val="Hyperlink"/>
                <w:rFonts w:eastAsiaTheme="majorEastAsia"/>
              </w:rPr>
              <w:t>Próby obciążeniowe systemów oznakowania</w:t>
            </w:r>
            <w:r>
              <w:rPr>
                <w:webHidden/>
              </w:rPr>
              <w:tab/>
            </w:r>
            <w:r>
              <w:rPr>
                <w:webHidden/>
              </w:rPr>
              <w:fldChar w:fldCharType="begin"/>
            </w:r>
            <w:r>
              <w:rPr>
                <w:webHidden/>
              </w:rPr>
              <w:instrText xml:space="preserve"> PAGEREF _Toc12481196 \h </w:instrText>
            </w:r>
            <w:r>
              <w:rPr>
                <w:webHidden/>
              </w:rPr>
            </w:r>
            <w:r>
              <w:rPr>
                <w:webHidden/>
              </w:rPr>
              <w:fldChar w:fldCharType="separate"/>
            </w:r>
            <w:r>
              <w:rPr>
                <w:webHidden/>
              </w:rPr>
              <w:t>6</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197" w:history="1">
            <w:r w:rsidRPr="005E2D07">
              <w:rPr>
                <w:rStyle w:val="Hyperlink"/>
                <w:rFonts w:eastAsiaTheme="majorEastAsia" w:cs="Arial"/>
              </w:rPr>
              <w:t>4.1.</w:t>
            </w:r>
            <w:r>
              <w:rPr>
                <w:rFonts w:asciiTheme="minorHAnsi" w:eastAsiaTheme="minorEastAsia" w:hAnsiTheme="minorHAnsi" w:cstheme="minorBidi"/>
                <w:b w:val="0"/>
                <w:sz w:val="22"/>
                <w:szCs w:val="22"/>
                <w:lang w:val="en-US" w:eastAsia="en-US"/>
              </w:rPr>
              <w:tab/>
            </w:r>
            <w:r w:rsidRPr="005E2D07">
              <w:rPr>
                <w:rStyle w:val="Hyperlink"/>
                <w:rFonts w:eastAsiaTheme="majorEastAsia"/>
              </w:rPr>
              <w:t>Stanowisko badawcze o ruchu obrotowym</w:t>
            </w:r>
            <w:r>
              <w:rPr>
                <w:webHidden/>
              </w:rPr>
              <w:tab/>
            </w:r>
            <w:r>
              <w:rPr>
                <w:webHidden/>
              </w:rPr>
              <w:fldChar w:fldCharType="begin"/>
            </w:r>
            <w:r>
              <w:rPr>
                <w:webHidden/>
              </w:rPr>
              <w:instrText xml:space="preserve"> PAGEREF _Toc12481197 \h </w:instrText>
            </w:r>
            <w:r>
              <w:rPr>
                <w:webHidden/>
              </w:rPr>
            </w:r>
            <w:r>
              <w:rPr>
                <w:webHidden/>
              </w:rPr>
              <w:fldChar w:fldCharType="separate"/>
            </w:r>
            <w:r>
              <w:rPr>
                <w:webHidden/>
              </w:rPr>
              <w:t>6</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198" w:history="1">
            <w:r w:rsidRPr="005E2D07">
              <w:rPr>
                <w:rStyle w:val="Hyperlink"/>
                <w:rFonts w:eastAsiaTheme="majorEastAsia" w:cs="Arial"/>
              </w:rPr>
              <w:t>4.1.1.</w:t>
            </w:r>
            <w:r>
              <w:rPr>
                <w:rFonts w:asciiTheme="minorHAnsi" w:eastAsiaTheme="minorEastAsia" w:hAnsiTheme="minorHAnsi" w:cstheme="minorBidi"/>
                <w:b w:val="0"/>
                <w:sz w:val="22"/>
                <w:szCs w:val="22"/>
                <w:lang w:val="en-US" w:eastAsia="en-US"/>
              </w:rPr>
              <w:tab/>
            </w:r>
            <w:r w:rsidRPr="005E2D07">
              <w:rPr>
                <w:rStyle w:val="Hyperlink"/>
                <w:rFonts w:eastAsiaTheme="majorEastAsia"/>
              </w:rPr>
              <w:t>Koła</w:t>
            </w:r>
            <w:r>
              <w:rPr>
                <w:webHidden/>
              </w:rPr>
              <w:tab/>
            </w:r>
            <w:r>
              <w:rPr>
                <w:webHidden/>
              </w:rPr>
              <w:fldChar w:fldCharType="begin"/>
            </w:r>
            <w:r>
              <w:rPr>
                <w:webHidden/>
              </w:rPr>
              <w:instrText xml:space="preserve"> PAGEREF _Toc12481198 \h </w:instrText>
            </w:r>
            <w:r>
              <w:rPr>
                <w:webHidden/>
              </w:rPr>
            </w:r>
            <w:r>
              <w:rPr>
                <w:webHidden/>
              </w:rPr>
              <w:fldChar w:fldCharType="separate"/>
            </w:r>
            <w:r>
              <w:rPr>
                <w:webHidden/>
              </w:rPr>
              <w:t>6</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199" w:history="1">
            <w:r w:rsidRPr="005E2D07">
              <w:rPr>
                <w:rStyle w:val="Hyperlink"/>
                <w:rFonts w:eastAsiaTheme="majorEastAsia" w:cs="Arial"/>
              </w:rPr>
              <w:t>4.1.2.</w:t>
            </w:r>
            <w:r>
              <w:rPr>
                <w:rFonts w:asciiTheme="minorHAnsi" w:eastAsiaTheme="minorEastAsia" w:hAnsiTheme="minorHAnsi" w:cstheme="minorBidi"/>
                <w:b w:val="0"/>
                <w:sz w:val="22"/>
                <w:szCs w:val="22"/>
                <w:lang w:val="en-US" w:eastAsia="en-US"/>
              </w:rPr>
              <w:tab/>
            </w:r>
            <w:r w:rsidRPr="005E2D07">
              <w:rPr>
                <w:rStyle w:val="Hyperlink"/>
                <w:rFonts w:eastAsiaTheme="majorEastAsia"/>
              </w:rPr>
              <w:t>Próbka</w:t>
            </w:r>
            <w:r>
              <w:rPr>
                <w:webHidden/>
              </w:rPr>
              <w:tab/>
            </w:r>
            <w:r>
              <w:rPr>
                <w:webHidden/>
              </w:rPr>
              <w:fldChar w:fldCharType="begin"/>
            </w:r>
            <w:r>
              <w:rPr>
                <w:webHidden/>
              </w:rPr>
              <w:instrText xml:space="preserve"> PAGEREF _Toc12481199 \h </w:instrText>
            </w:r>
            <w:r>
              <w:rPr>
                <w:webHidden/>
              </w:rPr>
            </w:r>
            <w:r>
              <w:rPr>
                <w:webHidden/>
              </w:rPr>
              <w:fldChar w:fldCharType="separate"/>
            </w:r>
            <w:r>
              <w:rPr>
                <w:webHidden/>
              </w:rPr>
              <w:t>7</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00" w:history="1">
            <w:r w:rsidRPr="005E2D07">
              <w:rPr>
                <w:rStyle w:val="Hyperlink"/>
                <w:rFonts w:eastAsiaTheme="majorEastAsia"/>
              </w:rPr>
              <w:t>4.1.3.</w:t>
            </w:r>
            <w:r>
              <w:rPr>
                <w:rFonts w:asciiTheme="minorHAnsi" w:eastAsiaTheme="minorEastAsia" w:hAnsiTheme="minorHAnsi" w:cstheme="minorBidi"/>
                <w:b w:val="0"/>
                <w:sz w:val="22"/>
                <w:szCs w:val="22"/>
                <w:lang w:val="en-US" w:eastAsia="en-US"/>
              </w:rPr>
              <w:tab/>
            </w:r>
            <w:r w:rsidRPr="005E2D07">
              <w:rPr>
                <w:rStyle w:val="Hyperlink"/>
                <w:rFonts w:eastAsiaTheme="majorEastAsia"/>
              </w:rPr>
              <w:t>System czyszczenia</w:t>
            </w:r>
            <w:r>
              <w:rPr>
                <w:webHidden/>
              </w:rPr>
              <w:tab/>
            </w:r>
            <w:r>
              <w:rPr>
                <w:webHidden/>
              </w:rPr>
              <w:fldChar w:fldCharType="begin"/>
            </w:r>
            <w:r>
              <w:rPr>
                <w:webHidden/>
              </w:rPr>
              <w:instrText xml:space="preserve"> PAGEREF _Toc12481200 \h </w:instrText>
            </w:r>
            <w:r>
              <w:rPr>
                <w:webHidden/>
              </w:rPr>
            </w:r>
            <w:r>
              <w:rPr>
                <w:webHidden/>
              </w:rPr>
              <w:fldChar w:fldCharType="separate"/>
            </w:r>
            <w:r>
              <w:rPr>
                <w:webHidden/>
              </w:rPr>
              <w:t>7</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01" w:history="1">
            <w:r w:rsidRPr="005E2D07">
              <w:rPr>
                <w:rStyle w:val="Hyperlink"/>
                <w:rFonts w:eastAsiaTheme="majorEastAsia"/>
              </w:rPr>
              <w:t>4.2.</w:t>
            </w:r>
            <w:r>
              <w:rPr>
                <w:rFonts w:asciiTheme="minorHAnsi" w:eastAsiaTheme="minorEastAsia" w:hAnsiTheme="minorHAnsi" w:cstheme="minorBidi"/>
                <w:b w:val="0"/>
                <w:sz w:val="22"/>
                <w:szCs w:val="22"/>
                <w:lang w:val="en-US" w:eastAsia="en-US"/>
              </w:rPr>
              <w:tab/>
            </w:r>
            <w:r w:rsidRPr="005E2D07">
              <w:rPr>
                <w:rStyle w:val="Hyperlink"/>
                <w:rFonts w:eastAsiaTheme="majorEastAsia"/>
              </w:rPr>
              <w:t>Przygotowanie próbek</w:t>
            </w:r>
            <w:r>
              <w:rPr>
                <w:webHidden/>
              </w:rPr>
              <w:tab/>
            </w:r>
            <w:r>
              <w:rPr>
                <w:webHidden/>
              </w:rPr>
              <w:fldChar w:fldCharType="begin"/>
            </w:r>
            <w:r>
              <w:rPr>
                <w:webHidden/>
              </w:rPr>
              <w:instrText xml:space="preserve"> PAGEREF _Toc12481201 \h </w:instrText>
            </w:r>
            <w:r>
              <w:rPr>
                <w:webHidden/>
              </w:rPr>
            </w:r>
            <w:r>
              <w:rPr>
                <w:webHidden/>
              </w:rPr>
              <w:fldChar w:fldCharType="separate"/>
            </w:r>
            <w:r>
              <w:rPr>
                <w:webHidden/>
              </w:rPr>
              <w:t>7</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02" w:history="1">
            <w:r w:rsidRPr="005E2D07">
              <w:rPr>
                <w:rStyle w:val="Hyperlink"/>
                <w:rFonts w:eastAsiaTheme="majorEastAsia"/>
              </w:rPr>
              <w:t>4.2.1.</w:t>
            </w:r>
            <w:r>
              <w:rPr>
                <w:rFonts w:asciiTheme="minorHAnsi" w:eastAsiaTheme="minorEastAsia" w:hAnsiTheme="minorHAnsi" w:cstheme="minorBidi"/>
                <w:b w:val="0"/>
                <w:sz w:val="22"/>
                <w:szCs w:val="22"/>
                <w:lang w:val="en-US" w:eastAsia="en-US"/>
              </w:rPr>
              <w:tab/>
            </w:r>
            <w:r w:rsidRPr="005E2D07">
              <w:rPr>
                <w:rStyle w:val="Hyperlink"/>
                <w:rFonts w:eastAsiaTheme="majorEastAsia"/>
              </w:rPr>
              <w:t>Nakładanie</w:t>
            </w:r>
            <w:r>
              <w:rPr>
                <w:webHidden/>
              </w:rPr>
              <w:tab/>
            </w:r>
            <w:r>
              <w:rPr>
                <w:webHidden/>
              </w:rPr>
              <w:fldChar w:fldCharType="begin"/>
            </w:r>
            <w:r>
              <w:rPr>
                <w:webHidden/>
              </w:rPr>
              <w:instrText xml:space="preserve"> PAGEREF _Toc12481202 \h </w:instrText>
            </w:r>
            <w:r>
              <w:rPr>
                <w:webHidden/>
              </w:rPr>
            </w:r>
            <w:r>
              <w:rPr>
                <w:webHidden/>
              </w:rPr>
              <w:fldChar w:fldCharType="separate"/>
            </w:r>
            <w:r>
              <w:rPr>
                <w:webHidden/>
              </w:rPr>
              <w:t>7</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03" w:history="1">
            <w:r w:rsidRPr="005E2D07">
              <w:rPr>
                <w:rStyle w:val="Hyperlink"/>
                <w:rFonts w:eastAsiaTheme="majorEastAsia"/>
              </w:rPr>
              <w:t>4.2.2.</w:t>
            </w:r>
            <w:r>
              <w:rPr>
                <w:rFonts w:asciiTheme="minorHAnsi" w:eastAsiaTheme="minorEastAsia" w:hAnsiTheme="minorHAnsi" w:cstheme="minorBidi"/>
                <w:b w:val="0"/>
                <w:sz w:val="22"/>
                <w:szCs w:val="22"/>
                <w:lang w:val="en-US" w:eastAsia="en-US"/>
              </w:rPr>
              <w:tab/>
            </w:r>
            <w:r w:rsidRPr="005E2D07">
              <w:rPr>
                <w:rStyle w:val="Hyperlink"/>
                <w:rFonts w:eastAsiaTheme="majorEastAsia"/>
              </w:rPr>
              <w:t>Pomiary związane z nakładaniem</w:t>
            </w:r>
            <w:r>
              <w:rPr>
                <w:webHidden/>
              </w:rPr>
              <w:tab/>
            </w:r>
            <w:r>
              <w:rPr>
                <w:webHidden/>
              </w:rPr>
              <w:fldChar w:fldCharType="begin"/>
            </w:r>
            <w:r>
              <w:rPr>
                <w:webHidden/>
              </w:rPr>
              <w:instrText xml:space="preserve"> PAGEREF _Toc12481203 \h </w:instrText>
            </w:r>
            <w:r>
              <w:rPr>
                <w:webHidden/>
              </w:rPr>
            </w:r>
            <w:r>
              <w:rPr>
                <w:webHidden/>
              </w:rPr>
              <w:fldChar w:fldCharType="separate"/>
            </w:r>
            <w:r>
              <w:rPr>
                <w:webHidden/>
              </w:rPr>
              <w:t>9</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04" w:history="1">
            <w:r w:rsidRPr="005E2D07">
              <w:rPr>
                <w:rStyle w:val="Hyperlink"/>
                <w:rFonts w:eastAsiaTheme="majorEastAsia" w:cs="Arial"/>
              </w:rPr>
              <w:t>4.2.3.</w:t>
            </w:r>
            <w:r>
              <w:rPr>
                <w:rFonts w:asciiTheme="minorHAnsi" w:eastAsiaTheme="minorEastAsia" w:hAnsiTheme="minorHAnsi" w:cstheme="minorBidi"/>
                <w:b w:val="0"/>
                <w:sz w:val="22"/>
                <w:szCs w:val="22"/>
                <w:lang w:val="en-US" w:eastAsia="en-US"/>
              </w:rPr>
              <w:tab/>
            </w:r>
            <w:r w:rsidRPr="005E2D07">
              <w:rPr>
                <w:rStyle w:val="Hyperlink"/>
                <w:rFonts w:eastAsiaTheme="majorEastAsia"/>
              </w:rPr>
              <w:t>Pobieranie próbek</w:t>
            </w:r>
            <w:r>
              <w:rPr>
                <w:webHidden/>
              </w:rPr>
              <w:tab/>
            </w:r>
            <w:r>
              <w:rPr>
                <w:webHidden/>
              </w:rPr>
              <w:fldChar w:fldCharType="begin"/>
            </w:r>
            <w:r>
              <w:rPr>
                <w:webHidden/>
              </w:rPr>
              <w:instrText xml:space="preserve"> PAGEREF _Toc12481204 \h </w:instrText>
            </w:r>
            <w:r>
              <w:rPr>
                <w:webHidden/>
              </w:rPr>
            </w:r>
            <w:r>
              <w:rPr>
                <w:webHidden/>
              </w:rPr>
              <w:fldChar w:fldCharType="separate"/>
            </w:r>
            <w:r>
              <w:rPr>
                <w:webHidden/>
              </w:rPr>
              <w:t>9</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05" w:history="1">
            <w:r w:rsidRPr="005E2D07">
              <w:rPr>
                <w:rStyle w:val="Hyperlink"/>
                <w:rFonts w:eastAsiaTheme="majorEastAsia" w:cs="Arial"/>
              </w:rPr>
              <w:t>4.2.4.</w:t>
            </w:r>
            <w:r>
              <w:rPr>
                <w:rFonts w:asciiTheme="minorHAnsi" w:eastAsiaTheme="minorEastAsia" w:hAnsiTheme="minorHAnsi" w:cstheme="minorBidi"/>
                <w:b w:val="0"/>
                <w:sz w:val="22"/>
                <w:szCs w:val="22"/>
                <w:lang w:val="en-US" w:eastAsia="en-US"/>
              </w:rPr>
              <w:tab/>
            </w:r>
            <w:r w:rsidRPr="005E2D07">
              <w:rPr>
                <w:rStyle w:val="Hyperlink"/>
                <w:rFonts w:eastAsiaTheme="majorEastAsia"/>
              </w:rPr>
              <w:t>Czas kondycjonowania</w:t>
            </w:r>
            <w:r>
              <w:rPr>
                <w:webHidden/>
              </w:rPr>
              <w:tab/>
            </w:r>
            <w:r>
              <w:rPr>
                <w:webHidden/>
              </w:rPr>
              <w:fldChar w:fldCharType="begin"/>
            </w:r>
            <w:r>
              <w:rPr>
                <w:webHidden/>
              </w:rPr>
              <w:instrText xml:space="preserve"> PAGEREF _Toc12481205 \h </w:instrText>
            </w:r>
            <w:r>
              <w:rPr>
                <w:webHidden/>
              </w:rPr>
            </w:r>
            <w:r>
              <w:rPr>
                <w:webHidden/>
              </w:rPr>
              <w:fldChar w:fldCharType="separate"/>
            </w:r>
            <w:r>
              <w:rPr>
                <w:webHidden/>
              </w:rPr>
              <w:t>9</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06" w:history="1">
            <w:r w:rsidRPr="005E2D07">
              <w:rPr>
                <w:rStyle w:val="Hyperlink"/>
                <w:rFonts w:eastAsiaTheme="majorEastAsia"/>
              </w:rPr>
              <w:t>4.2.5.</w:t>
            </w:r>
            <w:r>
              <w:rPr>
                <w:rFonts w:asciiTheme="minorHAnsi" w:eastAsiaTheme="minorEastAsia" w:hAnsiTheme="minorHAnsi" w:cstheme="minorBidi"/>
                <w:b w:val="0"/>
                <w:sz w:val="22"/>
                <w:szCs w:val="22"/>
                <w:lang w:val="en-US" w:eastAsia="en-US"/>
              </w:rPr>
              <w:tab/>
            </w:r>
            <w:r w:rsidRPr="005E2D07">
              <w:rPr>
                <w:rStyle w:val="Hyperlink"/>
                <w:rFonts w:eastAsiaTheme="majorEastAsia"/>
              </w:rPr>
              <w:t>Kierunek nakładania</w:t>
            </w:r>
            <w:r>
              <w:rPr>
                <w:webHidden/>
              </w:rPr>
              <w:tab/>
            </w:r>
            <w:r>
              <w:rPr>
                <w:webHidden/>
              </w:rPr>
              <w:fldChar w:fldCharType="begin"/>
            </w:r>
            <w:r>
              <w:rPr>
                <w:webHidden/>
              </w:rPr>
              <w:instrText xml:space="preserve"> PAGEREF _Toc12481206 \h </w:instrText>
            </w:r>
            <w:r>
              <w:rPr>
                <w:webHidden/>
              </w:rPr>
            </w:r>
            <w:r>
              <w:rPr>
                <w:webHidden/>
              </w:rPr>
              <w:fldChar w:fldCharType="separate"/>
            </w:r>
            <w:r>
              <w:rPr>
                <w:webHidden/>
              </w:rPr>
              <w:t>10</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07" w:history="1">
            <w:r w:rsidRPr="005E2D07">
              <w:rPr>
                <w:rStyle w:val="Hyperlink"/>
                <w:rFonts w:eastAsiaTheme="majorEastAsia" w:cs="Arial"/>
              </w:rPr>
              <w:t>4.3.</w:t>
            </w:r>
            <w:r>
              <w:rPr>
                <w:rFonts w:asciiTheme="minorHAnsi" w:eastAsiaTheme="minorEastAsia" w:hAnsiTheme="minorHAnsi" w:cstheme="minorBidi"/>
                <w:b w:val="0"/>
                <w:sz w:val="22"/>
                <w:szCs w:val="22"/>
                <w:lang w:val="en-US" w:eastAsia="en-US"/>
              </w:rPr>
              <w:tab/>
            </w:r>
            <w:r w:rsidRPr="005E2D07">
              <w:rPr>
                <w:rStyle w:val="Hyperlink"/>
                <w:rFonts w:eastAsiaTheme="majorEastAsia"/>
              </w:rPr>
              <w:t>Próbka wzorcowa</w:t>
            </w:r>
            <w:r>
              <w:rPr>
                <w:webHidden/>
              </w:rPr>
              <w:tab/>
            </w:r>
            <w:r>
              <w:rPr>
                <w:webHidden/>
              </w:rPr>
              <w:fldChar w:fldCharType="begin"/>
            </w:r>
            <w:r>
              <w:rPr>
                <w:webHidden/>
              </w:rPr>
              <w:instrText xml:space="preserve"> PAGEREF _Toc12481207 \h </w:instrText>
            </w:r>
            <w:r>
              <w:rPr>
                <w:webHidden/>
              </w:rPr>
            </w:r>
            <w:r>
              <w:rPr>
                <w:webHidden/>
              </w:rPr>
              <w:fldChar w:fldCharType="separate"/>
            </w:r>
            <w:r>
              <w:rPr>
                <w:webHidden/>
              </w:rPr>
              <w:t>10</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08" w:history="1">
            <w:r w:rsidRPr="005E2D07">
              <w:rPr>
                <w:rStyle w:val="Hyperlink"/>
                <w:rFonts w:eastAsiaTheme="majorEastAsia"/>
              </w:rPr>
              <w:t>4.4.</w:t>
            </w:r>
            <w:r>
              <w:rPr>
                <w:rFonts w:asciiTheme="minorHAnsi" w:eastAsiaTheme="minorEastAsia" w:hAnsiTheme="minorHAnsi" w:cstheme="minorBidi"/>
                <w:b w:val="0"/>
                <w:sz w:val="22"/>
                <w:szCs w:val="22"/>
                <w:lang w:val="en-US" w:eastAsia="en-US"/>
              </w:rPr>
              <w:tab/>
            </w:r>
            <w:r w:rsidRPr="005E2D07">
              <w:rPr>
                <w:rStyle w:val="Hyperlink"/>
                <w:rFonts w:eastAsiaTheme="majorEastAsia"/>
              </w:rPr>
              <w:t>Wykonywanie badania</w:t>
            </w:r>
            <w:r>
              <w:rPr>
                <w:webHidden/>
              </w:rPr>
              <w:tab/>
            </w:r>
            <w:r>
              <w:rPr>
                <w:webHidden/>
              </w:rPr>
              <w:fldChar w:fldCharType="begin"/>
            </w:r>
            <w:r>
              <w:rPr>
                <w:webHidden/>
              </w:rPr>
              <w:instrText xml:space="preserve"> PAGEREF _Toc12481208 \h </w:instrText>
            </w:r>
            <w:r>
              <w:rPr>
                <w:webHidden/>
              </w:rPr>
            </w:r>
            <w:r>
              <w:rPr>
                <w:webHidden/>
              </w:rPr>
              <w:fldChar w:fldCharType="separate"/>
            </w:r>
            <w:r>
              <w:rPr>
                <w:webHidden/>
              </w:rPr>
              <w:t>10</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09" w:history="1">
            <w:r w:rsidRPr="005E2D07">
              <w:rPr>
                <w:rStyle w:val="Hyperlink"/>
                <w:rFonts w:eastAsiaTheme="majorEastAsia" w:cs="Arial"/>
              </w:rPr>
              <w:t>4.4.1.</w:t>
            </w:r>
            <w:r>
              <w:rPr>
                <w:rFonts w:asciiTheme="minorHAnsi" w:eastAsiaTheme="minorEastAsia" w:hAnsiTheme="minorHAnsi" w:cstheme="minorBidi"/>
                <w:b w:val="0"/>
                <w:sz w:val="22"/>
                <w:szCs w:val="22"/>
                <w:lang w:val="en-US" w:eastAsia="en-US"/>
              </w:rPr>
              <w:tab/>
            </w:r>
            <w:r w:rsidRPr="005E2D07">
              <w:rPr>
                <w:rStyle w:val="Hyperlink"/>
                <w:rFonts w:eastAsiaTheme="majorEastAsia"/>
              </w:rPr>
              <w:t>Warunki badania</w:t>
            </w:r>
            <w:r>
              <w:rPr>
                <w:webHidden/>
              </w:rPr>
              <w:tab/>
            </w:r>
            <w:r>
              <w:rPr>
                <w:webHidden/>
              </w:rPr>
              <w:fldChar w:fldCharType="begin"/>
            </w:r>
            <w:r>
              <w:rPr>
                <w:webHidden/>
              </w:rPr>
              <w:instrText xml:space="preserve"> PAGEREF _Toc12481209 \h </w:instrText>
            </w:r>
            <w:r>
              <w:rPr>
                <w:webHidden/>
              </w:rPr>
            </w:r>
            <w:r>
              <w:rPr>
                <w:webHidden/>
              </w:rPr>
              <w:fldChar w:fldCharType="separate"/>
            </w:r>
            <w:r>
              <w:rPr>
                <w:webHidden/>
              </w:rPr>
              <w:t>10</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10" w:history="1">
            <w:r w:rsidRPr="005E2D07">
              <w:rPr>
                <w:rStyle w:val="Hyperlink"/>
                <w:rFonts w:eastAsiaTheme="majorEastAsia"/>
              </w:rPr>
              <w:t>4.4.2.</w:t>
            </w:r>
            <w:r>
              <w:rPr>
                <w:rFonts w:asciiTheme="minorHAnsi" w:eastAsiaTheme="minorEastAsia" w:hAnsiTheme="minorHAnsi" w:cstheme="minorBidi"/>
                <w:b w:val="0"/>
                <w:sz w:val="22"/>
                <w:szCs w:val="22"/>
                <w:lang w:val="en-US" w:eastAsia="en-US"/>
              </w:rPr>
              <w:tab/>
            </w:r>
            <w:r w:rsidRPr="005E2D07">
              <w:rPr>
                <w:rStyle w:val="Hyperlink"/>
                <w:rFonts w:eastAsiaTheme="majorEastAsia"/>
              </w:rPr>
              <w:t>Pomiary dotyczące stanowiska i warunków badania</w:t>
            </w:r>
            <w:r>
              <w:rPr>
                <w:webHidden/>
              </w:rPr>
              <w:tab/>
            </w:r>
            <w:r>
              <w:rPr>
                <w:webHidden/>
              </w:rPr>
              <w:fldChar w:fldCharType="begin"/>
            </w:r>
            <w:r>
              <w:rPr>
                <w:webHidden/>
              </w:rPr>
              <w:instrText xml:space="preserve"> PAGEREF _Toc12481210 \h </w:instrText>
            </w:r>
            <w:r>
              <w:rPr>
                <w:webHidden/>
              </w:rPr>
            </w:r>
            <w:r>
              <w:rPr>
                <w:webHidden/>
              </w:rPr>
              <w:fldChar w:fldCharType="separate"/>
            </w:r>
            <w:r>
              <w:rPr>
                <w:webHidden/>
              </w:rPr>
              <w:t>11</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11" w:history="1">
            <w:r w:rsidRPr="005E2D07">
              <w:rPr>
                <w:rStyle w:val="Hyperlink"/>
                <w:rFonts w:eastAsiaTheme="majorEastAsia"/>
              </w:rPr>
              <w:t>4.4.3.</w:t>
            </w:r>
            <w:r>
              <w:rPr>
                <w:rFonts w:asciiTheme="minorHAnsi" w:eastAsiaTheme="minorEastAsia" w:hAnsiTheme="minorHAnsi" w:cstheme="minorBidi"/>
                <w:b w:val="0"/>
                <w:sz w:val="22"/>
                <w:szCs w:val="22"/>
                <w:lang w:val="en-US" w:eastAsia="en-US"/>
              </w:rPr>
              <w:tab/>
            </w:r>
            <w:r w:rsidRPr="005E2D07">
              <w:rPr>
                <w:rStyle w:val="Hyperlink"/>
                <w:rFonts w:eastAsiaTheme="majorEastAsia"/>
              </w:rPr>
              <w:t>Pomiary związanych z obciążeniem ruchem właściwości systemów oznakowania</w:t>
            </w:r>
            <w:r>
              <w:rPr>
                <w:webHidden/>
              </w:rPr>
              <w:tab/>
            </w:r>
            <w:r>
              <w:rPr>
                <w:webHidden/>
              </w:rPr>
              <w:fldChar w:fldCharType="begin"/>
            </w:r>
            <w:r>
              <w:rPr>
                <w:webHidden/>
              </w:rPr>
              <w:instrText xml:space="preserve"> PAGEREF _Toc12481211 \h </w:instrText>
            </w:r>
            <w:r>
              <w:rPr>
                <w:webHidden/>
              </w:rPr>
            </w:r>
            <w:r>
              <w:rPr>
                <w:webHidden/>
              </w:rPr>
              <w:fldChar w:fldCharType="separate"/>
            </w:r>
            <w:r>
              <w:rPr>
                <w:webHidden/>
              </w:rPr>
              <w:t>11</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12" w:history="1">
            <w:r w:rsidRPr="005E2D07">
              <w:rPr>
                <w:rStyle w:val="Hyperlink"/>
                <w:rFonts w:eastAsiaTheme="majorEastAsia"/>
              </w:rPr>
              <w:t>4.4.4.</w:t>
            </w:r>
            <w:r>
              <w:rPr>
                <w:rFonts w:asciiTheme="minorHAnsi" w:eastAsiaTheme="minorEastAsia" w:hAnsiTheme="minorHAnsi" w:cstheme="minorBidi"/>
                <w:b w:val="0"/>
                <w:sz w:val="22"/>
                <w:szCs w:val="22"/>
                <w:lang w:val="en-US" w:eastAsia="en-US"/>
              </w:rPr>
              <w:tab/>
            </w:r>
            <w:r w:rsidRPr="005E2D07">
              <w:rPr>
                <w:rStyle w:val="Hyperlink"/>
                <w:rFonts w:eastAsiaTheme="majorEastAsia"/>
              </w:rPr>
              <w:t>Ocena badań</w:t>
            </w:r>
            <w:r>
              <w:rPr>
                <w:webHidden/>
              </w:rPr>
              <w:tab/>
            </w:r>
            <w:r>
              <w:rPr>
                <w:webHidden/>
              </w:rPr>
              <w:fldChar w:fldCharType="begin"/>
            </w:r>
            <w:r>
              <w:rPr>
                <w:webHidden/>
              </w:rPr>
              <w:instrText xml:space="preserve"> PAGEREF _Toc12481212 \h </w:instrText>
            </w:r>
            <w:r>
              <w:rPr>
                <w:webHidden/>
              </w:rPr>
            </w:r>
            <w:r>
              <w:rPr>
                <w:webHidden/>
              </w:rPr>
              <w:fldChar w:fldCharType="separate"/>
            </w:r>
            <w:r>
              <w:rPr>
                <w:webHidden/>
              </w:rPr>
              <w:t>12</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13" w:history="1">
            <w:r w:rsidRPr="005E2D07">
              <w:rPr>
                <w:rStyle w:val="Hyperlink"/>
                <w:rFonts w:eastAsiaTheme="majorEastAsia"/>
              </w:rPr>
              <w:t>4.4.5.</w:t>
            </w:r>
            <w:r>
              <w:rPr>
                <w:rFonts w:asciiTheme="minorHAnsi" w:eastAsiaTheme="minorEastAsia" w:hAnsiTheme="minorHAnsi" w:cstheme="minorBidi"/>
                <w:b w:val="0"/>
                <w:sz w:val="22"/>
                <w:szCs w:val="22"/>
                <w:lang w:val="en-US" w:eastAsia="en-US"/>
              </w:rPr>
              <w:tab/>
            </w:r>
            <w:r w:rsidRPr="005E2D07">
              <w:rPr>
                <w:rStyle w:val="Hyperlink"/>
                <w:rFonts w:eastAsiaTheme="majorEastAsia"/>
              </w:rPr>
              <w:t>Kontrola badań (odtwarzalność)</w:t>
            </w:r>
            <w:r>
              <w:rPr>
                <w:webHidden/>
              </w:rPr>
              <w:tab/>
            </w:r>
            <w:r>
              <w:rPr>
                <w:webHidden/>
              </w:rPr>
              <w:fldChar w:fldCharType="begin"/>
            </w:r>
            <w:r>
              <w:rPr>
                <w:webHidden/>
              </w:rPr>
              <w:instrText xml:space="preserve"> PAGEREF _Toc12481213 \h </w:instrText>
            </w:r>
            <w:r>
              <w:rPr>
                <w:webHidden/>
              </w:rPr>
            </w:r>
            <w:r>
              <w:rPr>
                <w:webHidden/>
              </w:rPr>
              <w:fldChar w:fldCharType="separate"/>
            </w:r>
            <w:r>
              <w:rPr>
                <w:webHidden/>
              </w:rPr>
              <w:t>13</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14" w:history="1">
            <w:r w:rsidRPr="005E2D07">
              <w:rPr>
                <w:rStyle w:val="Hyperlink"/>
                <w:rFonts w:eastAsiaTheme="majorEastAsia"/>
              </w:rPr>
              <w:t>5.</w:t>
            </w:r>
            <w:r>
              <w:rPr>
                <w:rFonts w:asciiTheme="minorHAnsi" w:eastAsiaTheme="minorEastAsia" w:hAnsiTheme="minorHAnsi" w:cstheme="minorBidi"/>
                <w:b w:val="0"/>
                <w:sz w:val="22"/>
                <w:szCs w:val="22"/>
                <w:lang w:val="en-US" w:eastAsia="en-US"/>
              </w:rPr>
              <w:tab/>
            </w:r>
            <w:r w:rsidRPr="005E2D07">
              <w:rPr>
                <w:rStyle w:val="Hyperlink"/>
                <w:rFonts w:eastAsiaTheme="majorEastAsia"/>
              </w:rPr>
              <w:t>Badania fizykochemiczne materiałów do oznakowania i nośników (badanie prototypu)</w:t>
            </w:r>
            <w:r>
              <w:rPr>
                <w:webHidden/>
              </w:rPr>
              <w:tab/>
            </w:r>
            <w:r>
              <w:rPr>
                <w:webHidden/>
              </w:rPr>
              <w:fldChar w:fldCharType="begin"/>
            </w:r>
            <w:r>
              <w:rPr>
                <w:webHidden/>
              </w:rPr>
              <w:instrText xml:space="preserve"> PAGEREF _Toc12481214 \h </w:instrText>
            </w:r>
            <w:r>
              <w:rPr>
                <w:webHidden/>
              </w:rPr>
            </w:r>
            <w:r>
              <w:rPr>
                <w:webHidden/>
              </w:rPr>
              <w:fldChar w:fldCharType="separate"/>
            </w:r>
            <w:r>
              <w:rPr>
                <w:webHidden/>
              </w:rPr>
              <w:t>13</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15" w:history="1">
            <w:r w:rsidRPr="005E2D07">
              <w:rPr>
                <w:rStyle w:val="Hyperlink"/>
                <w:rFonts w:eastAsiaTheme="majorEastAsia"/>
              </w:rPr>
              <w:t>5.1.</w:t>
            </w:r>
            <w:r>
              <w:rPr>
                <w:rFonts w:asciiTheme="minorHAnsi" w:eastAsiaTheme="minorEastAsia" w:hAnsiTheme="minorHAnsi" w:cstheme="minorBidi"/>
                <w:b w:val="0"/>
                <w:sz w:val="22"/>
                <w:szCs w:val="22"/>
                <w:lang w:val="en-US" w:eastAsia="en-US"/>
              </w:rPr>
              <w:tab/>
            </w:r>
            <w:r w:rsidRPr="005E2D07">
              <w:rPr>
                <w:rStyle w:val="Hyperlink"/>
                <w:rFonts w:eastAsiaTheme="majorEastAsia"/>
              </w:rPr>
              <w:t>Informacje ogólne</w:t>
            </w:r>
            <w:r>
              <w:rPr>
                <w:webHidden/>
              </w:rPr>
              <w:tab/>
            </w:r>
            <w:r>
              <w:rPr>
                <w:webHidden/>
              </w:rPr>
              <w:fldChar w:fldCharType="begin"/>
            </w:r>
            <w:r>
              <w:rPr>
                <w:webHidden/>
              </w:rPr>
              <w:instrText xml:space="preserve"> PAGEREF _Toc12481215 \h </w:instrText>
            </w:r>
            <w:r>
              <w:rPr>
                <w:webHidden/>
              </w:rPr>
            </w:r>
            <w:r>
              <w:rPr>
                <w:webHidden/>
              </w:rPr>
              <w:fldChar w:fldCharType="separate"/>
            </w:r>
            <w:r>
              <w:rPr>
                <w:webHidden/>
              </w:rPr>
              <w:t>13</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16" w:history="1">
            <w:r w:rsidRPr="005E2D07">
              <w:rPr>
                <w:rStyle w:val="Hyperlink"/>
                <w:rFonts w:eastAsiaTheme="majorEastAsia"/>
              </w:rPr>
              <w:t>5.2.</w:t>
            </w:r>
            <w:r>
              <w:rPr>
                <w:rFonts w:asciiTheme="minorHAnsi" w:eastAsiaTheme="minorEastAsia" w:hAnsiTheme="minorHAnsi" w:cstheme="minorBidi"/>
                <w:b w:val="0"/>
                <w:sz w:val="22"/>
                <w:szCs w:val="22"/>
                <w:lang w:val="en-US" w:eastAsia="en-US"/>
              </w:rPr>
              <w:tab/>
            </w:r>
            <w:r w:rsidRPr="005E2D07">
              <w:rPr>
                <w:rStyle w:val="Hyperlink"/>
                <w:rFonts w:eastAsiaTheme="majorEastAsia"/>
              </w:rPr>
              <w:t>Pobieranie próbek</w:t>
            </w:r>
            <w:r>
              <w:rPr>
                <w:webHidden/>
              </w:rPr>
              <w:tab/>
            </w:r>
            <w:r>
              <w:rPr>
                <w:webHidden/>
              </w:rPr>
              <w:fldChar w:fldCharType="begin"/>
            </w:r>
            <w:r>
              <w:rPr>
                <w:webHidden/>
              </w:rPr>
              <w:instrText xml:space="preserve"> PAGEREF _Toc12481216 \h </w:instrText>
            </w:r>
            <w:r>
              <w:rPr>
                <w:webHidden/>
              </w:rPr>
            </w:r>
            <w:r>
              <w:rPr>
                <w:webHidden/>
              </w:rPr>
              <w:fldChar w:fldCharType="separate"/>
            </w:r>
            <w:r>
              <w:rPr>
                <w:webHidden/>
              </w:rPr>
              <w:t>14</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17" w:history="1">
            <w:r w:rsidRPr="005E2D07">
              <w:rPr>
                <w:rStyle w:val="Hyperlink"/>
                <w:rFonts w:eastAsiaTheme="majorEastAsia"/>
              </w:rPr>
              <w:t>5.3.</w:t>
            </w:r>
            <w:r>
              <w:rPr>
                <w:rFonts w:asciiTheme="minorHAnsi" w:eastAsiaTheme="minorEastAsia" w:hAnsiTheme="minorHAnsi" w:cstheme="minorBidi"/>
                <w:b w:val="0"/>
                <w:sz w:val="22"/>
                <w:szCs w:val="22"/>
                <w:lang w:val="en-US" w:eastAsia="en-US"/>
              </w:rPr>
              <w:tab/>
            </w:r>
            <w:r w:rsidRPr="005E2D07">
              <w:rPr>
                <w:rStyle w:val="Hyperlink"/>
                <w:rFonts w:eastAsiaTheme="majorEastAsia"/>
              </w:rPr>
              <w:t>Badanie prototypu niefabrykowanych systemów oznakowania</w:t>
            </w:r>
            <w:r>
              <w:rPr>
                <w:webHidden/>
              </w:rPr>
              <w:tab/>
            </w:r>
            <w:r>
              <w:rPr>
                <w:webHidden/>
              </w:rPr>
              <w:fldChar w:fldCharType="begin"/>
            </w:r>
            <w:r>
              <w:rPr>
                <w:webHidden/>
              </w:rPr>
              <w:instrText xml:space="preserve"> PAGEREF _Toc12481217 \h </w:instrText>
            </w:r>
            <w:r>
              <w:rPr>
                <w:webHidden/>
              </w:rPr>
            </w:r>
            <w:r>
              <w:rPr>
                <w:webHidden/>
              </w:rPr>
              <w:fldChar w:fldCharType="separate"/>
            </w:r>
            <w:r>
              <w:rPr>
                <w:webHidden/>
              </w:rPr>
              <w:t>14</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18" w:history="1">
            <w:r w:rsidRPr="005E2D07">
              <w:rPr>
                <w:rStyle w:val="Hyperlink"/>
                <w:rFonts w:eastAsiaTheme="majorEastAsia"/>
              </w:rPr>
              <w:t>5.3.1.</w:t>
            </w:r>
            <w:r>
              <w:rPr>
                <w:rFonts w:asciiTheme="minorHAnsi" w:eastAsiaTheme="minorEastAsia" w:hAnsiTheme="minorHAnsi" w:cstheme="minorBidi"/>
                <w:b w:val="0"/>
                <w:sz w:val="22"/>
                <w:szCs w:val="22"/>
                <w:lang w:val="en-US" w:eastAsia="en-US"/>
              </w:rPr>
              <w:tab/>
            </w:r>
            <w:r w:rsidRPr="005E2D07">
              <w:rPr>
                <w:rStyle w:val="Hyperlink"/>
                <w:rFonts w:eastAsiaTheme="majorEastAsia"/>
              </w:rPr>
              <w:t>Określanie zawartości składników organicznych i nieorganicznych</w:t>
            </w:r>
            <w:r>
              <w:rPr>
                <w:webHidden/>
              </w:rPr>
              <w:tab/>
            </w:r>
            <w:r>
              <w:rPr>
                <w:webHidden/>
              </w:rPr>
              <w:fldChar w:fldCharType="begin"/>
            </w:r>
            <w:r>
              <w:rPr>
                <w:webHidden/>
              </w:rPr>
              <w:instrText xml:space="preserve"> PAGEREF _Toc12481218 \h </w:instrText>
            </w:r>
            <w:r>
              <w:rPr>
                <w:webHidden/>
              </w:rPr>
            </w:r>
            <w:r>
              <w:rPr>
                <w:webHidden/>
              </w:rPr>
              <w:fldChar w:fldCharType="separate"/>
            </w:r>
            <w:r>
              <w:rPr>
                <w:webHidden/>
              </w:rPr>
              <w:t>14</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19" w:history="1">
            <w:r w:rsidRPr="005E2D07">
              <w:rPr>
                <w:rStyle w:val="Hyperlink"/>
                <w:rFonts w:eastAsiaTheme="majorEastAsia"/>
              </w:rPr>
              <w:t>5.3.2.</w:t>
            </w:r>
            <w:r>
              <w:rPr>
                <w:rFonts w:asciiTheme="minorHAnsi" w:eastAsiaTheme="minorEastAsia" w:hAnsiTheme="minorHAnsi" w:cstheme="minorBidi"/>
                <w:b w:val="0"/>
                <w:sz w:val="22"/>
                <w:szCs w:val="22"/>
                <w:lang w:val="en-US" w:eastAsia="en-US"/>
              </w:rPr>
              <w:tab/>
            </w:r>
            <w:r w:rsidRPr="005E2D07">
              <w:rPr>
                <w:rStyle w:val="Hyperlink"/>
                <w:rFonts w:eastAsiaTheme="majorEastAsia"/>
              </w:rPr>
              <w:t>Określanie lotnych związków organicznych i monomerów/oligomerów</w:t>
            </w:r>
            <w:r>
              <w:rPr>
                <w:webHidden/>
              </w:rPr>
              <w:tab/>
            </w:r>
            <w:r>
              <w:rPr>
                <w:webHidden/>
              </w:rPr>
              <w:fldChar w:fldCharType="begin"/>
            </w:r>
            <w:r>
              <w:rPr>
                <w:webHidden/>
              </w:rPr>
              <w:instrText xml:space="preserve"> PAGEREF _Toc12481219 \h </w:instrText>
            </w:r>
            <w:r>
              <w:rPr>
                <w:webHidden/>
              </w:rPr>
            </w:r>
            <w:r>
              <w:rPr>
                <w:webHidden/>
              </w:rPr>
              <w:fldChar w:fldCharType="separate"/>
            </w:r>
            <w:r>
              <w:rPr>
                <w:webHidden/>
              </w:rPr>
              <w:t>15</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20" w:history="1">
            <w:r w:rsidRPr="005E2D07">
              <w:rPr>
                <w:rStyle w:val="Hyperlink"/>
                <w:rFonts w:eastAsiaTheme="majorEastAsia"/>
              </w:rPr>
              <w:t>5.3.3.</w:t>
            </w:r>
            <w:r>
              <w:rPr>
                <w:rFonts w:asciiTheme="minorHAnsi" w:eastAsiaTheme="minorEastAsia" w:hAnsiTheme="minorHAnsi" w:cstheme="minorBidi"/>
                <w:b w:val="0"/>
                <w:sz w:val="22"/>
                <w:szCs w:val="22"/>
                <w:lang w:val="en-US" w:eastAsia="en-US"/>
              </w:rPr>
              <w:tab/>
            </w:r>
            <w:r w:rsidRPr="005E2D07">
              <w:rPr>
                <w:rStyle w:val="Hyperlink"/>
                <w:rFonts w:eastAsiaTheme="majorEastAsia"/>
              </w:rPr>
              <w:t>Określanie zawartości dwutlenku tytanu w pozostałościach nieorganicznych</w:t>
            </w:r>
            <w:r>
              <w:rPr>
                <w:webHidden/>
              </w:rPr>
              <w:tab/>
            </w:r>
            <w:r>
              <w:rPr>
                <w:webHidden/>
              </w:rPr>
              <w:fldChar w:fldCharType="begin"/>
            </w:r>
            <w:r>
              <w:rPr>
                <w:webHidden/>
              </w:rPr>
              <w:instrText xml:space="preserve"> PAGEREF _Toc12481220 \h </w:instrText>
            </w:r>
            <w:r>
              <w:rPr>
                <w:webHidden/>
              </w:rPr>
            </w:r>
            <w:r>
              <w:rPr>
                <w:webHidden/>
              </w:rPr>
              <w:fldChar w:fldCharType="separate"/>
            </w:r>
            <w:r>
              <w:rPr>
                <w:webHidden/>
              </w:rPr>
              <w:t>15</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21" w:history="1">
            <w:r w:rsidRPr="005E2D07">
              <w:rPr>
                <w:rStyle w:val="Hyperlink"/>
                <w:rFonts w:eastAsiaTheme="majorEastAsia"/>
              </w:rPr>
              <w:t>5.3.4.</w:t>
            </w:r>
            <w:r>
              <w:rPr>
                <w:rFonts w:asciiTheme="minorHAnsi" w:eastAsiaTheme="minorEastAsia" w:hAnsiTheme="minorHAnsi" w:cstheme="minorBidi"/>
                <w:b w:val="0"/>
                <w:sz w:val="22"/>
                <w:szCs w:val="22"/>
                <w:lang w:val="en-US" w:eastAsia="en-US"/>
              </w:rPr>
              <w:tab/>
            </w:r>
            <w:r w:rsidRPr="005E2D07">
              <w:rPr>
                <w:rStyle w:val="Hyperlink"/>
                <w:rFonts w:eastAsiaTheme="majorEastAsia"/>
              </w:rPr>
              <w:t>Określanie zawartości mikrogranulek do mieszania</w:t>
            </w:r>
            <w:r>
              <w:rPr>
                <w:webHidden/>
              </w:rPr>
              <w:tab/>
            </w:r>
            <w:r>
              <w:rPr>
                <w:webHidden/>
              </w:rPr>
              <w:fldChar w:fldCharType="begin"/>
            </w:r>
            <w:r>
              <w:rPr>
                <w:webHidden/>
              </w:rPr>
              <w:instrText xml:space="preserve"> PAGEREF _Toc12481221 \h </w:instrText>
            </w:r>
            <w:r>
              <w:rPr>
                <w:webHidden/>
              </w:rPr>
            </w:r>
            <w:r>
              <w:rPr>
                <w:webHidden/>
              </w:rPr>
              <w:fldChar w:fldCharType="separate"/>
            </w:r>
            <w:r>
              <w:rPr>
                <w:webHidden/>
              </w:rPr>
              <w:t>15</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22" w:history="1">
            <w:r w:rsidRPr="005E2D07">
              <w:rPr>
                <w:rStyle w:val="Hyperlink"/>
                <w:rFonts w:eastAsiaTheme="majorEastAsia"/>
              </w:rPr>
              <w:t>5.3.5.</w:t>
            </w:r>
            <w:r>
              <w:rPr>
                <w:rFonts w:asciiTheme="minorHAnsi" w:eastAsiaTheme="minorEastAsia" w:hAnsiTheme="minorHAnsi" w:cstheme="minorBidi"/>
                <w:b w:val="0"/>
                <w:sz w:val="22"/>
                <w:szCs w:val="22"/>
                <w:lang w:val="en-US" w:eastAsia="en-US"/>
              </w:rPr>
              <w:tab/>
            </w:r>
            <w:r w:rsidRPr="005E2D07">
              <w:rPr>
                <w:rStyle w:val="Hyperlink"/>
                <w:rFonts w:eastAsiaTheme="majorEastAsia"/>
              </w:rPr>
              <w:t>Określanie temperatury mięknienia według Wilhelmiego</w:t>
            </w:r>
            <w:r>
              <w:rPr>
                <w:webHidden/>
              </w:rPr>
              <w:tab/>
            </w:r>
            <w:r>
              <w:rPr>
                <w:webHidden/>
              </w:rPr>
              <w:fldChar w:fldCharType="begin"/>
            </w:r>
            <w:r>
              <w:rPr>
                <w:webHidden/>
              </w:rPr>
              <w:instrText xml:space="preserve"> PAGEREF _Toc12481222 \h </w:instrText>
            </w:r>
            <w:r>
              <w:rPr>
                <w:webHidden/>
              </w:rPr>
            </w:r>
            <w:r>
              <w:rPr>
                <w:webHidden/>
              </w:rPr>
              <w:fldChar w:fldCharType="separate"/>
            </w:r>
            <w:r>
              <w:rPr>
                <w:webHidden/>
              </w:rPr>
              <w:t>15</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23" w:history="1">
            <w:r w:rsidRPr="005E2D07">
              <w:rPr>
                <w:rStyle w:val="Hyperlink"/>
                <w:rFonts w:eastAsiaTheme="majorEastAsia"/>
              </w:rPr>
              <w:t>5.3.6.</w:t>
            </w:r>
            <w:r>
              <w:rPr>
                <w:rFonts w:asciiTheme="minorHAnsi" w:eastAsiaTheme="minorEastAsia" w:hAnsiTheme="minorHAnsi" w:cstheme="minorBidi"/>
                <w:b w:val="0"/>
                <w:sz w:val="22"/>
                <w:szCs w:val="22"/>
                <w:lang w:val="en-US" w:eastAsia="en-US"/>
              </w:rPr>
              <w:tab/>
            </w:r>
            <w:r w:rsidRPr="005E2D07">
              <w:rPr>
                <w:rStyle w:val="Hyperlink"/>
                <w:rFonts w:eastAsiaTheme="majorEastAsia"/>
              </w:rPr>
              <w:t>Odporność na wnikanie</w:t>
            </w:r>
            <w:r>
              <w:rPr>
                <w:webHidden/>
              </w:rPr>
              <w:tab/>
            </w:r>
            <w:r>
              <w:rPr>
                <w:webHidden/>
              </w:rPr>
              <w:fldChar w:fldCharType="begin"/>
            </w:r>
            <w:r>
              <w:rPr>
                <w:webHidden/>
              </w:rPr>
              <w:instrText xml:space="preserve"> PAGEREF _Toc12481223 \h </w:instrText>
            </w:r>
            <w:r>
              <w:rPr>
                <w:webHidden/>
              </w:rPr>
            </w:r>
            <w:r>
              <w:rPr>
                <w:webHidden/>
              </w:rPr>
              <w:fldChar w:fldCharType="separate"/>
            </w:r>
            <w:r>
              <w:rPr>
                <w:webHidden/>
              </w:rPr>
              <w:t>16</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24" w:history="1">
            <w:r w:rsidRPr="005E2D07">
              <w:rPr>
                <w:rStyle w:val="Hyperlink"/>
                <w:rFonts w:eastAsiaTheme="majorEastAsia"/>
              </w:rPr>
              <w:t>5.3.7.</w:t>
            </w:r>
            <w:r>
              <w:rPr>
                <w:rFonts w:asciiTheme="minorHAnsi" w:eastAsiaTheme="minorEastAsia" w:hAnsiTheme="minorHAnsi" w:cstheme="minorBidi"/>
                <w:b w:val="0"/>
                <w:sz w:val="22"/>
                <w:szCs w:val="22"/>
                <w:lang w:val="en-US" w:eastAsia="en-US"/>
              </w:rPr>
              <w:tab/>
            </w:r>
            <w:r w:rsidRPr="005E2D07">
              <w:rPr>
                <w:rStyle w:val="Hyperlink"/>
                <w:rFonts w:eastAsiaTheme="majorEastAsia"/>
              </w:rPr>
              <w:t>Badanie pod kątem zawartości ołowiu i kadmu w przypadku czasowych systemów oznakowania</w:t>
            </w:r>
            <w:r>
              <w:rPr>
                <w:webHidden/>
              </w:rPr>
              <w:tab/>
            </w:r>
            <w:r>
              <w:rPr>
                <w:webHidden/>
              </w:rPr>
              <w:fldChar w:fldCharType="begin"/>
            </w:r>
            <w:r>
              <w:rPr>
                <w:webHidden/>
              </w:rPr>
              <w:instrText xml:space="preserve"> PAGEREF _Toc12481224 \h </w:instrText>
            </w:r>
            <w:r>
              <w:rPr>
                <w:webHidden/>
              </w:rPr>
            </w:r>
            <w:r>
              <w:rPr>
                <w:webHidden/>
              </w:rPr>
              <w:fldChar w:fldCharType="separate"/>
            </w:r>
            <w:r>
              <w:rPr>
                <w:webHidden/>
              </w:rPr>
              <w:t>16</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25" w:history="1">
            <w:r w:rsidRPr="005E2D07">
              <w:rPr>
                <w:rStyle w:val="Hyperlink"/>
                <w:rFonts w:eastAsiaTheme="majorEastAsia"/>
              </w:rPr>
              <w:t>5.4.</w:t>
            </w:r>
            <w:r>
              <w:rPr>
                <w:rFonts w:asciiTheme="minorHAnsi" w:eastAsiaTheme="minorEastAsia" w:hAnsiTheme="minorHAnsi" w:cstheme="minorBidi"/>
                <w:b w:val="0"/>
                <w:sz w:val="22"/>
                <w:szCs w:val="22"/>
                <w:lang w:val="en-US" w:eastAsia="en-US"/>
              </w:rPr>
              <w:tab/>
            </w:r>
            <w:r w:rsidRPr="005E2D07">
              <w:rPr>
                <w:rStyle w:val="Hyperlink"/>
                <w:rFonts w:eastAsiaTheme="majorEastAsia"/>
              </w:rPr>
              <w:t>Badanie prototypu folii do oznakowania (metoda identyfikacji)</w:t>
            </w:r>
            <w:r>
              <w:rPr>
                <w:webHidden/>
              </w:rPr>
              <w:tab/>
            </w:r>
            <w:r>
              <w:rPr>
                <w:webHidden/>
              </w:rPr>
              <w:fldChar w:fldCharType="begin"/>
            </w:r>
            <w:r>
              <w:rPr>
                <w:webHidden/>
              </w:rPr>
              <w:instrText xml:space="preserve"> PAGEREF _Toc12481225 \h </w:instrText>
            </w:r>
            <w:r>
              <w:rPr>
                <w:webHidden/>
              </w:rPr>
            </w:r>
            <w:r>
              <w:rPr>
                <w:webHidden/>
              </w:rPr>
              <w:fldChar w:fldCharType="separate"/>
            </w:r>
            <w:r>
              <w:rPr>
                <w:webHidden/>
              </w:rPr>
              <w:t>16</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26" w:history="1">
            <w:r w:rsidRPr="005E2D07">
              <w:rPr>
                <w:rStyle w:val="Hyperlink"/>
                <w:rFonts w:eastAsiaTheme="majorEastAsia"/>
              </w:rPr>
              <w:t>5.4.1.</w:t>
            </w:r>
            <w:r>
              <w:rPr>
                <w:rFonts w:asciiTheme="minorHAnsi" w:eastAsiaTheme="minorEastAsia" w:hAnsiTheme="minorHAnsi" w:cstheme="minorBidi"/>
                <w:b w:val="0"/>
                <w:sz w:val="22"/>
                <w:szCs w:val="22"/>
                <w:lang w:val="en-US" w:eastAsia="en-US"/>
              </w:rPr>
              <w:tab/>
            </w:r>
            <w:r w:rsidRPr="005E2D07">
              <w:rPr>
                <w:rStyle w:val="Hyperlink"/>
                <w:rFonts w:eastAsiaTheme="majorEastAsia"/>
              </w:rPr>
              <w:t>Rezerwowe próbki folii</w:t>
            </w:r>
            <w:r>
              <w:rPr>
                <w:webHidden/>
              </w:rPr>
              <w:tab/>
            </w:r>
            <w:r>
              <w:rPr>
                <w:webHidden/>
              </w:rPr>
              <w:fldChar w:fldCharType="begin"/>
            </w:r>
            <w:r>
              <w:rPr>
                <w:webHidden/>
              </w:rPr>
              <w:instrText xml:space="preserve"> PAGEREF _Toc12481226 \h </w:instrText>
            </w:r>
            <w:r>
              <w:rPr>
                <w:webHidden/>
              </w:rPr>
            </w:r>
            <w:r>
              <w:rPr>
                <w:webHidden/>
              </w:rPr>
              <w:fldChar w:fldCharType="separate"/>
            </w:r>
            <w:r>
              <w:rPr>
                <w:webHidden/>
              </w:rPr>
              <w:t>16</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27" w:history="1">
            <w:r w:rsidRPr="005E2D07">
              <w:rPr>
                <w:rStyle w:val="Hyperlink"/>
                <w:rFonts w:eastAsiaTheme="majorEastAsia"/>
              </w:rPr>
              <w:t>5.4.2.</w:t>
            </w:r>
            <w:r>
              <w:rPr>
                <w:rFonts w:asciiTheme="minorHAnsi" w:eastAsiaTheme="minorEastAsia" w:hAnsiTheme="minorHAnsi" w:cstheme="minorBidi"/>
                <w:b w:val="0"/>
                <w:sz w:val="22"/>
                <w:szCs w:val="22"/>
                <w:lang w:val="en-US" w:eastAsia="en-US"/>
              </w:rPr>
              <w:tab/>
            </w:r>
            <w:r w:rsidRPr="005E2D07">
              <w:rPr>
                <w:rStyle w:val="Hyperlink"/>
                <w:rFonts w:eastAsiaTheme="majorEastAsia"/>
              </w:rPr>
              <w:t>Analiza obrazu folii do oznakowania dróg</w:t>
            </w:r>
            <w:r>
              <w:rPr>
                <w:webHidden/>
              </w:rPr>
              <w:tab/>
            </w:r>
            <w:r>
              <w:rPr>
                <w:webHidden/>
              </w:rPr>
              <w:fldChar w:fldCharType="begin"/>
            </w:r>
            <w:r>
              <w:rPr>
                <w:webHidden/>
              </w:rPr>
              <w:instrText xml:space="preserve"> PAGEREF _Toc12481227 \h </w:instrText>
            </w:r>
            <w:r>
              <w:rPr>
                <w:webHidden/>
              </w:rPr>
            </w:r>
            <w:r>
              <w:rPr>
                <w:webHidden/>
              </w:rPr>
              <w:fldChar w:fldCharType="separate"/>
            </w:r>
            <w:r>
              <w:rPr>
                <w:webHidden/>
              </w:rPr>
              <w:t>16</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28" w:history="1">
            <w:r w:rsidRPr="005E2D07">
              <w:rPr>
                <w:rStyle w:val="Hyperlink"/>
                <w:rFonts w:eastAsiaTheme="majorEastAsia"/>
              </w:rPr>
              <w:t>5.4.3.</w:t>
            </w:r>
            <w:r>
              <w:rPr>
                <w:rFonts w:asciiTheme="minorHAnsi" w:eastAsiaTheme="minorEastAsia" w:hAnsiTheme="minorHAnsi" w:cstheme="minorBidi"/>
                <w:b w:val="0"/>
                <w:sz w:val="22"/>
                <w:szCs w:val="22"/>
                <w:lang w:val="en-US" w:eastAsia="en-US"/>
              </w:rPr>
              <w:tab/>
            </w:r>
            <w:r w:rsidRPr="005E2D07">
              <w:rPr>
                <w:rStyle w:val="Hyperlink"/>
                <w:rFonts w:eastAsiaTheme="majorEastAsia"/>
              </w:rPr>
              <w:t>Analiza termograwimetryczna folii do oznakowania</w:t>
            </w:r>
            <w:r>
              <w:rPr>
                <w:webHidden/>
              </w:rPr>
              <w:tab/>
            </w:r>
            <w:r>
              <w:rPr>
                <w:webHidden/>
              </w:rPr>
              <w:fldChar w:fldCharType="begin"/>
            </w:r>
            <w:r>
              <w:rPr>
                <w:webHidden/>
              </w:rPr>
              <w:instrText xml:space="preserve"> PAGEREF _Toc12481228 \h </w:instrText>
            </w:r>
            <w:r>
              <w:rPr>
                <w:webHidden/>
              </w:rPr>
            </w:r>
            <w:r>
              <w:rPr>
                <w:webHidden/>
              </w:rPr>
              <w:fldChar w:fldCharType="separate"/>
            </w:r>
            <w:r>
              <w:rPr>
                <w:webHidden/>
              </w:rPr>
              <w:t>16</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29" w:history="1">
            <w:r w:rsidRPr="005E2D07">
              <w:rPr>
                <w:rStyle w:val="Hyperlink"/>
                <w:rFonts w:eastAsiaTheme="majorEastAsia"/>
              </w:rPr>
              <w:t>5.4.4.</w:t>
            </w:r>
            <w:r>
              <w:rPr>
                <w:rFonts w:asciiTheme="minorHAnsi" w:eastAsiaTheme="minorEastAsia" w:hAnsiTheme="minorHAnsi" w:cstheme="minorBidi"/>
                <w:b w:val="0"/>
                <w:sz w:val="22"/>
                <w:szCs w:val="22"/>
                <w:lang w:val="en-US" w:eastAsia="en-US"/>
              </w:rPr>
              <w:tab/>
            </w:r>
            <w:r w:rsidRPr="005E2D07">
              <w:rPr>
                <w:rStyle w:val="Hyperlink"/>
                <w:rFonts w:eastAsiaTheme="majorEastAsia"/>
              </w:rPr>
              <w:t>Analiza warstwy kleju folii</w:t>
            </w:r>
            <w:r>
              <w:rPr>
                <w:webHidden/>
              </w:rPr>
              <w:tab/>
            </w:r>
            <w:r>
              <w:rPr>
                <w:webHidden/>
              </w:rPr>
              <w:fldChar w:fldCharType="begin"/>
            </w:r>
            <w:r>
              <w:rPr>
                <w:webHidden/>
              </w:rPr>
              <w:instrText xml:space="preserve"> PAGEREF _Toc12481229 \h </w:instrText>
            </w:r>
            <w:r>
              <w:rPr>
                <w:webHidden/>
              </w:rPr>
            </w:r>
            <w:r>
              <w:rPr>
                <w:webHidden/>
              </w:rPr>
              <w:fldChar w:fldCharType="separate"/>
            </w:r>
            <w:r>
              <w:rPr>
                <w:webHidden/>
              </w:rPr>
              <w:t>16</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30" w:history="1">
            <w:r w:rsidRPr="005E2D07">
              <w:rPr>
                <w:rStyle w:val="Hyperlink"/>
                <w:rFonts w:eastAsiaTheme="majorEastAsia"/>
              </w:rPr>
              <w:t>5.4.5.</w:t>
            </w:r>
            <w:r>
              <w:rPr>
                <w:rFonts w:asciiTheme="minorHAnsi" w:eastAsiaTheme="minorEastAsia" w:hAnsiTheme="minorHAnsi" w:cstheme="minorBidi"/>
                <w:b w:val="0"/>
                <w:sz w:val="22"/>
                <w:szCs w:val="22"/>
                <w:lang w:val="en-US" w:eastAsia="en-US"/>
              </w:rPr>
              <w:tab/>
            </w:r>
            <w:r w:rsidRPr="005E2D07">
              <w:rPr>
                <w:rStyle w:val="Hyperlink"/>
                <w:rFonts w:eastAsiaTheme="majorEastAsia"/>
              </w:rPr>
              <w:t>Analiza primerów bitumicznych</w:t>
            </w:r>
            <w:r>
              <w:rPr>
                <w:webHidden/>
              </w:rPr>
              <w:tab/>
            </w:r>
            <w:r>
              <w:rPr>
                <w:webHidden/>
              </w:rPr>
              <w:fldChar w:fldCharType="begin"/>
            </w:r>
            <w:r>
              <w:rPr>
                <w:webHidden/>
              </w:rPr>
              <w:instrText xml:space="preserve"> PAGEREF _Toc12481230 \h </w:instrText>
            </w:r>
            <w:r>
              <w:rPr>
                <w:webHidden/>
              </w:rPr>
            </w:r>
            <w:r>
              <w:rPr>
                <w:webHidden/>
              </w:rPr>
              <w:fldChar w:fldCharType="separate"/>
            </w:r>
            <w:r>
              <w:rPr>
                <w:webHidden/>
              </w:rPr>
              <w:t>17</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31" w:history="1">
            <w:r w:rsidRPr="005E2D07">
              <w:rPr>
                <w:rStyle w:val="Hyperlink"/>
                <w:rFonts w:eastAsiaTheme="majorEastAsia"/>
              </w:rPr>
              <w:t>5.5.</w:t>
            </w:r>
            <w:r>
              <w:rPr>
                <w:rFonts w:asciiTheme="minorHAnsi" w:eastAsiaTheme="minorEastAsia" w:hAnsiTheme="minorHAnsi" w:cstheme="minorBidi"/>
                <w:b w:val="0"/>
                <w:sz w:val="22"/>
                <w:szCs w:val="22"/>
                <w:lang w:val="en-US" w:eastAsia="en-US"/>
              </w:rPr>
              <w:tab/>
            </w:r>
            <w:r w:rsidRPr="005E2D07">
              <w:rPr>
                <w:rStyle w:val="Hyperlink"/>
                <w:rFonts w:eastAsiaTheme="majorEastAsia"/>
              </w:rPr>
              <w:t>Badanie prototypu nośników</w:t>
            </w:r>
            <w:r>
              <w:rPr>
                <w:webHidden/>
              </w:rPr>
              <w:tab/>
            </w:r>
            <w:r>
              <w:rPr>
                <w:webHidden/>
              </w:rPr>
              <w:fldChar w:fldCharType="begin"/>
            </w:r>
            <w:r>
              <w:rPr>
                <w:webHidden/>
              </w:rPr>
              <w:instrText xml:space="preserve"> PAGEREF _Toc12481231 \h </w:instrText>
            </w:r>
            <w:r>
              <w:rPr>
                <w:webHidden/>
              </w:rPr>
            </w:r>
            <w:r>
              <w:rPr>
                <w:webHidden/>
              </w:rPr>
              <w:fldChar w:fldCharType="separate"/>
            </w:r>
            <w:r>
              <w:rPr>
                <w:webHidden/>
              </w:rPr>
              <w:t>17</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32" w:history="1">
            <w:r w:rsidRPr="005E2D07">
              <w:rPr>
                <w:rStyle w:val="Hyperlink"/>
                <w:rFonts w:eastAsiaTheme="majorEastAsia"/>
              </w:rPr>
              <w:t>5.5.1.</w:t>
            </w:r>
            <w:r>
              <w:rPr>
                <w:rFonts w:asciiTheme="minorHAnsi" w:eastAsiaTheme="minorEastAsia" w:hAnsiTheme="minorHAnsi" w:cstheme="minorBidi"/>
                <w:b w:val="0"/>
                <w:sz w:val="22"/>
                <w:szCs w:val="22"/>
                <w:lang w:val="en-US" w:eastAsia="en-US"/>
              </w:rPr>
              <w:tab/>
            </w:r>
            <w:r w:rsidRPr="005E2D07">
              <w:rPr>
                <w:rStyle w:val="Hyperlink"/>
                <w:rFonts w:eastAsiaTheme="majorEastAsia"/>
              </w:rPr>
              <w:t>Analiza kulek refleksyjnych i kruszywa przeciwpoślizgowego (systemy do mieszania i systemy środków do posypywania)</w:t>
            </w:r>
            <w:r>
              <w:rPr>
                <w:webHidden/>
              </w:rPr>
              <w:tab/>
            </w:r>
            <w:r>
              <w:rPr>
                <w:webHidden/>
              </w:rPr>
              <w:fldChar w:fldCharType="begin"/>
            </w:r>
            <w:r>
              <w:rPr>
                <w:webHidden/>
              </w:rPr>
              <w:instrText xml:space="preserve"> PAGEREF _Toc12481232 \h </w:instrText>
            </w:r>
            <w:r>
              <w:rPr>
                <w:webHidden/>
              </w:rPr>
            </w:r>
            <w:r>
              <w:rPr>
                <w:webHidden/>
              </w:rPr>
              <w:fldChar w:fldCharType="separate"/>
            </w:r>
            <w:r>
              <w:rPr>
                <w:webHidden/>
              </w:rPr>
              <w:t>17</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33" w:history="1">
            <w:r w:rsidRPr="005E2D07">
              <w:rPr>
                <w:rStyle w:val="Hyperlink"/>
                <w:rFonts w:eastAsiaTheme="majorEastAsia"/>
              </w:rPr>
              <w:t>5.5.2.</w:t>
            </w:r>
            <w:r>
              <w:rPr>
                <w:rFonts w:asciiTheme="minorHAnsi" w:eastAsiaTheme="minorEastAsia" w:hAnsiTheme="minorHAnsi" w:cstheme="minorBidi"/>
                <w:b w:val="0"/>
                <w:sz w:val="22"/>
                <w:szCs w:val="22"/>
                <w:lang w:val="en-US" w:eastAsia="en-US"/>
              </w:rPr>
              <w:tab/>
            </w:r>
            <w:r w:rsidRPr="005E2D07">
              <w:rPr>
                <w:rStyle w:val="Hyperlink"/>
                <w:rFonts w:eastAsiaTheme="majorEastAsia"/>
              </w:rPr>
              <w:t>Analiza powłoki mikrogranulek refleksyjnych i kruszywa przeciwpoślizgowego</w:t>
            </w:r>
            <w:r>
              <w:rPr>
                <w:webHidden/>
              </w:rPr>
              <w:tab/>
            </w:r>
            <w:r>
              <w:rPr>
                <w:webHidden/>
              </w:rPr>
              <w:fldChar w:fldCharType="begin"/>
            </w:r>
            <w:r>
              <w:rPr>
                <w:webHidden/>
              </w:rPr>
              <w:instrText xml:space="preserve"> PAGEREF _Toc12481233 \h </w:instrText>
            </w:r>
            <w:r>
              <w:rPr>
                <w:webHidden/>
              </w:rPr>
            </w:r>
            <w:r>
              <w:rPr>
                <w:webHidden/>
              </w:rPr>
              <w:fldChar w:fldCharType="separate"/>
            </w:r>
            <w:r>
              <w:rPr>
                <w:webHidden/>
              </w:rPr>
              <w:t>17</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34" w:history="1">
            <w:r w:rsidRPr="005E2D07">
              <w:rPr>
                <w:rStyle w:val="Hyperlink"/>
                <w:rFonts w:eastAsiaTheme="majorEastAsia"/>
              </w:rPr>
              <w:t>5.5.3.</w:t>
            </w:r>
            <w:r>
              <w:rPr>
                <w:rFonts w:asciiTheme="minorHAnsi" w:eastAsiaTheme="minorEastAsia" w:hAnsiTheme="minorHAnsi" w:cstheme="minorBidi"/>
                <w:b w:val="0"/>
                <w:sz w:val="22"/>
                <w:szCs w:val="22"/>
                <w:lang w:val="en-US" w:eastAsia="en-US"/>
              </w:rPr>
              <w:tab/>
            </w:r>
            <w:r w:rsidRPr="005E2D07">
              <w:rPr>
                <w:rStyle w:val="Hyperlink"/>
                <w:rFonts w:eastAsiaTheme="majorEastAsia"/>
              </w:rPr>
              <w:t>Analiza pozostałych nośników</w:t>
            </w:r>
            <w:r>
              <w:rPr>
                <w:webHidden/>
              </w:rPr>
              <w:tab/>
            </w:r>
            <w:r>
              <w:rPr>
                <w:webHidden/>
              </w:rPr>
              <w:fldChar w:fldCharType="begin"/>
            </w:r>
            <w:r>
              <w:rPr>
                <w:webHidden/>
              </w:rPr>
              <w:instrText xml:space="preserve"> PAGEREF _Toc12481234 \h </w:instrText>
            </w:r>
            <w:r>
              <w:rPr>
                <w:webHidden/>
              </w:rPr>
            </w:r>
            <w:r>
              <w:rPr>
                <w:webHidden/>
              </w:rPr>
              <w:fldChar w:fldCharType="separate"/>
            </w:r>
            <w:r>
              <w:rPr>
                <w:webHidden/>
              </w:rPr>
              <w:t>17</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35" w:history="1">
            <w:r w:rsidRPr="005E2D07">
              <w:rPr>
                <w:rStyle w:val="Hyperlink"/>
                <w:rFonts w:eastAsiaTheme="majorEastAsia"/>
              </w:rPr>
              <w:t>Załącznik A</w:t>
            </w:r>
            <w:r>
              <w:rPr>
                <w:webHidden/>
              </w:rPr>
              <w:tab/>
            </w:r>
            <w:r>
              <w:rPr>
                <w:webHidden/>
              </w:rPr>
              <w:fldChar w:fldCharType="begin"/>
            </w:r>
            <w:r>
              <w:rPr>
                <w:webHidden/>
              </w:rPr>
              <w:instrText xml:space="preserve"> PAGEREF _Toc12481235 \h </w:instrText>
            </w:r>
            <w:r>
              <w:rPr>
                <w:webHidden/>
              </w:rPr>
            </w:r>
            <w:r>
              <w:rPr>
                <w:webHidden/>
              </w:rPr>
              <w:fldChar w:fldCharType="separate"/>
            </w:r>
            <w:r>
              <w:rPr>
                <w:webHidden/>
              </w:rPr>
              <w:t>18</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36" w:history="1">
            <w:r w:rsidRPr="005E2D07">
              <w:rPr>
                <w:rStyle w:val="Hyperlink"/>
                <w:rFonts w:eastAsiaTheme="majorEastAsia"/>
              </w:rPr>
              <w:t>Załącznik B</w:t>
            </w:r>
            <w:r>
              <w:rPr>
                <w:webHidden/>
              </w:rPr>
              <w:tab/>
            </w:r>
            <w:r>
              <w:rPr>
                <w:webHidden/>
              </w:rPr>
              <w:fldChar w:fldCharType="begin"/>
            </w:r>
            <w:r>
              <w:rPr>
                <w:webHidden/>
              </w:rPr>
              <w:instrText xml:space="preserve"> PAGEREF _Toc12481236 \h </w:instrText>
            </w:r>
            <w:r>
              <w:rPr>
                <w:webHidden/>
              </w:rPr>
            </w:r>
            <w:r>
              <w:rPr>
                <w:webHidden/>
              </w:rPr>
              <w:fldChar w:fldCharType="separate"/>
            </w:r>
            <w:r>
              <w:rPr>
                <w:webHidden/>
              </w:rPr>
              <w:t>21</w:t>
            </w:r>
            <w:r>
              <w:rPr>
                <w:webHidden/>
              </w:rPr>
              <w:fldChar w:fldCharType="end"/>
            </w:r>
          </w:hyperlink>
        </w:p>
        <w:p w:rsidR="00A66784" w:rsidRDefault="00A66784">
          <w:pPr>
            <w:pStyle w:val="TOC1"/>
            <w:rPr>
              <w:rFonts w:asciiTheme="minorHAnsi" w:eastAsiaTheme="minorEastAsia" w:hAnsiTheme="minorHAnsi" w:cstheme="minorBidi"/>
              <w:b w:val="0"/>
              <w:sz w:val="22"/>
              <w:szCs w:val="22"/>
              <w:lang w:val="en-US" w:eastAsia="en-US"/>
            </w:rPr>
          </w:pPr>
          <w:hyperlink w:anchor="_Toc12481237" w:history="1">
            <w:r w:rsidRPr="005E2D07">
              <w:rPr>
                <w:rStyle w:val="Hyperlink"/>
                <w:rFonts w:eastAsiaTheme="majorEastAsia"/>
              </w:rPr>
              <w:t>Załącznik C</w:t>
            </w:r>
            <w:r>
              <w:rPr>
                <w:webHidden/>
              </w:rPr>
              <w:tab/>
            </w:r>
            <w:r>
              <w:rPr>
                <w:webHidden/>
              </w:rPr>
              <w:fldChar w:fldCharType="begin"/>
            </w:r>
            <w:r>
              <w:rPr>
                <w:webHidden/>
              </w:rPr>
              <w:instrText xml:space="preserve"> PAGEREF _Toc12481237 \h </w:instrText>
            </w:r>
            <w:r>
              <w:rPr>
                <w:webHidden/>
              </w:rPr>
            </w:r>
            <w:r>
              <w:rPr>
                <w:webHidden/>
              </w:rPr>
              <w:fldChar w:fldCharType="separate"/>
            </w:r>
            <w:r>
              <w:rPr>
                <w:webHidden/>
              </w:rPr>
              <w:t>24</w:t>
            </w:r>
            <w:r>
              <w:rPr>
                <w:webHidden/>
              </w:rPr>
              <w:fldChar w:fldCharType="end"/>
            </w:r>
          </w:hyperlink>
        </w:p>
        <w:p w:rsidR="002100A4" w:rsidRPr="003A38BA" w:rsidRDefault="004939B5">
          <w:pPr>
            <w:rPr>
              <w:sz w:val="24"/>
              <w:szCs w:val="24"/>
            </w:rPr>
          </w:pPr>
          <w:r w:rsidRPr="003A38BA">
            <w:rPr>
              <w:sz w:val="24"/>
              <w:szCs w:val="24"/>
            </w:rPr>
            <w:fldChar w:fldCharType="end"/>
          </w:r>
        </w:p>
      </w:sdtContent>
    </w:sdt>
    <w:p w:rsidR="006D5959" w:rsidRPr="003A38BA" w:rsidRDefault="006D5959" w:rsidP="006D5959">
      <w:pPr>
        <w:spacing w:after="200" w:line="276" w:lineRule="auto"/>
        <w:rPr>
          <w:rFonts w:cs="Arial"/>
          <w:sz w:val="24"/>
          <w:szCs w:val="24"/>
        </w:rPr>
      </w:pPr>
    </w:p>
    <w:p w:rsidR="006D5959" w:rsidRPr="003A38BA" w:rsidRDefault="006D5959">
      <w:pPr>
        <w:rPr>
          <w:rFonts w:cs="Arial"/>
          <w:sz w:val="24"/>
          <w:szCs w:val="24"/>
          <w:highlight w:val="lightGray"/>
        </w:rPr>
      </w:pPr>
      <w:r>
        <w:br w:type="page"/>
      </w:r>
    </w:p>
    <w:p w:rsidR="00F9526A" w:rsidRPr="003A38BA" w:rsidRDefault="00F9526A" w:rsidP="007C21AF">
      <w:pPr>
        <w:pStyle w:val="Heading1"/>
        <w:numPr>
          <w:ilvl w:val="0"/>
          <w:numId w:val="5"/>
        </w:numPr>
        <w:jc w:val="both"/>
        <w:rPr>
          <w:sz w:val="24"/>
          <w:szCs w:val="24"/>
        </w:rPr>
      </w:pPr>
      <w:bookmarkStart w:id="6" w:name="_Toc12481193"/>
      <w:r>
        <w:rPr>
          <w:sz w:val="24"/>
          <w:szCs w:val="24"/>
        </w:rPr>
        <w:lastRenderedPageBreak/>
        <w:t>Informacje ogólne</w:t>
      </w:r>
      <w:bookmarkEnd w:id="6"/>
    </w:p>
    <w:p w:rsidR="00532584" w:rsidRPr="003A38BA" w:rsidRDefault="00F9526A" w:rsidP="007C21AF">
      <w:pPr>
        <w:spacing w:after="120"/>
        <w:ind w:left="0" w:firstLine="0"/>
        <w:jc w:val="both"/>
      </w:pPr>
      <w:r>
        <w:t>„Techniczne warunki badania systemów oznakowania (TP M)” zawierają wymogi dotyczące badań przydatności oznakowań stałych (białych) i tymczasowych (żółtych) wykonywanych z systemów oznakowania. Regulacje zawarte w niniejszych warunkach TP M są oparte na normie kontrolnej DIN EN 13197. Precyzują ją w kilku punktach bądź ustalają, które z parametrów możliwych według normy DIN EN 13197 powinny być stosowane w Niemczech. O ile nie dokonano rozróżnienia w odnośnych sekcjach, regulacje dotyczą oznakowań zarówno stałych, jak i tymczasowych.</w:t>
      </w:r>
    </w:p>
    <w:p w:rsidR="00A2285F" w:rsidRPr="003A38BA" w:rsidRDefault="00A2285F" w:rsidP="007C21AF">
      <w:pPr>
        <w:spacing w:after="120"/>
        <w:ind w:left="0" w:firstLine="0"/>
        <w:jc w:val="both"/>
      </w:pPr>
      <w:r>
        <w:t xml:space="preserve">Materiały i składniki obojętne używane do oznakowania dróg muszą odpowiadać „Technicznym warunkom dostawy materiałów do oznakowania (TL M)”. Ponadto oznakowania muszą odpowiadać „Dodatkowym technicznym warunkom umowy oraz wytycznym dotyczącym oznakowania na drogach (ZTV M)”. </w:t>
      </w:r>
    </w:p>
    <w:p w:rsidR="00BE1620" w:rsidRPr="003A38BA" w:rsidRDefault="00BE1620" w:rsidP="007C21AF">
      <w:pPr>
        <w:spacing w:after="120"/>
        <w:ind w:left="0" w:firstLine="0"/>
        <w:jc w:val="both"/>
      </w:pPr>
      <w:r>
        <w:t>Materiały budowlane i mieszanki materiałów budowlanych stosowane do oznakowań dróg, które zostały legalnie wyprodukowane lub wprowadzone do obrotu w innym państwie członkowskim Unii Europejskiej lub w Turcji lub zostały legalnie wyprodukowane w państwie EFTA, które jest stroną Porozumienia EOG, są dopuszczone do użytku w Niemczech, jeżeli gwarantują trwale poziom ochrony odpowiadający poziomowi zdefiniowanemu w „Dodatkowych technicznych warunkach umów i wytycznych dotyczących oznakowania dróg (ZTV M)” oraz w „Technicznych warunkach dostawy materiałów do oznakowania (TL M)”.</w:t>
      </w:r>
    </w:p>
    <w:p w:rsidR="002A210D" w:rsidRPr="003A38BA" w:rsidRDefault="002A210D" w:rsidP="007C21AF">
      <w:pPr>
        <w:pStyle w:val="Heading1"/>
        <w:numPr>
          <w:ilvl w:val="0"/>
          <w:numId w:val="5"/>
        </w:numPr>
        <w:jc w:val="both"/>
        <w:rPr>
          <w:sz w:val="24"/>
          <w:szCs w:val="24"/>
        </w:rPr>
      </w:pPr>
      <w:bookmarkStart w:id="7" w:name="_Toc12481194"/>
      <w:r>
        <w:rPr>
          <w:sz w:val="24"/>
          <w:szCs w:val="24"/>
        </w:rPr>
        <w:t>Odniesienia do norm</w:t>
      </w:r>
      <w:bookmarkEnd w:id="7"/>
    </w:p>
    <w:p w:rsidR="002A210D" w:rsidRPr="003A38BA" w:rsidRDefault="002A210D" w:rsidP="007C21AF">
      <w:pPr>
        <w:ind w:left="0" w:firstLine="0"/>
        <w:jc w:val="both"/>
      </w:pPr>
      <w:r>
        <w:t xml:space="preserve">Poniższe cytowane dokumenty są wymagane do stosowania niniejszego dokumentu. W przypadku odnośników datowanych obowiązuje tylko wydanie, do którego ma miejsce odwołanie. W przypadku odnośników niedatowanych obowiązuje ostatnie wydanie dokumentu, do którego ma miejsce odwołanie. </w:t>
      </w:r>
    </w:p>
    <w:p w:rsidR="001E3D7B" w:rsidRPr="003A38BA" w:rsidRDefault="001E3D7B" w:rsidP="007C21AF">
      <w:pPr>
        <w:ind w:left="0" w:firstLine="0"/>
        <w:jc w:val="both"/>
        <w:rPr>
          <w:i/>
        </w:rPr>
      </w:pPr>
    </w:p>
    <w:p w:rsidR="00D74A8B" w:rsidRPr="003A38BA" w:rsidRDefault="008D2005" w:rsidP="007C21AF">
      <w:pPr>
        <w:spacing w:after="120"/>
        <w:ind w:left="0" w:firstLine="0"/>
        <w:jc w:val="both"/>
        <w:rPr>
          <w:i/>
        </w:rPr>
      </w:pPr>
      <w:r>
        <w:rPr>
          <w:i/>
        </w:rPr>
        <w:t xml:space="preserve">DIN EN 1423 Materiały do poziomego oznakowania dróg – Materiały do posypywania – Kulki szklane, kruszywo przeciwpoślizgowe i ich mieszaniny </w:t>
      </w:r>
    </w:p>
    <w:p w:rsidR="004C32A6" w:rsidRPr="003A38BA" w:rsidRDefault="008D2005" w:rsidP="007C21AF">
      <w:pPr>
        <w:spacing w:after="120"/>
        <w:ind w:left="0" w:firstLine="0"/>
        <w:jc w:val="both"/>
        <w:rPr>
          <w:i/>
        </w:rPr>
      </w:pPr>
      <w:r>
        <w:rPr>
          <w:i/>
        </w:rPr>
        <w:t>DIN EN 1424 Materiały do poziomego oznakowania dróg – Kulki szklane do mieszania</w:t>
      </w:r>
    </w:p>
    <w:p w:rsidR="00D74A8B" w:rsidRPr="003A38BA" w:rsidRDefault="008D2005" w:rsidP="007C21AF">
      <w:pPr>
        <w:spacing w:after="120"/>
        <w:ind w:left="0" w:firstLine="0"/>
        <w:jc w:val="both"/>
        <w:rPr>
          <w:i/>
        </w:rPr>
      </w:pPr>
      <w:r>
        <w:rPr>
          <w:i/>
        </w:rPr>
        <w:t>DIN EN 1436 Materiały do poziomego oznakowania dróg – Wymagania dotyczące poziomych oznakowań dróg</w:t>
      </w:r>
    </w:p>
    <w:p w:rsidR="00D74A8B" w:rsidRPr="003A38BA" w:rsidRDefault="008D2005" w:rsidP="007C21AF">
      <w:pPr>
        <w:spacing w:after="120"/>
        <w:ind w:left="0" w:firstLine="0"/>
        <w:jc w:val="both"/>
        <w:rPr>
          <w:i/>
        </w:rPr>
      </w:pPr>
      <w:r>
        <w:rPr>
          <w:i/>
        </w:rPr>
        <w:t>DIN EN 1790: 2013 Materiały do poziomego oznakowania dróg – Prefabrykowane materiały do poziomego oznakowania dróg</w:t>
      </w:r>
    </w:p>
    <w:p w:rsidR="00D74A8B" w:rsidRPr="003A38BA" w:rsidRDefault="008D2005" w:rsidP="007C21AF">
      <w:pPr>
        <w:spacing w:after="120"/>
        <w:ind w:left="0" w:firstLine="0"/>
        <w:jc w:val="both"/>
        <w:rPr>
          <w:i/>
        </w:rPr>
      </w:pPr>
      <w:r>
        <w:rPr>
          <w:i/>
        </w:rPr>
        <w:t>DIN EN 1871: 2000 Materiały do poziomego oznakowania dróg – Właściwości fizyczne</w:t>
      </w:r>
    </w:p>
    <w:p w:rsidR="00D74A8B" w:rsidRPr="003A38BA" w:rsidRDefault="008D2005" w:rsidP="007C21AF">
      <w:pPr>
        <w:spacing w:after="120"/>
        <w:ind w:left="0" w:firstLine="0"/>
        <w:jc w:val="both"/>
        <w:rPr>
          <w:i/>
        </w:rPr>
      </w:pPr>
      <w:r>
        <w:rPr>
          <w:i/>
        </w:rPr>
        <w:t>DIN EN 12802: 2011 Materiały do poziomego oznakowania dróg – Laboratoryjne metody identyfikacji</w:t>
      </w:r>
    </w:p>
    <w:p w:rsidR="001E5919" w:rsidRPr="003A38BA" w:rsidRDefault="007A6695" w:rsidP="007C21AF">
      <w:pPr>
        <w:spacing w:after="120"/>
        <w:ind w:left="0" w:firstLine="0"/>
        <w:jc w:val="both"/>
        <w:rPr>
          <w:i/>
        </w:rPr>
      </w:pPr>
      <w:r>
        <w:rPr>
          <w:i/>
        </w:rPr>
        <w:t>DIN EN 13036-1 Cechy powierzchniowe nawierzchni drogowych i lotniskowych – Metody badań – Część 1: Pomiar głębokości makrotekstury metodą objętościową</w:t>
      </w:r>
    </w:p>
    <w:p w:rsidR="00D74A8B" w:rsidRPr="003A38BA" w:rsidRDefault="008D2005" w:rsidP="007C21AF">
      <w:pPr>
        <w:spacing w:after="120"/>
        <w:ind w:left="0" w:firstLine="0"/>
        <w:jc w:val="both"/>
        <w:rPr>
          <w:i/>
        </w:rPr>
      </w:pPr>
      <w:r>
        <w:rPr>
          <w:i/>
        </w:rPr>
        <w:t>DIN EN 13197: 2014 Materiały do poziomego oznakowania dróg – Symulator ścierania</w:t>
      </w:r>
    </w:p>
    <w:p w:rsidR="008D2005" w:rsidRPr="00A37E2F" w:rsidRDefault="008D2005" w:rsidP="007C21AF">
      <w:pPr>
        <w:spacing w:after="120"/>
        <w:ind w:left="0" w:firstLine="0"/>
        <w:jc w:val="both"/>
        <w:rPr>
          <w:bCs/>
          <w:i/>
        </w:rPr>
      </w:pPr>
      <w:r>
        <w:rPr>
          <w:bCs/>
          <w:i/>
        </w:rPr>
        <w:t xml:space="preserve">DIN EN ISO 11885: 2009 Jakość wody – Oznaczanie wybranych pierwiastków metodą optycznej spektrometrii emisyjnej z plazmą wzbudzoną indukcyjnie (ICP-OES) </w:t>
      </w:r>
    </w:p>
    <w:p w:rsidR="008D2005" w:rsidRPr="003A38BA" w:rsidRDefault="008D2005" w:rsidP="007C21AF">
      <w:pPr>
        <w:spacing w:after="120"/>
        <w:ind w:left="0" w:firstLine="0"/>
        <w:jc w:val="both"/>
        <w:rPr>
          <w:i/>
        </w:rPr>
      </w:pPr>
      <w:r>
        <w:rPr>
          <w:i/>
        </w:rPr>
        <w:t>ISO 2811-1: 2011 Farby i lakiery – Oznaczanie gęstości – Część 1: Metoda piknometryczna</w:t>
      </w:r>
    </w:p>
    <w:p w:rsidR="008D2005" w:rsidRPr="003A38BA" w:rsidRDefault="008D2005" w:rsidP="007C21AF">
      <w:pPr>
        <w:spacing w:after="120"/>
        <w:ind w:left="0" w:firstLine="0"/>
        <w:jc w:val="both"/>
        <w:rPr>
          <w:i/>
        </w:rPr>
      </w:pPr>
      <w:r>
        <w:rPr>
          <w:bCs/>
          <w:i/>
        </w:rPr>
        <w:t>ISO 11466 Jakość gleby – Ekstrakcja pierwiastków śladowych rozpuszczalnych w wodzie królewskiej</w:t>
      </w:r>
    </w:p>
    <w:p w:rsidR="00D74A8B" w:rsidRPr="003A38BA" w:rsidRDefault="008D2005" w:rsidP="007C21AF">
      <w:pPr>
        <w:spacing w:after="120"/>
        <w:ind w:left="0" w:firstLine="0"/>
        <w:jc w:val="both"/>
        <w:rPr>
          <w:i/>
        </w:rPr>
      </w:pPr>
      <w:r>
        <w:rPr>
          <w:i/>
        </w:rPr>
        <w:t>TL M Techniczne warunki dostawy materiałów do oznakowania</w:t>
      </w:r>
    </w:p>
    <w:p w:rsidR="00D74A8B" w:rsidRPr="003A38BA" w:rsidRDefault="00D74A8B" w:rsidP="007C21AF">
      <w:pPr>
        <w:spacing w:after="120"/>
        <w:ind w:left="0" w:firstLine="0"/>
        <w:jc w:val="both"/>
        <w:rPr>
          <w:i/>
        </w:rPr>
      </w:pPr>
      <w:r>
        <w:rPr>
          <w:i/>
        </w:rPr>
        <w:t>ZTV M Dodatkowe techniczne warunki zawierania i wytyczne dotyczące oznakowania dróg</w:t>
      </w:r>
    </w:p>
    <w:p w:rsidR="00FC4346" w:rsidRPr="003A38BA" w:rsidRDefault="00FC4346" w:rsidP="007C21AF">
      <w:pPr>
        <w:pStyle w:val="Heading1"/>
        <w:numPr>
          <w:ilvl w:val="0"/>
          <w:numId w:val="5"/>
        </w:numPr>
        <w:jc w:val="both"/>
        <w:rPr>
          <w:sz w:val="24"/>
          <w:szCs w:val="24"/>
        </w:rPr>
      </w:pPr>
      <w:bookmarkStart w:id="8" w:name="_Toc12481195"/>
      <w:r>
        <w:rPr>
          <w:sz w:val="24"/>
          <w:szCs w:val="24"/>
        </w:rPr>
        <w:lastRenderedPageBreak/>
        <w:t>Terminy i definicje</w:t>
      </w:r>
      <w:bookmarkEnd w:id="8"/>
    </w:p>
    <w:p w:rsidR="003000D1" w:rsidRPr="003A38BA" w:rsidRDefault="003000D1" w:rsidP="007C21AF">
      <w:pPr>
        <w:spacing w:after="120"/>
        <w:ind w:left="0" w:firstLine="0"/>
        <w:jc w:val="both"/>
      </w:pPr>
      <w:r>
        <w:t>Definicje materiałów do oznakowania i nośników są przedstawione w warunkach TL M.</w:t>
      </w:r>
    </w:p>
    <w:p w:rsidR="00FC4346" w:rsidRPr="003A38BA" w:rsidRDefault="005E003F" w:rsidP="007C21AF">
      <w:pPr>
        <w:spacing w:after="120"/>
        <w:ind w:left="0" w:firstLine="0"/>
        <w:jc w:val="both"/>
      </w:pPr>
      <w:r>
        <w:t>Systemy oznakowania składają się z materiałów do oznakowania oraz przynależnych nośników i do badania przydatności są nakładane na specjalne próbki.</w:t>
      </w:r>
    </w:p>
    <w:p w:rsidR="009E5CB3" w:rsidRPr="003A38BA" w:rsidRDefault="008D2830" w:rsidP="007C21AF">
      <w:pPr>
        <w:spacing w:after="120"/>
        <w:ind w:left="0" w:firstLine="0"/>
        <w:jc w:val="both"/>
      </w:pPr>
      <w:r>
        <w:t>Badanie przydatności systemów oznakowania składa się z próby obciążeniowej na stanowisku badawczym o ruchu obrotowym i badania fizykochemicznego (badania prototypu).</w:t>
      </w:r>
    </w:p>
    <w:p w:rsidR="00C427EB" w:rsidRPr="003A38BA" w:rsidRDefault="00C427EB" w:rsidP="007C21AF">
      <w:pPr>
        <w:spacing w:after="120"/>
        <w:ind w:left="0" w:firstLine="0"/>
        <w:jc w:val="both"/>
      </w:pPr>
      <w:r>
        <w:t>Wnioskodawca to osoba, która wnioskuje o przeprowadzenie badania przydatności i podawana jest akredytowanemu laboratorium badawczemu jako odpowiedzialna osoba do kontaktu.</w:t>
      </w:r>
    </w:p>
    <w:p w:rsidR="00C427EB" w:rsidRPr="003A38BA" w:rsidRDefault="00C427EB" w:rsidP="007C21AF">
      <w:pPr>
        <w:spacing w:after="120"/>
        <w:ind w:left="0" w:firstLine="0"/>
        <w:jc w:val="both"/>
      </w:pPr>
      <w:r>
        <w:t>Producent materiału to podmiot, który produkuje i wprowadza na rynek materiał do oznakowania.</w:t>
      </w:r>
    </w:p>
    <w:p w:rsidR="00C427EB" w:rsidRPr="003A38BA" w:rsidRDefault="00C427EB" w:rsidP="007C21AF">
      <w:pPr>
        <w:spacing w:after="120"/>
        <w:ind w:left="0" w:firstLine="0"/>
        <w:jc w:val="both"/>
      </w:pPr>
      <w:r>
        <w:t>Producent środków do posypywania to podmiot, który produkuje i wprowadza na rynek środki do posypywania.</w:t>
      </w:r>
    </w:p>
    <w:p w:rsidR="00C427EB" w:rsidRPr="003A38BA" w:rsidRDefault="009A49D5" w:rsidP="007C21AF">
      <w:pPr>
        <w:spacing w:after="120"/>
        <w:ind w:left="0" w:firstLine="0"/>
        <w:jc w:val="both"/>
      </w:pPr>
      <w:r>
        <w:t>Certyfikat badania jest wystawiany, jeśli spełnione są krajowe i europejskie wymagania minimalne.</w:t>
      </w:r>
    </w:p>
    <w:p w:rsidR="00C427EB" w:rsidRPr="003A38BA" w:rsidRDefault="009A49D5" w:rsidP="007C21AF">
      <w:pPr>
        <w:spacing w:after="120"/>
        <w:ind w:left="0" w:firstLine="0"/>
        <w:jc w:val="both"/>
      </w:pPr>
      <w:r>
        <w:t>Potwierdzenie badania jest wystawiane, jeśli spełnione są europejskie wymagania minimalne.</w:t>
      </w:r>
    </w:p>
    <w:p w:rsidR="00D518B6" w:rsidRPr="003A38BA" w:rsidRDefault="007B7AA0" w:rsidP="007C21AF">
      <w:pPr>
        <w:spacing w:after="120"/>
        <w:ind w:left="0" w:firstLine="0"/>
        <w:jc w:val="both"/>
      </w:pPr>
      <w:r>
        <w:t>Skrót</w:t>
      </w:r>
      <w:r>
        <w:rPr>
          <w:b/>
        </w:rPr>
        <w:t xml:space="preserve"> NPD (no performance determined, charakterystyki nieokreślone)</w:t>
      </w:r>
      <w:r>
        <w:t xml:space="preserve"> oznacza, że nie zostają zadeklarowane poszczególne właściwości użytkowe systemu oznakowania.</w:t>
      </w:r>
    </w:p>
    <w:p w:rsidR="000B6380" w:rsidRPr="003A38BA" w:rsidRDefault="00EC3056" w:rsidP="007C21AF">
      <w:pPr>
        <w:pStyle w:val="Heading1"/>
        <w:numPr>
          <w:ilvl w:val="0"/>
          <w:numId w:val="5"/>
        </w:numPr>
        <w:jc w:val="both"/>
        <w:rPr>
          <w:sz w:val="24"/>
          <w:szCs w:val="24"/>
        </w:rPr>
      </w:pPr>
      <w:bookmarkStart w:id="9" w:name="_Toc12481196"/>
      <w:r>
        <w:rPr>
          <w:sz w:val="24"/>
          <w:szCs w:val="24"/>
        </w:rPr>
        <w:t>Próby obciążeniowe systemów oznakowania</w:t>
      </w:r>
      <w:bookmarkEnd w:id="9"/>
    </w:p>
    <w:p w:rsidR="00B057A1" w:rsidRPr="003A38BA" w:rsidRDefault="004C2F96" w:rsidP="007C21AF">
      <w:pPr>
        <w:pStyle w:val="Heading1"/>
        <w:numPr>
          <w:ilvl w:val="1"/>
          <w:numId w:val="5"/>
        </w:numPr>
        <w:jc w:val="both"/>
        <w:rPr>
          <w:rFonts w:ascii="Arial" w:hAnsi="Arial" w:cs="Arial"/>
          <w:sz w:val="24"/>
          <w:szCs w:val="24"/>
        </w:rPr>
      </w:pPr>
      <w:bookmarkStart w:id="10" w:name="_Toc12481197"/>
      <w:r>
        <w:rPr>
          <w:sz w:val="24"/>
          <w:szCs w:val="24"/>
        </w:rPr>
        <w:t>Stanowisko badawcze o ruchu obrotowym</w:t>
      </w:r>
      <w:bookmarkEnd w:id="10"/>
    </w:p>
    <w:p w:rsidR="00F9526A" w:rsidRPr="003A38BA" w:rsidRDefault="00F9526A" w:rsidP="007C21AF">
      <w:pPr>
        <w:spacing w:after="120"/>
        <w:ind w:left="0" w:firstLine="0"/>
        <w:jc w:val="both"/>
      </w:pPr>
      <w:r>
        <w:t>Stanowisko badawcze o ruchu obrotowym składa się z umieszczonej poziomo tarczy obrotowej o średnicy zewnętrznej 6,4 m. Prędkość obwodowa jest regulowana bezstopniowo do maksymalnie 120 km/h. Obrót może odbywać się w obu kierunkach. Krawędź tarczy obrotowej jest wyposażona w umieszczone promieniowo obudowy do mocowania próbek. Wymiary obudów wynikają z wielkości próbek (patrz sekcja 4.1.2). Tarcza obrotowa znajduje się w całkowicie klimatyzowanym i zamykanym pomieszczeniu.</w:t>
      </w:r>
    </w:p>
    <w:p w:rsidR="004C2F96" w:rsidRPr="003A38BA" w:rsidRDefault="004C2F96" w:rsidP="007C21AF">
      <w:pPr>
        <w:pStyle w:val="Heading1"/>
        <w:numPr>
          <w:ilvl w:val="2"/>
          <w:numId w:val="5"/>
        </w:numPr>
        <w:ind w:left="1440" w:hanging="720"/>
        <w:jc w:val="both"/>
        <w:rPr>
          <w:rFonts w:ascii="Arial" w:hAnsi="Arial" w:cs="Arial"/>
          <w:sz w:val="24"/>
          <w:szCs w:val="24"/>
        </w:rPr>
      </w:pPr>
      <w:bookmarkStart w:id="11" w:name="_Toc12481198"/>
      <w:r>
        <w:rPr>
          <w:sz w:val="24"/>
          <w:szCs w:val="24"/>
        </w:rPr>
        <w:t>Koła</w:t>
      </w:r>
      <w:bookmarkEnd w:id="11"/>
    </w:p>
    <w:p w:rsidR="00B2761F" w:rsidRPr="003A38BA" w:rsidRDefault="00B2761F" w:rsidP="007C21AF">
      <w:pPr>
        <w:spacing w:after="120"/>
        <w:ind w:left="0" w:firstLine="0"/>
        <w:jc w:val="both"/>
      </w:pPr>
      <w:r>
        <w:t>Obciążenie próbek jest wywoływane przez wielokrotne przejeżdżanie ustalonej liczby kół. Liczba kół, rodzaj opon, nacisk koła, ciśnienie w oponach, pochylenie i znoszenie koła mają wpływ na obciążenie próbek.</w:t>
      </w:r>
    </w:p>
    <w:p w:rsidR="004F79C9" w:rsidRPr="003A38BA" w:rsidRDefault="00637513" w:rsidP="007C21AF">
      <w:pPr>
        <w:spacing w:after="120"/>
        <w:ind w:left="0" w:firstLine="0"/>
        <w:jc w:val="both"/>
      </w:pPr>
      <w:r>
        <w:t>Zasadniczo obciążenie następuje zgodnie z normą DIN EN 13197 przy użyciu 2 par kół. Koła jednej pary są położone naprzeciwko siebie. Jeżeli z 4 parami kół uzyskiwane są porównywalne wyniki, w drodze odstępstwa można również przeprowadzić badanie z 4 parami kół zamiast z 2 parami. Porównywalność wyników można założyć, jeżeli widoczność w dzień i w nocy różni się o nie więcej niż 15 %, a przyczepność – o nie więcej niż ± 5 jednostek SRT.</w:t>
      </w:r>
    </w:p>
    <w:p w:rsidR="0093336E" w:rsidRPr="003A38BA" w:rsidRDefault="002210B7" w:rsidP="007C21AF">
      <w:pPr>
        <w:spacing w:after="120"/>
        <w:ind w:left="0" w:firstLine="0"/>
        <w:jc w:val="both"/>
      </w:pPr>
      <w:r>
        <w:t xml:space="preserve">Każde badanie rozpoczyna się z użyciem nowych opon. Używane są dostępne w sprzedaży opony samochodów osobowych. Opony powinny mieć rozmiar co najmniej 205/60, aby uzyskać szerokość toczenia co najmniej 150 mm. Jeżeli używany typ opon nie może być nadal wykorzystywany, należy przeprowadzić biegi porównawcze w celu zapewnienia, by z nowym typem opon uzyskane zostały porównywalne wyniki. Do oceny porównywalności odnoszą się te same granice co w przypadku użycia 4 par kół. </w:t>
      </w:r>
    </w:p>
    <w:p w:rsidR="007B668F" w:rsidRPr="003A38BA" w:rsidRDefault="003000D1" w:rsidP="0023536B">
      <w:pPr>
        <w:keepNext/>
        <w:spacing w:after="120"/>
        <w:ind w:left="0" w:firstLine="0"/>
        <w:jc w:val="both"/>
      </w:pPr>
      <w:r>
        <w:t xml:space="preserve">Stanowisko badawcze o ruchu obrotowym musi spełniać następujące techniczne warunki brzegowe: </w:t>
      </w:r>
    </w:p>
    <w:p w:rsidR="00F9526A" w:rsidRPr="003A38BA" w:rsidRDefault="00886145" w:rsidP="007C21AF">
      <w:pPr>
        <w:spacing w:after="120"/>
        <w:ind w:left="0" w:firstLine="0"/>
        <w:jc w:val="both"/>
      </w:pPr>
      <w:r>
        <w:t xml:space="preserve">Nacisk koła może wynosić między 0 a 4000 N. Ciśnienie w oponach może wynosić między 0 a 0,3 MPa. Warunki brzegowe badania przydatności systemów oznakowania są podane w tabeli 3. System mocowania kół musi pozwalać na ustawienie znoszenia koła z tolerancją ± 10‘ i pochylenia </w:t>
      </w:r>
      <w:r>
        <w:lastRenderedPageBreak/>
        <w:t>koła z tolerancją ± 1°. Przed rozpoczęciem nowego biegu testowego należy sprawdzić ustawienie znoszenia i pochylenia kół oraz ciśnienie w oponach. Po każdej dłuższej przerwie w biegu testowym należy sprawdzić parametry i, w razie potrzeby, skorygować je.</w:t>
      </w:r>
    </w:p>
    <w:p w:rsidR="00C145F2" w:rsidRPr="003A38BA" w:rsidRDefault="004C2F96" w:rsidP="007C21AF">
      <w:pPr>
        <w:pStyle w:val="Heading1"/>
        <w:numPr>
          <w:ilvl w:val="2"/>
          <w:numId w:val="5"/>
        </w:numPr>
        <w:ind w:left="1440" w:hanging="720"/>
        <w:jc w:val="both"/>
        <w:rPr>
          <w:rFonts w:ascii="Arial" w:hAnsi="Arial" w:cs="Arial"/>
          <w:sz w:val="24"/>
          <w:szCs w:val="24"/>
        </w:rPr>
      </w:pPr>
      <w:bookmarkStart w:id="12" w:name="_Toc12481199"/>
      <w:r>
        <w:rPr>
          <w:sz w:val="24"/>
          <w:szCs w:val="24"/>
        </w:rPr>
        <w:t>Próbka</w:t>
      </w:r>
      <w:bookmarkEnd w:id="12"/>
    </w:p>
    <w:p w:rsidR="008E7BF5" w:rsidRPr="003A38BA" w:rsidRDefault="0029168C" w:rsidP="007C21AF">
      <w:pPr>
        <w:spacing w:after="120"/>
        <w:ind w:left="0" w:firstLine="0"/>
        <w:jc w:val="both"/>
      </w:pPr>
      <w:r>
        <w:t xml:space="preserve">Badane systemy oznakowania są nakładane na specjalne próbki. Próbki muszą charakteryzować się wystarczającą sztywnością, aby właściwości powierzchni nie zmieniały się podczas badania i aby możliwe było posługiwanie się nimi w temperaturach do 50 °C bez powstawania widocznych odkształceń bądź pęknięć. Do wykonania próbek używa się materiału zawierającego bitum (np. asfaltu lanego). Chropowatość powierzchni próbek określa się metodą opisaną w normie DIN EN 13036-1. Głębokość chropowatości wynosi ≤ 0,6 mm i odpowiada klasie RG 1 podanej w normie DIN EN 13197. Wielkość próbek wynosi: </w:t>
      </w:r>
    </w:p>
    <w:p w:rsidR="008E7BF5" w:rsidRPr="003A38BA" w:rsidRDefault="008E7BF5" w:rsidP="007C21AF">
      <w:pPr>
        <w:ind w:left="2160" w:hanging="744"/>
        <w:jc w:val="both"/>
      </w:pPr>
      <w:r>
        <w:t>Długość:</w:t>
      </w:r>
      <w:r>
        <w:tab/>
        <w:t>397 mm (± 2 mm)</w:t>
      </w:r>
    </w:p>
    <w:p w:rsidR="008E7BF5" w:rsidRPr="003A38BA" w:rsidRDefault="008E7BF5" w:rsidP="007C21AF">
      <w:pPr>
        <w:ind w:left="2160" w:hanging="744"/>
        <w:jc w:val="both"/>
      </w:pPr>
      <w:r>
        <w:t>Szerokość:</w:t>
      </w:r>
      <w:r>
        <w:tab/>
        <w:t>198 mm (± 2 mm)</w:t>
      </w:r>
    </w:p>
    <w:p w:rsidR="00DA60F8" w:rsidRPr="003A38BA" w:rsidRDefault="007B668F" w:rsidP="007C21AF">
      <w:pPr>
        <w:ind w:left="2160" w:hanging="744"/>
        <w:jc w:val="both"/>
      </w:pPr>
      <w:r>
        <w:t>Grubość:</w:t>
      </w:r>
      <w:r>
        <w:tab/>
        <w:t>48 mm (± 2 mm).</w:t>
      </w:r>
    </w:p>
    <w:p w:rsidR="008E7BF5" w:rsidRPr="003A38BA" w:rsidRDefault="008E7BF5" w:rsidP="007C21AF">
      <w:pPr>
        <w:ind w:left="708" w:firstLine="708"/>
        <w:jc w:val="both"/>
      </w:pPr>
    </w:p>
    <w:p w:rsidR="00C145F2" w:rsidRPr="003A38BA" w:rsidRDefault="00C145F2" w:rsidP="007C21AF">
      <w:pPr>
        <w:spacing w:after="120"/>
        <w:ind w:left="0" w:firstLine="0"/>
        <w:jc w:val="both"/>
      </w:pPr>
      <w:r>
        <w:t>Zamocowanie próbek w obudowie zapewnia, że strony wierzchnie próbek znajdują się na tej samej wysokości co zewnętrzna część obudowy, dzięki czemu unika się skoków. Powstać musi równomierna powierzchnia toczenia bez ślizgania bądź drgań, a próbki muszą być nieruchome w swojej obudowie.</w:t>
      </w:r>
    </w:p>
    <w:p w:rsidR="00234C80" w:rsidRPr="003A38BA" w:rsidRDefault="00234C80" w:rsidP="007C21AF">
      <w:pPr>
        <w:pStyle w:val="Heading1"/>
        <w:numPr>
          <w:ilvl w:val="2"/>
          <w:numId w:val="5"/>
        </w:numPr>
        <w:ind w:left="1440" w:hanging="720"/>
        <w:jc w:val="both"/>
        <w:rPr>
          <w:sz w:val="24"/>
          <w:szCs w:val="24"/>
        </w:rPr>
      </w:pPr>
      <w:bookmarkStart w:id="13" w:name="_Toc12481200"/>
      <w:r>
        <w:rPr>
          <w:sz w:val="24"/>
          <w:szCs w:val="24"/>
        </w:rPr>
        <w:t>System czyszczenia</w:t>
      </w:r>
      <w:bookmarkEnd w:id="13"/>
    </w:p>
    <w:p w:rsidR="00234C80" w:rsidRPr="003A38BA" w:rsidRDefault="00234C80" w:rsidP="007C21AF">
      <w:pPr>
        <w:spacing w:after="120"/>
        <w:ind w:left="0" w:firstLine="0"/>
        <w:jc w:val="both"/>
      </w:pPr>
      <w:r>
        <w:t>Podczas badania oddzielone cząstki są usuwane sprężonym powietrzem z tarczy obrotowej, aby uniknąć wzajemnego wywierania wpływu przez próbki badawcze.</w:t>
      </w:r>
    </w:p>
    <w:p w:rsidR="00921E13" w:rsidRPr="003A38BA" w:rsidRDefault="00921E13" w:rsidP="007C21AF">
      <w:pPr>
        <w:spacing w:after="120"/>
        <w:ind w:left="0" w:firstLine="0"/>
        <w:jc w:val="both"/>
      </w:pPr>
      <w:r>
        <w:t>Dodatkowo opony mogą podczas badania zostać schłodzone rozpyloną wodą. Chłodzenie opon jest zasadniczo wymagane dla mas termoplastycznych.</w:t>
      </w:r>
    </w:p>
    <w:p w:rsidR="004C2F96" w:rsidRPr="003A38BA" w:rsidRDefault="000D70C0" w:rsidP="007C21AF">
      <w:pPr>
        <w:pStyle w:val="Heading1"/>
        <w:numPr>
          <w:ilvl w:val="1"/>
          <w:numId w:val="5"/>
        </w:numPr>
        <w:jc w:val="both"/>
        <w:rPr>
          <w:sz w:val="24"/>
          <w:szCs w:val="24"/>
        </w:rPr>
      </w:pPr>
      <w:bookmarkStart w:id="14" w:name="_Toc12481201"/>
      <w:r>
        <w:rPr>
          <w:sz w:val="24"/>
          <w:szCs w:val="24"/>
        </w:rPr>
        <w:t>Przygotowanie próbek</w:t>
      </w:r>
      <w:bookmarkEnd w:id="14"/>
    </w:p>
    <w:p w:rsidR="000D70C0" w:rsidRPr="003A38BA" w:rsidRDefault="000D70C0" w:rsidP="007C21AF">
      <w:pPr>
        <w:pStyle w:val="Heading1"/>
        <w:numPr>
          <w:ilvl w:val="2"/>
          <w:numId w:val="5"/>
        </w:numPr>
        <w:ind w:left="1440" w:hanging="720"/>
        <w:jc w:val="both"/>
        <w:rPr>
          <w:sz w:val="24"/>
          <w:szCs w:val="24"/>
        </w:rPr>
      </w:pPr>
      <w:bookmarkStart w:id="15" w:name="_Toc12481202"/>
      <w:r>
        <w:rPr>
          <w:sz w:val="24"/>
          <w:szCs w:val="24"/>
        </w:rPr>
        <w:t>Nakładanie</w:t>
      </w:r>
      <w:bookmarkEnd w:id="15"/>
    </w:p>
    <w:p w:rsidR="00F9526A" w:rsidRPr="003A38BA" w:rsidRDefault="00232406" w:rsidP="007C21AF">
      <w:pPr>
        <w:spacing w:after="120"/>
        <w:ind w:left="0" w:firstLine="0"/>
        <w:jc w:val="both"/>
      </w:pPr>
      <w:r>
        <w:t>Wpływ na badanie mają różne czynniki w ramach nakładania, głównie sposób nakładania i nałożona ilość, kierunek nakładania i warunki schnięcia bądź utwardzania.</w:t>
      </w:r>
    </w:p>
    <w:p w:rsidR="008A7AD1" w:rsidRPr="003A38BA" w:rsidRDefault="008A7AD1" w:rsidP="007C21AF">
      <w:pPr>
        <w:spacing w:after="120"/>
        <w:ind w:left="0" w:firstLine="0"/>
        <w:jc w:val="both"/>
      </w:pPr>
      <w:r>
        <w:t>Zasadniczo system oznakowania nakłada się w sposób, w jaki przewidziane jest nakładanie w praktyce. Wnioskodawca musi podać wszystkie informacje wymagane do nakładania, łącznie z wszystkimi wymaganymi składnikami i ich ilościami oraz sposób nakładania. Metoda nakładania (szczegółowa nazwa według tabeli 1) oraz wszystkie dane ustalone podczas nakładania są dokumentowane w protokole nakładania. Nakładanie jest przeprowadzane pod nadzorem akredytowanego laboratorium badawczego lub przez jednostkę autoryzowaną przez akredytowane laboratorium badawcze. Jeżeli wnioskodawca wyrazi takie życzenie, może być obecny podczas nakładania.</w:t>
      </w:r>
    </w:p>
    <w:p w:rsidR="00921E13" w:rsidRPr="003A38BA" w:rsidRDefault="00921E13" w:rsidP="007C21AF">
      <w:pPr>
        <w:spacing w:after="120"/>
        <w:ind w:left="0" w:firstLine="0"/>
        <w:jc w:val="both"/>
      </w:pPr>
      <w:r>
        <w:t xml:space="preserve">Badania wykazały, że systemy reaktywne złożone z 2 lub 3 składników (stosunek składników receptury 98:2 lub 1:1) uzyskują porównywalne wyniki pod względem właściwości związanych z obciążeniem ruchem i przy uwzględnieniu danych producenta mogą być nakładane z jednym lub drugim stosunkiem składników receptury. Stosunek składników receptury nie jest podawany na certyfikacie badania, jeżeli producent materiału przed rozpoczęciem badania potwierdzi na piśmie, że materiał do oznakowania może być nakładany ze stosunkiem składników receptury zarówno 98:2, jak i 1:1 bez różnic w składzie chemicznym. Składnik materiału 2-składnikowego występujący w ilości 98 odpowiada mieszance składników A i B materiału 3-składnikowego o stosunku składników 1:1 </w:t>
      </w:r>
      <w:r>
        <w:lastRenderedPageBreak/>
        <w:t xml:space="preserve">(odpowiadającym stosunkowi składników receptury). Nie dotyczy to systemów z kulkami refleksyjnymi indukowanymi utwardzaczem (tzw. kulki reaktywne). </w:t>
      </w:r>
    </w:p>
    <w:p w:rsidR="000D70C0" w:rsidRPr="003A38BA" w:rsidRDefault="003E3497" w:rsidP="007C21AF">
      <w:pPr>
        <w:pStyle w:val="Subtitle"/>
        <w:ind w:left="1440" w:hanging="1440"/>
        <w:jc w:val="both"/>
        <w:rPr>
          <w:spacing w:val="0"/>
          <w:sz w:val="22"/>
          <w:szCs w:val="22"/>
        </w:rPr>
      </w:pPr>
      <w:r>
        <w:rPr>
          <w:sz w:val="22"/>
          <w:szCs w:val="22"/>
        </w:rPr>
        <w:t>Tabela 1:</w:t>
      </w:r>
      <w:r>
        <w:rPr>
          <w:sz w:val="22"/>
          <w:szCs w:val="22"/>
        </w:rPr>
        <w:tab/>
        <w:t>Uproszczona nazwa technik nakładania w zależności od stosowanej grupy materiałów</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5103"/>
        <w:gridCol w:w="1701"/>
      </w:tblGrid>
      <w:tr w:rsidR="00D82DF7" w:rsidRPr="003A38BA" w:rsidTr="003E3497">
        <w:tc>
          <w:tcPr>
            <w:tcW w:w="2425" w:type="dxa"/>
            <w:shd w:val="clear" w:color="000000" w:fill="D8D8D8"/>
            <w:vAlign w:val="center"/>
            <w:hideMark/>
          </w:tcPr>
          <w:p w:rsidR="00D82DF7" w:rsidRPr="003A38BA" w:rsidRDefault="00706B86" w:rsidP="00D82DF7">
            <w:pPr>
              <w:ind w:left="0" w:firstLine="0"/>
              <w:jc w:val="center"/>
              <w:rPr>
                <w:rFonts w:ascii="Calibri" w:eastAsia="Times New Roman" w:hAnsi="Calibri" w:cs="Times New Roman"/>
                <w:b/>
                <w:bCs/>
                <w:color w:val="000000"/>
                <w:sz w:val="20"/>
                <w:szCs w:val="20"/>
              </w:rPr>
            </w:pPr>
            <w:r>
              <w:rPr>
                <w:rFonts w:ascii="Calibri" w:hAnsi="Calibri"/>
                <w:b/>
                <w:bCs/>
                <w:color w:val="000000"/>
                <w:sz w:val="20"/>
                <w:szCs w:val="20"/>
              </w:rPr>
              <w:t xml:space="preserve">Uproszczona nazwa technik nakładania </w:t>
            </w:r>
          </w:p>
        </w:tc>
        <w:tc>
          <w:tcPr>
            <w:tcW w:w="5103" w:type="dxa"/>
            <w:shd w:val="clear" w:color="000000" w:fill="D8D8D8"/>
            <w:noWrap/>
            <w:vAlign w:val="center"/>
            <w:hideMark/>
          </w:tcPr>
          <w:p w:rsidR="00D82DF7" w:rsidRPr="003A38BA" w:rsidRDefault="00706B86" w:rsidP="00D82DF7">
            <w:pPr>
              <w:ind w:left="0" w:firstLine="0"/>
              <w:jc w:val="center"/>
              <w:rPr>
                <w:rFonts w:ascii="Calibri" w:eastAsia="Times New Roman" w:hAnsi="Calibri" w:cs="Times New Roman"/>
                <w:b/>
                <w:bCs/>
                <w:color w:val="000000"/>
                <w:sz w:val="20"/>
                <w:szCs w:val="20"/>
              </w:rPr>
            </w:pPr>
            <w:r>
              <w:rPr>
                <w:rFonts w:ascii="Calibri" w:hAnsi="Calibri"/>
                <w:b/>
                <w:bCs/>
                <w:color w:val="000000"/>
                <w:sz w:val="20"/>
                <w:szCs w:val="20"/>
              </w:rPr>
              <w:t>Szczegółowe nazwy w protokole nakładania</w:t>
            </w:r>
            <w:r w:rsidR="003000D1" w:rsidRPr="003A38BA">
              <w:rPr>
                <w:rStyle w:val="FootnoteReference"/>
                <w:rFonts w:ascii="Calibri" w:eastAsia="Times New Roman" w:hAnsi="Calibri" w:cs="Times New Roman"/>
                <w:b/>
                <w:bCs/>
                <w:color w:val="000000"/>
                <w:sz w:val="20"/>
                <w:szCs w:val="20"/>
                <w:lang w:eastAsia="de-DE"/>
              </w:rPr>
              <w:footnoteReference w:id="1"/>
            </w:r>
          </w:p>
        </w:tc>
        <w:tc>
          <w:tcPr>
            <w:tcW w:w="1701" w:type="dxa"/>
            <w:shd w:val="clear" w:color="000000" w:fill="D8D8D8"/>
            <w:noWrap/>
            <w:vAlign w:val="center"/>
            <w:hideMark/>
          </w:tcPr>
          <w:p w:rsidR="00D82DF7" w:rsidRPr="003A38BA" w:rsidRDefault="00D82DF7" w:rsidP="00D82DF7">
            <w:pPr>
              <w:ind w:left="0" w:firstLine="0"/>
              <w:jc w:val="center"/>
              <w:rPr>
                <w:rFonts w:ascii="Calibri" w:eastAsia="Times New Roman" w:hAnsi="Calibri" w:cs="Times New Roman"/>
                <w:b/>
                <w:bCs/>
                <w:color w:val="000000"/>
                <w:sz w:val="20"/>
                <w:szCs w:val="20"/>
              </w:rPr>
            </w:pPr>
            <w:r>
              <w:rPr>
                <w:rFonts w:ascii="Calibri" w:hAnsi="Calibri"/>
                <w:b/>
                <w:bCs/>
                <w:color w:val="000000"/>
                <w:sz w:val="20"/>
                <w:szCs w:val="20"/>
              </w:rPr>
              <w:t>Grupa materiałów</w:t>
            </w: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Technika malowania natryskowego</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Technika Airless</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Farby, masa plastyczna natryskiwana na zimno, masa termoplastyczna</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Sprężone powietrze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On-Line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Technika Airless z kulkami Intermix</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Thermospray</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Zależne od drogi powietrze rozpylane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Powietrze rozpylane z mieszaniem zewnętrznym – utwardzacz płynny</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Aglomeraty regularne</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Linia wielopunktowa</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Masa plastyczna stosowana na zimno, masa termoplastyczna</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Punkty regularne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Wytłaczarka termiczna</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Spotflex</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Wytłaczarka / specjalny marker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System Visidot</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Aglomeraty nieregularne</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Wytłaczarka</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Masa plastyczna stosowana na zimno, masa termoplastyczna</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Naprężone wstępnie sprężyny z blachy stalowej (system Feichtner)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Blacha perforowana</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Wałek kolczasty</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Technika wirowania</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Pełna kreska</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Rozściełacz ręczny</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Masa plastyczna stosowana na zimno, masa termoplastyczna</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Wytłaczarka</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Pełna kreska o ustrukturyzowanej powierzchni</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Rozściełacz ręczny + wałek strukturalny</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Masa plastyczna stosowana na zimno</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Wałek</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Nawalcowanie</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Powłoka gruntująca (primer), nawalcowanie</w:t>
            </w:r>
          </w:p>
        </w:tc>
        <w:tc>
          <w:tcPr>
            <w:tcW w:w="1701"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Folie</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Bez primera, nawalcowanie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Bitum plus, nawalcowanie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Asfalt plus, nawalcowanie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6E1AD5" w:rsidRPr="003A38BA" w:rsidTr="003E3497">
        <w:tc>
          <w:tcPr>
            <w:tcW w:w="2425" w:type="dxa"/>
            <w:vMerge w:val="restart"/>
            <w:shd w:val="clear" w:color="auto" w:fill="auto"/>
            <w:vAlign w:val="center"/>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Prefabrykowany system oznakowania</w:t>
            </w:r>
          </w:p>
        </w:tc>
        <w:tc>
          <w:tcPr>
            <w:tcW w:w="5103" w:type="dxa"/>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Możliwy do topienia palnikiem ręcznym prefabrykowany system oznakowania</w:t>
            </w:r>
          </w:p>
        </w:tc>
        <w:tc>
          <w:tcPr>
            <w:tcW w:w="1701" w:type="dxa"/>
            <w:vMerge w:val="restart"/>
            <w:shd w:val="clear" w:color="auto" w:fill="auto"/>
            <w:noWrap/>
            <w:vAlign w:val="center"/>
            <w:hideMark/>
          </w:tcPr>
          <w:p w:rsidR="006E1AD5" w:rsidRPr="003A38BA" w:rsidRDefault="006E1AD5" w:rsidP="0023536B">
            <w:pPr>
              <w:ind w:left="0" w:firstLine="0"/>
              <w:jc w:val="center"/>
              <w:rPr>
                <w:rFonts w:ascii="Calibri" w:eastAsia="Times New Roman" w:hAnsi="Calibri" w:cs="Times New Roman"/>
                <w:color w:val="000000"/>
                <w:sz w:val="20"/>
                <w:szCs w:val="20"/>
              </w:rPr>
            </w:pPr>
            <w:r>
              <w:rPr>
                <w:rFonts w:ascii="Calibri" w:hAnsi="Calibri"/>
                <w:color w:val="000000"/>
                <w:sz w:val="20"/>
                <w:szCs w:val="20"/>
              </w:rPr>
              <w:t>Masa termoplastyczna, ewentualnie w przyszłości również masa plastyczna stosowana na zimno</w:t>
            </w:r>
          </w:p>
        </w:tc>
      </w:tr>
      <w:tr w:rsidR="006E1AD5" w:rsidRPr="003A38BA" w:rsidTr="003E3497">
        <w:tc>
          <w:tcPr>
            <w:tcW w:w="2425" w:type="dxa"/>
            <w:vMerge/>
            <w:vAlign w:val="center"/>
            <w:hideMark/>
          </w:tcPr>
          <w:p w:rsidR="006E1AD5" w:rsidRPr="003A38BA" w:rsidRDefault="006E1AD5"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Możliwy do topienia palnikiem ręcznym prefabrykowany system oznakowania z dodatkowymi punktami termoplastycznymi</w:t>
            </w:r>
          </w:p>
        </w:tc>
        <w:tc>
          <w:tcPr>
            <w:tcW w:w="1701" w:type="dxa"/>
            <w:vMerge/>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lang w:eastAsia="de-DE"/>
              </w:rPr>
            </w:pPr>
          </w:p>
        </w:tc>
      </w:tr>
    </w:tbl>
    <w:p w:rsidR="00EB1650" w:rsidRPr="003A38BA" w:rsidRDefault="00EB1650" w:rsidP="007C21AF">
      <w:pPr>
        <w:spacing w:after="120"/>
        <w:ind w:left="0" w:firstLine="0"/>
        <w:jc w:val="both"/>
      </w:pPr>
      <w:r>
        <w:t xml:space="preserve">W przeciwieństwie do szczegółowej nazwy metody nakładania w protokole nakładania, w certyfikacie lub potwierdzeniu badania podaje się wyszczególnione w tabeli 1 upraszczające nazwy technik nakładania. </w:t>
      </w:r>
    </w:p>
    <w:p w:rsidR="00260651" w:rsidRPr="003A38BA" w:rsidRDefault="00260651" w:rsidP="007C21AF">
      <w:pPr>
        <w:spacing w:after="120"/>
        <w:ind w:left="0" w:firstLine="0"/>
        <w:jc w:val="both"/>
      </w:pPr>
      <w:r>
        <w:t xml:space="preserve">System oznakowania jest nakładany na 4 próbki. Jeżeli należy określić czas schnięcia, wymagana jest 5. próbka. Jedna próbka służy jako próbka rezerwowa i definiuje stan nowości. 3 próbki są przejeżdżane na stanowisku badawczym o ruchu obrotowym. </w:t>
      </w:r>
    </w:p>
    <w:p w:rsidR="00B2761F" w:rsidRPr="00A37E2F" w:rsidRDefault="00B2761F" w:rsidP="007C21AF">
      <w:pPr>
        <w:pStyle w:val="Heading1"/>
        <w:numPr>
          <w:ilvl w:val="2"/>
          <w:numId w:val="5"/>
        </w:numPr>
        <w:ind w:left="1440" w:hanging="720"/>
        <w:jc w:val="both"/>
        <w:rPr>
          <w:rFonts w:asciiTheme="minorHAnsi" w:hAnsiTheme="minorHAnsi"/>
          <w:sz w:val="24"/>
          <w:szCs w:val="24"/>
        </w:rPr>
      </w:pPr>
      <w:bookmarkStart w:id="16" w:name="_Toc12481203"/>
      <w:r>
        <w:rPr>
          <w:rFonts w:asciiTheme="minorHAnsi" w:hAnsiTheme="minorHAnsi"/>
          <w:sz w:val="24"/>
          <w:szCs w:val="24"/>
        </w:rPr>
        <w:lastRenderedPageBreak/>
        <w:t>Pomiary związane z nakładaniem</w:t>
      </w:r>
      <w:bookmarkEnd w:id="16"/>
    </w:p>
    <w:p w:rsidR="000D70C0" w:rsidRPr="003A38BA" w:rsidRDefault="000D70C0" w:rsidP="007C21AF">
      <w:pPr>
        <w:spacing w:after="120"/>
        <w:ind w:left="0" w:firstLine="0"/>
        <w:jc w:val="both"/>
      </w:pPr>
      <w:r>
        <w:t xml:space="preserve">Oznakowanie należy nakładać przy temperaturze powietrza między +10 °C a +35 °C i względnej wilgotności powietrza do maksymalnie 80 %. Temperaturę powietrza oraz względną wilgotność powietrza określa się bezpośrednio przed nakładaniem i dokumentuje. </w:t>
      </w:r>
    </w:p>
    <w:p w:rsidR="000503D0" w:rsidRPr="003A38BA" w:rsidRDefault="004F79C9" w:rsidP="007C21AF">
      <w:pPr>
        <w:spacing w:after="120"/>
        <w:ind w:left="0" w:firstLine="0"/>
        <w:jc w:val="both"/>
      </w:pPr>
      <w:r>
        <w:t>Czas schnięcia do momentu pojawienia się możliwości przejeżdżania musi zostać określony dla farb i mas plastycznych stosowanych na zimno, odpowiednio zaliczony do klas wymienionych w tabeli 2 i udokumentowany razem z warunkami klimatycznymi (temperatura otoczenia, temperatura powierzchni próbek i względna wilgotność powietrza). Dla oznakowań termoplastycznych czas schnięcia zostaje zasadniczo zaliczony do klasy T2 (≤10 min). Możliwość przejeżdżania po oznakowaniu jest zapewniona, gdy podczas przejeżdżania nie występują odkształcenia materiału do oznakowania. Czas schnięcia</w:t>
      </w:r>
      <w:r w:rsidR="00CD0A25" w:rsidRPr="003A38BA">
        <w:rPr>
          <w:rStyle w:val="FootnoteReference"/>
        </w:rPr>
        <w:footnoteReference w:id="2"/>
      </w:r>
      <w:r>
        <w:t xml:space="preserve"> ustala się zasadniczo zgodnie z normą DIN EN 13197, załącznik A. </w:t>
      </w:r>
    </w:p>
    <w:p w:rsidR="000503D0" w:rsidRPr="003A38BA" w:rsidRDefault="003E3497" w:rsidP="007C21AF">
      <w:pPr>
        <w:pStyle w:val="Subtitle"/>
        <w:ind w:left="1440" w:hanging="1440"/>
        <w:jc w:val="both"/>
        <w:rPr>
          <w:spacing w:val="0"/>
        </w:rPr>
      </w:pPr>
      <w:r>
        <w:t>Tabela 2:</w:t>
      </w:r>
      <w:r>
        <w:tab/>
        <w:t>Klasy możliwości przejeżdżania</w:t>
      </w:r>
    </w:p>
    <w:tbl>
      <w:tblPr>
        <w:tblStyle w:val="TableGrid"/>
        <w:tblW w:w="0" w:type="auto"/>
        <w:tblInd w:w="108" w:type="dxa"/>
        <w:tblLook w:val="04A0" w:firstRow="1" w:lastRow="0" w:firstColumn="1" w:lastColumn="0" w:noHBand="0" w:noVBand="1"/>
      </w:tblPr>
      <w:tblGrid>
        <w:gridCol w:w="2209"/>
        <w:gridCol w:w="1040"/>
        <w:gridCol w:w="1005"/>
        <w:gridCol w:w="1006"/>
        <w:gridCol w:w="1007"/>
        <w:gridCol w:w="1007"/>
      </w:tblGrid>
      <w:tr w:rsidR="00921E13" w:rsidRPr="003A38BA" w:rsidTr="00EB1650">
        <w:tc>
          <w:tcPr>
            <w:tcW w:w="2209" w:type="dxa"/>
          </w:tcPr>
          <w:p w:rsidR="00921E13" w:rsidRPr="003A38BA" w:rsidRDefault="00921E13" w:rsidP="00A503EF">
            <w:pPr>
              <w:spacing w:after="120"/>
              <w:ind w:left="0" w:firstLine="0"/>
            </w:pPr>
            <w:r>
              <w:t>Klasa możliwości przejeżdżania</w:t>
            </w:r>
          </w:p>
        </w:tc>
        <w:tc>
          <w:tcPr>
            <w:tcW w:w="1040" w:type="dxa"/>
          </w:tcPr>
          <w:p w:rsidR="00921E13" w:rsidRPr="003A38BA" w:rsidRDefault="00921E13" w:rsidP="000503D0">
            <w:pPr>
              <w:spacing w:after="120"/>
              <w:ind w:left="0" w:firstLine="0"/>
              <w:jc w:val="center"/>
            </w:pPr>
            <w:r>
              <w:t>T0</w:t>
            </w:r>
          </w:p>
        </w:tc>
        <w:tc>
          <w:tcPr>
            <w:tcW w:w="1005" w:type="dxa"/>
          </w:tcPr>
          <w:p w:rsidR="00921E13" w:rsidRPr="003A38BA" w:rsidRDefault="00921E13" w:rsidP="000503D0">
            <w:pPr>
              <w:spacing w:after="120"/>
              <w:ind w:left="0" w:firstLine="0"/>
              <w:jc w:val="center"/>
            </w:pPr>
            <w:r>
              <w:t>T1</w:t>
            </w:r>
          </w:p>
        </w:tc>
        <w:tc>
          <w:tcPr>
            <w:tcW w:w="1006" w:type="dxa"/>
          </w:tcPr>
          <w:p w:rsidR="00921E13" w:rsidRPr="003A38BA" w:rsidRDefault="00921E13" w:rsidP="000503D0">
            <w:pPr>
              <w:spacing w:after="120"/>
              <w:ind w:left="0" w:firstLine="0"/>
              <w:jc w:val="center"/>
            </w:pPr>
            <w:r>
              <w:t>T2</w:t>
            </w:r>
          </w:p>
        </w:tc>
        <w:tc>
          <w:tcPr>
            <w:tcW w:w="1007" w:type="dxa"/>
          </w:tcPr>
          <w:p w:rsidR="00921E13" w:rsidRPr="003A38BA" w:rsidRDefault="00921E13" w:rsidP="000503D0">
            <w:pPr>
              <w:spacing w:after="120"/>
              <w:ind w:left="0" w:firstLine="0"/>
              <w:jc w:val="center"/>
            </w:pPr>
            <w:r>
              <w:t>T3</w:t>
            </w:r>
          </w:p>
        </w:tc>
        <w:tc>
          <w:tcPr>
            <w:tcW w:w="1007" w:type="dxa"/>
          </w:tcPr>
          <w:p w:rsidR="00921E13" w:rsidRPr="003A38BA" w:rsidRDefault="00921E13" w:rsidP="000503D0">
            <w:pPr>
              <w:spacing w:after="120"/>
              <w:ind w:left="0" w:firstLine="0"/>
              <w:jc w:val="center"/>
            </w:pPr>
            <w:r>
              <w:t>T4</w:t>
            </w:r>
          </w:p>
        </w:tc>
      </w:tr>
      <w:tr w:rsidR="00921E13" w:rsidRPr="003A38BA" w:rsidTr="00EB1650">
        <w:tc>
          <w:tcPr>
            <w:tcW w:w="2209" w:type="dxa"/>
          </w:tcPr>
          <w:p w:rsidR="00921E13" w:rsidRPr="003A38BA" w:rsidRDefault="00CD0A25" w:rsidP="00CD0A25">
            <w:pPr>
              <w:spacing w:after="120"/>
              <w:ind w:left="0" w:firstLine="0"/>
            </w:pPr>
            <w:r>
              <w:t>Czas schnięcia w minutach</w:t>
            </w:r>
          </w:p>
        </w:tc>
        <w:tc>
          <w:tcPr>
            <w:tcW w:w="1040" w:type="dxa"/>
          </w:tcPr>
          <w:p w:rsidR="00921E13" w:rsidRPr="003A38BA" w:rsidRDefault="00921E13" w:rsidP="000503D0">
            <w:pPr>
              <w:spacing w:after="120"/>
              <w:ind w:left="0" w:firstLine="0"/>
              <w:jc w:val="center"/>
            </w:pPr>
            <w:r>
              <w:t>NPD</w:t>
            </w:r>
          </w:p>
        </w:tc>
        <w:tc>
          <w:tcPr>
            <w:tcW w:w="1005" w:type="dxa"/>
          </w:tcPr>
          <w:p w:rsidR="00921E13" w:rsidRPr="003A38BA" w:rsidRDefault="00921E13" w:rsidP="000503D0">
            <w:pPr>
              <w:spacing w:after="120"/>
              <w:ind w:left="0" w:firstLine="0"/>
              <w:jc w:val="center"/>
            </w:pPr>
            <w:r>
              <w:t>≤ 1</w:t>
            </w:r>
          </w:p>
        </w:tc>
        <w:tc>
          <w:tcPr>
            <w:tcW w:w="1006" w:type="dxa"/>
          </w:tcPr>
          <w:p w:rsidR="00921E13" w:rsidRPr="003A38BA" w:rsidRDefault="00921E13" w:rsidP="000503D0">
            <w:pPr>
              <w:spacing w:after="120"/>
              <w:ind w:left="0" w:firstLine="0"/>
              <w:jc w:val="center"/>
            </w:pPr>
            <w:r>
              <w:t>≤ 10</w:t>
            </w:r>
          </w:p>
        </w:tc>
        <w:tc>
          <w:tcPr>
            <w:tcW w:w="1007" w:type="dxa"/>
          </w:tcPr>
          <w:p w:rsidR="00921E13" w:rsidRPr="003A38BA" w:rsidRDefault="00921E13" w:rsidP="000503D0">
            <w:pPr>
              <w:spacing w:after="120"/>
              <w:ind w:left="0" w:firstLine="0"/>
              <w:jc w:val="center"/>
            </w:pPr>
            <w:r>
              <w:t>≤ 20</w:t>
            </w:r>
          </w:p>
        </w:tc>
        <w:tc>
          <w:tcPr>
            <w:tcW w:w="1007" w:type="dxa"/>
          </w:tcPr>
          <w:p w:rsidR="00921E13" w:rsidRPr="003A38BA" w:rsidRDefault="00921E13" w:rsidP="000503D0">
            <w:pPr>
              <w:spacing w:after="120"/>
              <w:ind w:left="0" w:firstLine="0"/>
              <w:jc w:val="center"/>
            </w:pPr>
            <w:r>
              <w:t>≤ 30</w:t>
            </w:r>
          </w:p>
        </w:tc>
      </w:tr>
    </w:tbl>
    <w:p w:rsidR="000503D0" w:rsidRPr="003A38BA" w:rsidRDefault="000503D0" w:rsidP="00A503EF">
      <w:pPr>
        <w:spacing w:after="120"/>
        <w:ind w:left="0" w:firstLine="0"/>
      </w:pPr>
    </w:p>
    <w:p w:rsidR="004F79C9" w:rsidRPr="003A38BA" w:rsidRDefault="004F79C9" w:rsidP="007C21AF">
      <w:pPr>
        <w:spacing w:after="120"/>
        <w:ind w:left="0" w:firstLine="0"/>
        <w:jc w:val="both"/>
      </w:pPr>
      <w:r>
        <w:t>Podczas nakładania systemu oznakowania należy określić faktycznie nałożone na próbkę ilości materiału oraz wszystkich nośników.</w:t>
      </w:r>
    </w:p>
    <w:p w:rsidR="00B53040" w:rsidRPr="003A38BA" w:rsidRDefault="00B53040" w:rsidP="007C21AF">
      <w:pPr>
        <w:spacing w:after="120"/>
        <w:ind w:left="0" w:firstLine="0"/>
        <w:jc w:val="both"/>
      </w:pPr>
      <w:r>
        <w:t>Nałożoną ilość materiału do oznakowania podaje się za pomocą grubości warstwy. Grubość warstwy ustala się zasadniczo zgodnie z normą DIN EN 13197, załącznik C. W niektórych przypadkach określenia nałożonej ilości można dokonać przez ważenie etapami próbek po nałożeniu różnych składników (materiału, środków do posypywania). Grubość warstwy określa się wówczas na podstawie skutecznie nałożonej ilości. Nałożoną ilość w przypadku aglomeratów ustala się przez odważenie ilości materiału bez środków do posypywania. W przypadku systemów cienkowarstwowych zasadniczo bardziej praktyczny jest pomiar grubości warstwy wilgoci uziemionym, skalibrowanym grzebieniem pomiarowym.</w:t>
      </w:r>
    </w:p>
    <w:p w:rsidR="004F79C9" w:rsidRPr="003A38BA" w:rsidRDefault="004F79C9" w:rsidP="007C21AF">
      <w:pPr>
        <w:spacing w:after="120"/>
        <w:ind w:left="0" w:firstLine="0"/>
        <w:jc w:val="both"/>
      </w:pPr>
      <w:r>
        <w:t>Wyniki należy udokumentować w protokole nakładania.</w:t>
      </w:r>
    </w:p>
    <w:p w:rsidR="000766A6" w:rsidRPr="003A38BA" w:rsidRDefault="000766A6" w:rsidP="007C21AF">
      <w:pPr>
        <w:pStyle w:val="Heading1"/>
        <w:numPr>
          <w:ilvl w:val="2"/>
          <w:numId w:val="5"/>
        </w:numPr>
        <w:ind w:left="1440" w:hanging="720"/>
        <w:jc w:val="both"/>
        <w:rPr>
          <w:rFonts w:ascii="Arial" w:hAnsi="Arial" w:cs="Arial"/>
          <w:sz w:val="24"/>
          <w:szCs w:val="24"/>
        </w:rPr>
      </w:pPr>
      <w:bookmarkStart w:id="17" w:name="_Toc12481204"/>
      <w:r>
        <w:rPr>
          <w:sz w:val="24"/>
          <w:szCs w:val="24"/>
        </w:rPr>
        <w:t>Pobieranie próbek</w:t>
      </w:r>
      <w:bookmarkEnd w:id="17"/>
    </w:p>
    <w:p w:rsidR="000766A6" w:rsidRPr="003A38BA" w:rsidRDefault="000766A6" w:rsidP="007C21AF">
      <w:pPr>
        <w:spacing w:after="120"/>
        <w:ind w:left="0" w:firstLine="0"/>
        <w:jc w:val="both"/>
      </w:pPr>
      <w:r>
        <w:t>W celach identyfikacyjnych podczas nakładania pobiera się próbki każdego materiału do oznakowania, wszystkich składników materiału wieloskładnikowego oraz nośników. Na pobranych próbkach przeprowadzane są badania fizyczno-chemiczne służące identyfikacji systemu oznakowania.</w:t>
      </w:r>
    </w:p>
    <w:p w:rsidR="00260651" w:rsidRPr="003A38BA" w:rsidRDefault="00260651" w:rsidP="007C21AF">
      <w:pPr>
        <w:pStyle w:val="Heading1"/>
        <w:numPr>
          <w:ilvl w:val="2"/>
          <w:numId w:val="5"/>
        </w:numPr>
        <w:ind w:left="1440" w:hanging="720"/>
        <w:jc w:val="both"/>
        <w:rPr>
          <w:rFonts w:ascii="Arial" w:hAnsi="Arial" w:cs="Arial"/>
          <w:sz w:val="24"/>
          <w:szCs w:val="24"/>
        </w:rPr>
      </w:pPr>
      <w:bookmarkStart w:id="18" w:name="_Toc12481205"/>
      <w:r>
        <w:rPr>
          <w:sz w:val="24"/>
          <w:szCs w:val="24"/>
        </w:rPr>
        <w:t>Czas kondycjonowania</w:t>
      </w:r>
      <w:bookmarkEnd w:id="18"/>
    </w:p>
    <w:p w:rsidR="00260651" w:rsidRPr="003A38BA" w:rsidRDefault="00C8360F" w:rsidP="007C21AF">
      <w:pPr>
        <w:spacing w:after="120"/>
        <w:ind w:left="0" w:firstLine="0"/>
        <w:jc w:val="both"/>
      </w:pPr>
      <w:r>
        <w:t>Po farbach zawierających rozpuszczalniki po raz pierwszy na stanowisku badawczym o ruchu obrotowym przejeżdżać można najwcześniej 8 dni, a należy najpóźniej 12 dni od nałożenia. Okres dla układów dyspersyjnych musi być o tydzień dłuższy niż dla farb zawierających rozpuszczalniki. Po wszystkich innych systemach oznakowania można przejeżdżać po raz pierwszy najwcześniej 48 godzin od nałożenia.</w:t>
      </w:r>
    </w:p>
    <w:p w:rsidR="005517CE" w:rsidRPr="003A38BA" w:rsidRDefault="005517CE" w:rsidP="007C21AF">
      <w:pPr>
        <w:spacing w:after="120"/>
        <w:ind w:left="0" w:firstLine="0"/>
        <w:jc w:val="both"/>
      </w:pPr>
      <w:r>
        <w:lastRenderedPageBreak/>
        <w:t xml:space="preserve">Przygotowane próbki muszą być przechowywane w klimatyzowanym pomieszczeniu o temperaturze 20 °C±5 °C i względnej wilgotności powietrza między 45 a 75 % w celu wyschnięcia bądź utwardzenia. </w:t>
      </w:r>
    </w:p>
    <w:p w:rsidR="005517CE" w:rsidRPr="003A38BA" w:rsidRDefault="005517CE" w:rsidP="007C21AF">
      <w:pPr>
        <w:pStyle w:val="Heading1"/>
        <w:numPr>
          <w:ilvl w:val="2"/>
          <w:numId w:val="5"/>
        </w:numPr>
        <w:ind w:left="1440" w:hanging="720"/>
        <w:jc w:val="both"/>
        <w:rPr>
          <w:sz w:val="24"/>
          <w:szCs w:val="24"/>
        </w:rPr>
      </w:pPr>
      <w:bookmarkStart w:id="19" w:name="_Toc12481206"/>
      <w:r>
        <w:rPr>
          <w:sz w:val="24"/>
          <w:szCs w:val="24"/>
        </w:rPr>
        <w:t>Kierunek nakładania</w:t>
      </w:r>
      <w:bookmarkEnd w:id="19"/>
    </w:p>
    <w:p w:rsidR="005517CE" w:rsidRPr="003A38BA" w:rsidRDefault="005517CE" w:rsidP="007C21AF">
      <w:pPr>
        <w:spacing w:after="120"/>
        <w:ind w:left="0" w:firstLine="0"/>
        <w:jc w:val="both"/>
      </w:pPr>
      <w:r>
        <w:t xml:space="preserve">Podczas nakładania na próbki należy uwzględnić to, by były one tak ustawione na stanowisku badawczym o ruchu obrotowym, że systemy oznakowania będą przejeżdżane w kierunku nakładania i kierunku przeciwnym do niego. </w:t>
      </w:r>
    </w:p>
    <w:p w:rsidR="006D5959" w:rsidRPr="003A38BA" w:rsidRDefault="006D5959" w:rsidP="007C21AF">
      <w:pPr>
        <w:pStyle w:val="Heading1"/>
        <w:numPr>
          <w:ilvl w:val="1"/>
          <w:numId w:val="5"/>
        </w:numPr>
        <w:jc w:val="both"/>
        <w:rPr>
          <w:rFonts w:ascii="Arial" w:hAnsi="Arial" w:cs="Arial"/>
          <w:sz w:val="24"/>
          <w:szCs w:val="24"/>
        </w:rPr>
      </w:pPr>
      <w:bookmarkStart w:id="20" w:name="_Toc12481207"/>
      <w:r>
        <w:rPr>
          <w:sz w:val="24"/>
          <w:szCs w:val="24"/>
        </w:rPr>
        <w:t>Próbka wzorcowa</w:t>
      </w:r>
      <w:bookmarkEnd w:id="20"/>
    </w:p>
    <w:p w:rsidR="00EB7D09" w:rsidRPr="003A38BA" w:rsidRDefault="006D5959" w:rsidP="007C21AF">
      <w:pPr>
        <w:spacing w:after="120"/>
        <w:ind w:left="0" w:firstLine="0"/>
        <w:jc w:val="both"/>
      </w:pPr>
      <w:r>
        <w:t xml:space="preserve">W celu kontroli tego, czy badanie przebiega bez zastrzeżeń, każdy bieg testowy musi obejmować co najmniej jedną próbkę pokrytą systemem oznakowania standardowego (próbka wzorcowa). Ustalony musi być materiał do oznakowania oraz instrukcje nakładania próbki wzorcowej. </w:t>
      </w:r>
    </w:p>
    <w:p w:rsidR="006D5959" w:rsidRPr="003A38BA" w:rsidRDefault="006D5959" w:rsidP="007C21AF">
      <w:pPr>
        <w:spacing w:after="120"/>
        <w:ind w:left="0" w:firstLine="0"/>
        <w:jc w:val="both"/>
      </w:pPr>
      <w:r>
        <w:t xml:space="preserve">Wyniki uzyskane z próbką wzorcową w każdym badaniu z osobna służą zapewnieniu jakości (patrz sekcja 4.4.5). </w:t>
      </w:r>
    </w:p>
    <w:p w:rsidR="00B2761F" w:rsidRPr="003A38BA" w:rsidRDefault="00B2761F" w:rsidP="007C21AF">
      <w:pPr>
        <w:pStyle w:val="Heading1"/>
        <w:numPr>
          <w:ilvl w:val="1"/>
          <w:numId w:val="5"/>
        </w:numPr>
        <w:jc w:val="both"/>
        <w:rPr>
          <w:sz w:val="24"/>
          <w:szCs w:val="24"/>
        </w:rPr>
      </w:pPr>
      <w:bookmarkStart w:id="21" w:name="_Toc12481208"/>
      <w:r>
        <w:rPr>
          <w:sz w:val="24"/>
          <w:szCs w:val="24"/>
        </w:rPr>
        <w:t>Wykonywanie badania</w:t>
      </w:r>
      <w:bookmarkEnd w:id="21"/>
    </w:p>
    <w:p w:rsidR="00D1262E" w:rsidRPr="003A38BA" w:rsidRDefault="00AD7468" w:rsidP="007C21AF">
      <w:pPr>
        <w:spacing w:after="120"/>
        <w:ind w:left="0" w:firstLine="0"/>
        <w:jc w:val="both"/>
      </w:pPr>
      <w:r>
        <w:t xml:space="preserve">Po przygotowanych próbkach nie można przejeżdżać, zanim nie upłynie ustalony czas kondycjonowania. Próbki, które nie są całkowicie wyschnięte lub utwardzone, w związku z czym są ewentualnie w stanie zaszkodzić innym próbkom, nie mogą być badane. Do pokrycia wymaganej powierzchni pomiarowej wynoszącej co najmniej 800 cm2 należy użyć przynajmniej niezbędnej liczby 3 próbek powleczonych na szerokość co najmniej 20 cm. Rozmieszczenie próbek na stanowisku badawczym o ruchu obrotowym odbywa się losowo. 3 próbki systemu oznakowania nie są przy tym rozdzielane, lecz rozmieszczane bezpośrednio obok siebie. </w:t>
      </w:r>
    </w:p>
    <w:p w:rsidR="00B2761F" w:rsidRPr="003A38BA" w:rsidRDefault="008C64DB" w:rsidP="007C21AF">
      <w:pPr>
        <w:spacing w:after="120"/>
        <w:ind w:left="0" w:firstLine="0"/>
        <w:jc w:val="both"/>
      </w:pPr>
      <w:r>
        <w:t>Podczas badania mas termoplastycznych wymagane jest rozmieszczenie systematyczne. Próbki są rozmieszczane tak, aby koło mogło toczyć się na zmianę po grupie próbek i po mającej taką samą wielkość grupie czystych płytek. Z wielkości obwodu koła i wymiaru próbek bądź czystych płytek wynika, że rozmieszczane obok siebie są po 2 systemy oznakowania składające się z 3 próbek każdy. Po nich następuje 6 czystych płytek, zanim rozmieszczone zostaną 2 następne systemy oznakowania.</w:t>
      </w:r>
    </w:p>
    <w:p w:rsidR="006D5959" w:rsidRPr="003A38BA" w:rsidRDefault="006D5959" w:rsidP="007C21AF">
      <w:pPr>
        <w:pStyle w:val="Heading1"/>
        <w:numPr>
          <w:ilvl w:val="2"/>
          <w:numId w:val="5"/>
        </w:numPr>
        <w:ind w:left="1440" w:hanging="720"/>
        <w:jc w:val="both"/>
        <w:rPr>
          <w:rFonts w:ascii="Arial" w:hAnsi="Arial" w:cs="Arial"/>
          <w:sz w:val="24"/>
          <w:szCs w:val="24"/>
        </w:rPr>
      </w:pPr>
      <w:bookmarkStart w:id="22" w:name="_Toc12481209"/>
      <w:r>
        <w:rPr>
          <w:sz w:val="24"/>
          <w:szCs w:val="24"/>
        </w:rPr>
        <w:t>Warunki badania</w:t>
      </w:r>
      <w:bookmarkEnd w:id="22"/>
    </w:p>
    <w:p w:rsidR="00AD7468" w:rsidRPr="003A38BA" w:rsidRDefault="00AD7468" w:rsidP="007C21AF">
      <w:pPr>
        <w:spacing w:after="120"/>
        <w:ind w:left="0" w:firstLine="0"/>
        <w:jc w:val="both"/>
      </w:pPr>
      <w:r>
        <w:t>Warunki badania i cykle pomiarowe są zdefiniowane w tabelach 3 i 4.</w:t>
      </w:r>
    </w:p>
    <w:p w:rsidR="004D7F92" w:rsidRPr="003A38BA" w:rsidRDefault="004D7F92" w:rsidP="007C21AF">
      <w:pPr>
        <w:spacing w:after="120"/>
        <w:ind w:left="0" w:firstLine="0"/>
        <w:jc w:val="both"/>
      </w:pPr>
      <w:r>
        <w:t>Liczba badanych jednocześnie próbek farb, folii i mas plastycznych układanych na zimno jest ograniczana przez liczbę obudów na tarczy obrotowej. Dla termoplastycznych systemów oznakowania liczba próbek jest zasadniczo ograniczana do 12.</w:t>
      </w:r>
    </w:p>
    <w:p w:rsidR="004D7F92" w:rsidRPr="003A38BA" w:rsidRDefault="004D7F92" w:rsidP="007C21AF">
      <w:pPr>
        <w:spacing w:after="120"/>
        <w:ind w:left="0" w:firstLine="0"/>
        <w:jc w:val="both"/>
      </w:pPr>
      <w:r>
        <w:t>Oznakowania wykonane z różnych materiałów nie są zasadniczo badane jednocześnie. Rozróżnia się między: farbą (farba zawierająca rozpuszczalnik, układ dyspersyjny), masą plastyczną układaną na zimno, folią na bazie aluminium, folią na innej bazie, masą termoplastyczną.</w:t>
      </w:r>
    </w:p>
    <w:p w:rsidR="00C34F3E" w:rsidRPr="003A38BA" w:rsidRDefault="003E3497" w:rsidP="00A11530">
      <w:pPr>
        <w:pStyle w:val="Subtitle"/>
        <w:keepNext/>
        <w:ind w:left="1440" w:hanging="1440"/>
        <w:jc w:val="both"/>
        <w:rPr>
          <w:spacing w:val="0"/>
        </w:rPr>
      </w:pPr>
      <w:r>
        <w:t>Tabela 3:</w:t>
      </w:r>
      <w:r>
        <w:tab/>
        <w:t>Warunki badania</w:t>
      </w:r>
    </w:p>
    <w:tbl>
      <w:tblPr>
        <w:tblStyle w:val="TableGrid"/>
        <w:tblW w:w="0" w:type="auto"/>
        <w:tblLook w:val="04A0" w:firstRow="1" w:lastRow="0" w:firstColumn="1" w:lastColumn="0" w:noHBand="0" w:noVBand="1"/>
      </w:tblPr>
      <w:tblGrid>
        <w:gridCol w:w="4606"/>
        <w:gridCol w:w="4606"/>
      </w:tblGrid>
      <w:tr w:rsidR="00AD7468" w:rsidRPr="003A38BA" w:rsidTr="00AD7468">
        <w:tc>
          <w:tcPr>
            <w:tcW w:w="4606" w:type="dxa"/>
          </w:tcPr>
          <w:p w:rsidR="00AD7468" w:rsidRPr="003A38BA" w:rsidRDefault="00AD7468" w:rsidP="00A503EF">
            <w:pPr>
              <w:spacing w:after="120"/>
              <w:ind w:left="0" w:firstLine="0"/>
            </w:pPr>
            <w:r>
              <w:t>Liczba kół testowych</w:t>
            </w:r>
          </w:p>
        </w:tc>
        <w:tc>
          <w:tcPr>
            <w:tcW w:w="4606" w:type="dxa"/>
          </w:tcPr>
          <w:p w:rsidR="00AD7468" w:rsidRPr="003A38BA" w:rsidRDefault="00AD7468" w:rsidP="00A503EF">
            <w:pPr>
              <w:spacing w:after="120"/>
              <w:ind w:left="0" w:firstLine="0"/>
            </w:pPr>
            <w:r>
              <w:t>4 lub 8 w zależności od badanego materiału (patrz punkt 4.1.1)</w:t>
            </w:r>
          </w:p>
        </w:tc>
      </w:tr>
      <w:tr w:rsidR="00AD7468" w:rsidRPr="003A38BA" w:rsidTr="00AD7468">
        <w:tc>
          <w:tcPr>
            <w:tcW w:w="4606" w:type="dxa"/>
          </w:tcPr>
          <w:p w:rsidR="00AD7468" w:rsidRPr="003A38BA" w:rsidRDefault="00AD7468" w:rsidP="00A503EF">
            <w:pPr>
              <w:spacing w:after="120"/>
              <w:ind w:left="0" w:firstLine="0"/>
            </w:pPr>
            <w:r>
              <w:t>Typ opon testowych</w:t>
            </w:r>
          </w:p>
        </w:tc>
        <w:tc>
          <w:tcPr>
            <w:tcW w:w="4606" w:type="dxa"/>
          </w:tcPr>
          <w:p w:rsidR="00AD7468" w:rsidRPr="003A38BA" w:rsidRDefault="00AD7468" w:rsidP="00A503EF">
            <w:pPr>
              <w:spacing w:after="120"/>
              <w:ind w:left="0" w:firstLine="0"/>
            </w:pPr>
            <w:r>
              <w:t>Dopuszczone do użytku, dostępne w sprzedaży opony według sekcja 4.1.1</w:t>
            </w:r>
          </w:p>
          <w:p w:rsidR="00AD7468" w:rsidRPr="003A38BA" w:rsidRDefault="00AD7468" w:rsidP="00A503EF">
            <w:pPr>
              <w:spacing w:after="120"/>
              <w:ind w:left="0" w:firstLine="0"/>
            </w:pPr>
            <w:r>
              <w:t>Nowe opony do każdego badania</w:t>
            </w:r>
            <w:r w:rsidR="00D1262E" w:rsidRPr="003A38BA">
              <w:rPr>
                <w:rStyle w:val="FootnoteReference"/>
              </w:rPr>
              <w:footnoteReference w:id="3"/>
            </w:r>
          </w:p>
        </w:tc>
      </w:tr>
      <w:tr w:rsidR="00AD7468" w:rsidRPr="003A38BA" w:rsidTr="00AD7468">
        <w:tc>
          <w:tcPr>
            <w:tcW w:w="4606" w:type="dxa"/>
          </w:tcPr>
          <w:p w:rsidR="00AD7468" w:rsidRPr="003A38BA" w:rsidRDefault="00AD7468" w:rsidP="00A503EF">
            <w:pPr>
              <w:spacing w:after="120"/>
              <w:ind w:left="0" w:firstLine="0"/>
            </w:pPr>
            <w:r>
              <w:lastRenderedPageBreak/>
              <w:t>Ciśnienie w oponach</w:t>
            </w:r>
          </w:p>
        </w:tc>
        <w:tc>
          <w:tcPr>
            <w:tcW w:w="4606" w:type="dxa"/>
          </w:tcPr>
          <w:p w:rsidR="00AD7468" w:rsidRPr="003A38BA" w:rsidRDefault="00AD7468" w:rsidP="00A503EF">
            <w:pPr>
              <w:spacing w:after="120"/>
              <w:ind w:left="0" w:firstLine="0"/>
            </w:pPr>
            <w:r>
              <w:t>0,25 ± 0,02 MPa</w:t>
            </w:r>
          </w:p>
        </w:tc>
      </w:tr>
      <w:tr w:rsidR="00AD7468" w:rsidRPr="003A38BA" w:rsidTr="00AD7468">
        <w:tc>
          <w:tcPr>
            <w:tcW w:w="4606" w:type="dxa"/>
          </w:tcPr>
          <w:p w:rsidR="00AD7468" w:rsidRPr="003A38BA" w:rsidRDefault="00AD7468" w:rsidP="00A503EF">
            <w:pPr>
              <w:spacing w:after="120"/>
              <w:ind w:left="0" w:firstLine="0"/>
            </w:pPr>
            <w:r>
              <w:t>Obciążenie koła</w:t>
            </w:r>
          </w:p>
        </w:tc>
        <w:tc>
          <w:tcPr>
            <w:tcW w:w="4606" w:type="dxa"/>
          </w:tcPr>
          <w:p w:rsidR="00AD7468" w:rsidRPr="003A38BA" w:rsidRDefault="00AD7468" w:rsidP="00A503EF">
            <w:pPr>
              <w:spacing w:after="120"/>
              <w:ind w:left="0" w:firstLine="0"/>
            </w:pPr>
            <w:r>
              <w:t>3000 ± 300 N</w:t>
            </w:r>
          </w:p>
        </w:tc>
      </w:tr>
      <w:tr w:rsidR="00AD7468" w:rsidRPr="003A38BA" w:rsidTr="00AD7468">
        <w:tc>
          <w:tcPr>
            <w:tcW w:w="4606" w:type="dxa"/>
          </w:tcPr>
          <w:p w:rsidR="00AD7468" w:rsidRPr="003A38BA" w:rsidRDefault="00AD7468" w:rsidP="00A503EF">
            <w:pPr>
              <w:spacing w:after="120"/>
              <w:ind w:left="0" w:firstLine="0"/>
            </w:pPr>
            <w:r>
              <w:t>Pochylenie koła</w:t>
            </w:r>
          </w:p>
        </w:tc>
        <w:tc>
          <w:tcPr>
            <w:tcW w:w="4606" w:type="dxa"/>
          </w:tcPr>
          <w:p w:rsidR="00AD7468" w:rsidRPr="003A38BA" w:rsidRDefault="00AD7468" w:rsidP="00921E13">
            <w:pPr>
              <w:spacing w:after="120"/>
              <w:ind w:left="0" w:firstLine="0"/>
            </w:pPr>
            <w:r>
              <w:t>0° do maksymalnego odchylenia ± 1°</w:t>
            </w:r>
          </w:p>
        </w:tc>
      </w:tr>
      <w:tr w:rsidR="00AD7468" w:rsidRPr="003A38BA" w:rsidTr="00AD7468">
        <w:tc>
          <w:tcPr>
            <w:tcW w:w="4606" w:type="dxa"/>
          </w:tcPr>
          <w:p w:rsidR="00AD7468" w:rsidRPr="003A38BA" w:rsidRDefault="00AD7468" w:rsidP="00A503EF">
            <w:pPr>
              <w:spacing w:after="120"/>
              <w:ind w:left="0" w:firstLine="0"/>
            </w:pPr>
            <w:r>
              <w:t>Znoszenie</w:t>
            </w:r>
          </w:p>
        </w:tc>
        <w:tc>
          <w:tcPr>
            <w:tcW w:w="4606" w:type="dxa"/>
          </w:tcPr>
          <w:p w:rsidR="00AD7468" w:rsidRPr="003A38BA" w:rsidRDefault="00AD7468" w:rsidP="00A503EF">
            <w:pPr>
              <w:spacing w:after="120"/>
              <w:ind w:left="0" w:firstLine="0"/>
            </w:pPr>
            <w:r>
              <w:t>Na koło przemiennie +1° (±10‘) / -1° (±10‘)</w:t>
            </w:r>
          </w:p>
        </w:tc>
      </w:tr>
      <w:tr w:rsidR="00AD7468" w:rsidRPr="003A38BA" w:rsidTr="00AD7468">
        <w:tc>
          <w:tcPr>
            <w:tcW w:w="4606" w:type="dxa"/>
          </w:tcPr>
          <w:p w:rsidR="00AD7468" w:rsidRPr="003A38BA" w:rsidRDefault="00AD7468" w:rsidP="00A503EF">
            <w:pPr>
              <w:spacing w:after="120"/>
              <w:ind w:left="0" w:firstLine="0"/>
            </w:pPr>
            <w:r>
              <w:t>Prędkość</w:t>
            </w:r>
          </w:p>
        </w:tc>
        <w:tc>
          <w:tcPr>
            <w:tcW w:w="4606" w:type="dxa"/>
          </w:tcPr>
          <w:p w:rsidR="00AD7468" w:rsidRPr="003A38BA" w:rsidRDefault="00AD7468" w:rsidP="00A503EF">
            <w:pPr>
              <w:spacing w:after="120"/>
              <w:ind w:left="0" w:firstLine="0"/>
            </w:pPr>
            <w:r>
              <w:t>15 km/h ± 1 km/h przy próbie z polewaniem</w:t>
            </w:r>
          </w:p>
          <w:p w:rsidR="00AD7468" w:rsidRPr="003A38BA" w:rsidRDefault="00AD7468" w:rsidP="00A503EF">
            <w:pPr>
              <w:spacing w:after="120"/>
              <w:ind w:left="0" w:firstLine="0"/>
            </w:pPr>
            <w:r>
              <w:t>60 km/h ± 3 km/h</w:t>
            </w:r>
          </w:p>
        </w:tc>
      </w:tr>
      <w:tr w:rsidR="00AD7468" w:rsidRPr="003A38BA" w:rsidTr="00AD7468">
        <w:tc>
          <w:tcPr>
            <w:tcW w:w="4606" w:type="dxa"/>
          </w:tcPr>
          <w:p w:rsidR="00AD7468" w:rsidRPr="003A38BA" w:rsidRDefault="00AD7468" w:rsidP="00A503EF">
            <w:pPr>
              <w:spacing w:after="120"/>
              <w:ind w:left="0" w:firstLine="0"/>
            </w:pPr>
            <w:r>
              <w:t>Kierunek obrotu</w:t>
            </w:r>
          </w:p>
        </w:tc>
        <w:tc>
          <w:tcPr>
            <w:tcW w:w="4606" w:type="dxa"/>
          </w:tcPr>
          <w:p w:rsidR="00AD7468" w:rsidRPr="003A38BA" w:rsidRDefault="00AD7468" w:rsidP="00BF3220">
            <w:pPr>
              <w:spacing w:after="120"/>
              <w:ind w:left="0" w:firstLine="0"/>
            </w:pPr>
            <w:r>
              <w:t>50 % w każdym kierunku</w:t>
            </w:r>
          </w:p>
        </w:tc>
      </w:tr>
      <w:tr w:rsidR="00AD7468" w:rsidRPr="003A38BA" w:rsidTr="00AD7468">
        <w:tc>
          <w:tcPr>
            <w:tcW w:w="4606" w:type="dxa"/>
          </w:tcPr>
          <w:p w:rsidR="00AD7468" w:rsidRPr="003A38BA" w:rsidRDefault="0043206D" w:rsidP="00A503EF">
            <w:pPr>
              <w:spacing w:after="120"/>
              <w:ind w:left="0" w:firstLine="0"/>
            </w:pPr>
            <w:r>
              <w:t>Interwały pomiarowe</w:t>
            </w:r>
          </w:p>
        </w:tc>
        <w:tc>
          <w:tcPr>
            <w:tcW w:w="4606" w:type="dxa"/>
          </w:tcPr>
          <w:p w:rsidR="00AD7468" w:rsidRPr="003A38BA" w:rsidRDefault="0043206D" w:rsidP="00A503EF">
            <w:pPr>
              <w:spacing w:after="120"/>
              <w:ind w:left="0" w:firstLine="0"/>
            </w:pPr>
            <w:r>
              <w:t>0; 0,01; 0,1; 0,2; 0,5; 1,0; 2,0; 3,0 i 4,0 x 106</w:t>
            </w:r>
          </w:p>
        </w:tc>
      </w:tr>
      <w:tr w:rsidR="0043206D" w:rsidRPr="003A38BA" w:rsidTr="00AD7468">
        <w:tc>
          <w:tcPr>
            <w:tcW w:w="4606" w:type="dxa"/>
          </w:tcPr>
          <w:p w:rsidR="0043206D" w:rsidRPr="003A38BA" w:rsidRDefault="0043206D" w:rsidP="00A503EF">
            <w:pPr>
              <w:spacing w:after="120"/>
              <w:ind w:left="0" w:firstLine="0"/>
            </w:pPr>
            <w:r>
              <w:t>Temperatura w pomieszczeniu</w:t>
            </w:r>
          </w:p>
        </w:tc>
        <w:tc>
          <w:tcPr>
            <w:tcW w:w="4606" w:type="dxa"/>
          </w:tcPr>
          <w:p w:rsidR="0043206D" w:rsidRPr="003A38BA" w:rsidRDefault="0043206D" w:rsidP="00A503EF">
            <w:pPr>
              <w:spacing w:after="120"/>
              <w:ind w:left="0" w:firstLine="0"/>
            </w:pPr>
            <w:r>
              <w:t>Od 5 °C do 10 °C</w:t>
            </w:r>
          </w:p>
        </w:tc>
      </w:tr>
    </w:tbl>
    <w:p w:rsidR="00AD7468" w:rsidRPr="003A38BA" w:rsidRDefault="00AD7468" w:rsidP="00D9642C">
      <w:pPr>
        <w:spacing w:after="120"/>
        <w:ind w:left="0" w:firstLine="0"/>
      </w:pPr>
    </w:p>
    <w:p w:rsidR="00D9642C" w:rsidRPr="003A38BA" w:rsidRDefault="00D9642C" w:rsidP="00A11530">
      <w:pPr>
        <w:pStyle w:val="Subtitle"/>
        <w:keepNext/>
        <w:ind w:left="1440" w:hanging="1440"/>
        <w:jc w:val="both"/>
        <w:rPr>
          <w:spacing w:val="0"/>
        </w:rPr>
      </w:pPr>
      <w:r>
        <w:t>Tabela 4:</w:t>
      </w:r>
      <w:r>
        <w:tab/>
        <w:t>Cykle pomiarowe</w:t>
      </w:r>
    </w:p>
    <w:tbl>
      <w:tblPr>
        <w:tblStyle w:val="TableGrid"/>
        <w:tblW w:w="0" w:type="auto"/>
        <w:tblLook w:val="04A0" w:firstRow="1" w:lastRow="0" w:firstColumn="1" w:lastColumn="0" w:noHBand="0" w:noVBand="1"/>
      </w:tblPr>
      <w:tblGrid>
        <w:gridCol w:w="1316"/>
        <w:gridCol w:w="1316"/>
        <w:gridCol w:w="1316"/>
        <w:gridCol w:w="1316"/>
        <w:gridCol w:w="1316"/>
        <w:gridCol w:w="1316"/>
        <w:gridCol w:w="1316"/>
      </w:tblGrid>
      <w:tr w:rsidR="00C34F3E" w:rsidRPr="003A38BA" w:rsidTr="00C34F3E">
        <w:tc>
          <w:tcPr>
            <w:tcW w:w="1316" w:type="dxa"/>
          </w:tcPr>
          <w:p w:rsidR="00C34F3E" w:rsidRPr="003A38BA" w:rsidRDefault="00C34F3E" w:rsidP="00A503EF">
            <w:pPr>
              <w:spacing w:after="120"/>
              <w:ind w:left="0" w:firstLine="0"/>
              <w:rPr>
                <w:b/>
                <w:sz w:val="18"/>
                <w:szCs w:val="18"/>
              </w:rPr>
            </w:pPr>
            <w:r>
              <w:rPr>
                <w:b/>
                <w:sz w:val="18"/>
                <w:szCs w:val="18"/>
              </w:rPr>
              <w:t>Cykl pomiarowy</w:t>
            </w:r>
          </w:p>
        </w:tc>
        <w:tc>
          <w:tcPr>
            <w:tcW w:w="1316" w:type="dxa"/>
          </w:tcPr>
          <w:p w:rsidR="00C34F3E" w:rsidRPr="003A38BA" w:rsidRDefault="00C34F3E" w:rsidP="00A503EF">
            <w:pPr>
              <w:spacing w:after="120"/>
              <w:ind w:left="0" w:firstLine="0"/>
              <w:rPr>
                <w:b/>
                <w:sz w:val="18"/>
                <w:szCs w:val="18"/>
              </w:rPr>
            </w:pPr>
            <w:r>
              <w:rPr>
                <w:b/>
                <w:sz w:val="18"/>
                <w:szCs w:val="18"/>
              </w:rPr>
              <w:t>Przejechania w cyklu pomiarowym</w:t>
            </w:r>
          </w:p>
        </w:tc>
        <w:tc>
          <w:tcPr>
            <w:tcW w:w="1316" w:type="dxa"/>
          </w:tcPr>
          <w:p w:rsidR="00C34F3E" w:rsidRPr="003A38BA" w:rsidRDefault="00C34F3E" w:rsidP="00A503EF">
            <w:pPr>
              <w:spacing w:after="120"/>
              <w:ind w:left="0" w:firstLine="0"/>
              <w:rPr>
                <w:b/>
                <w:sz w:val="18"/>
                <w:szCs w:val="18"/>
              </w:rPr>
            </w:pPr>
            <w:r>
              <w:rPr>
                <w:b/>
                <w:sz w:val="18"/>
                <w:szCs w:val="18"/>
              </w:rPr>
              <w:t>Przejechania przy próbie z polewaniem na początku</w:t>
            </w:r>
          </w:p>
        </w:tc>
        <w:tc>
          <w:tcPr>
            <w:tcW w:w="1316" w:type="dxa"/>
          </w:tcPr>
          <w:p w:rsidR="00C34F3E" w:rsidRPr="003A38BA" w:rsidRDefault="00C34F3E" w:rsidP="00A503EF">
            <w:pPr>
              <w:spacing w:after="120"/>
              <w:ind w:left="0" w:firstLine="0"/>
              <w:rPr>
                <w:b/>
                <w:sz w:val="18"/>
                <w:szCs w:val="18"/>
              </w:rPr>
            </w:pPr>
            <w:r>
              <w:rPr>
                <w:b/>
                <w:sz w:val="18"/>
                <w:szCs w:val="18"/>
              </w:rPr>
              <w:t>Przejechania przy próbie na sucho</w:t>
            </w:r>
          </w:p>
        </w:tc>
        <w:tc>
          <w:tcPr>
            <w:tcW w:w="1316" w:type="dxa"/>
          </w:tcPr>
          <w:p w:rsidR="00C34F3E" w:rsidRPr="003A38BA" w:rsidRDefault="00C34F3E" w:rsidP="00A503EF">
            <w:pPr>
              <w:spacing w:after="120"/>
              <w:ind w:left="0" w:firstLine="0"/>
              <w:rPr>
                <w:b/>
                <w:sz w:val="18"/>
                <w:szCs w:val="18"/>
              </w:rPr>
            </w:pPr>
            <w:r>
              <w:rPr>
                <w:b/>
                <w:sz w:val="18"/>
                <w:szCs w:val="18"/>
              </w:rPr>
              <w:t>Przejechania przy próbie z polewaniem na końcu *)</w:t>
            </w:r>
          </w:p>
        </w:tc>
        <w:tc>
          <w:tcPr>
            <w:tcW w:w="1316" w:type="dxa"/>
          </w:tcPr>
          <w:p w:rsidR="00C34F3E" w:rsidRPr="003A38BA" w:rsidRDefault="00C34F3E" w:rsidP="00A503EF">
            <w:pPr>
              <w:spacing w:after="120"/>
              <w:ind w:left="0" w:firstLine="0"/>
              <w:rPr>
                <w:b/>
                <w:sz w:val="18"/>
                <w:szCs w:val="18"/>
              </w:rPr>
            </w:pPr>
            <w:r>
              <w:rPr>
                <w:b/>
                <w:sz w:val="18"/>
                <w:szCs w:val="18"/>
              </w:rPr>
              <w:t xml:space="preserve">Przejechania do momentu zmiany kierunku obrotu </w:t>
            </w:r>
          </w:p>
        </w:tc>
        <w:tc>
          <w:tcPr>
            <w:tcW w:w="1316" w:type="dxa"/>
          </w:tcPr>
          <w:p w:rsidR="00C34F3E" w:rsidRPr="003A38BA" w:rsidRDefault="00C34F3E" w:rsidP="00A503EF">
            <w:pPr>
              <w:spacing w:after="120"/>
              <w:ind w:left="0" w:firstLine="0"/>
              <w:rPr>
                <w:b/>
                <w:sz w:val="18"/>
                <w:szCs w:val="18"/>
              </w:rPr>
            </w:pPr>
            <w:r>
              <w:rPr>
                <w:b/>
                <w:sz w:val="18"/>
                <w:szCs w:val="18"/>
              </w:rPr>
              <w:t>Przejechania łącznie</w:t>
            </w:r>
          </w:p>
        </w:tc>
      </w:tr>
      <w:tr w:rsidR="00C34F3E" w:rsidRPr="003A38BA" w:rsidTr="00C34F3E">
        <w:tc>
          <w:tcPr>
            <w:tcW w:w="1316" w:type="dxa"/>
          </w:tcPr>
          <w:p w:rsidR="00C34F3E" w:rsidRPr="003A38BA" w:rsidRDefault="00EB7D09" w:rsidP="00C34F3E">
            <w:pPr>
              <w:spacing w:after="120"/>
              <w:ind w:left="0" w:firstLine="0"/>
              <w:jc w:val="center"/>
            </w:pPr>
            <w:r>
              <w:t>1</w:t>
            </w:r>
          </w:p>
        </w:tc>
        <w:tc>
          <w:tcPr>
            <w:tcW w:w="1316" w:type="dxa"/>
          </w:tcPr>
          <w:p w:rsidR="00C34F3E" w:rsidRPr="003A38BA" w:rsidRDefault="00EB7D09" w:rsidP="00C34F3E">
            <w:pPr>
              <w:spacing w:after="120"/>
              <w:ind w:left="0" w:firstLine="0"/>
              <w:jc w:val="center"/>
            </w:pPr>
            <w:r>
              <w:t>10 000</w:t>
            </w:r>
          </w:p>
        </w:tc>
        <w:tc>
          <w:tcPr>
            <w:tcW w:w="1316" w:type="dxa"/>
          </w:tcPr>
          <w:p w:rsidR="00C34F3E" w:rsidRPr="003A38BA" w:rsidRDefault="00EB7D09" w:rsidP="00C34F3E">
            <w:pPr>
              <w:spacing w:after="120"/>
              <w:ind w:left="0" w:firstLine="0"/>
              <w:jc w:val="center"/>
            </w:pPr>
            <w:r>
              <w:t>1 750</w:t>
            </w:r>
          </w:p>
        </w:tc>
        <w:tc>
          <w:tcPr>
            <w:tcW w:w="1316" w:type="dxa"/>
          </w:tcPr>
          <w:p w:rsidR="00C34F3E" w:rsidRPr="003A38BA" w:rsidRDefault="00EB7D09" w:rsidP="00C34F3E">
            <w:pPr>
              <w:spacing w:after="120"/>
              <w:ind w:left="0" w:firstLine="0"/>
              <w:jc w:val="center"/>
            </w:pPr>
            <w:r>
              <w:t>6 500</w:t>
            </w:r>
          </w:p>
        </w:tc>
        <w:tc>
          <w:tcPr>
            <w:tcW w:w="1316" w:type="dxa"/>
          </w:tcPr>
          <w:p w:rsidR="00C34F3E" w:rsidRPr="003A38BA" w:rsidRDefault="00EB7D09" w:rsidP="00C34F3E">
            <w:pPr>
              <w:spacing w:after="120"/>
              <w:ind w:left="0" w:firstLine="0"/>
              <w:jc w:val="center"/>
            </w:pPr>
            <w:r>
              <w:t>1 750</w:t>
            </w:r>
          </w:p>
        </w:tc>
        <w:tc>
          <w:tcPr>
            <w:tcW w:w="1316" w:type="dxa"/>
          </w:tcPr>
          <w:p w:rsidR="00C34F3E" w:rsidRPr="003A38BA" w:rsidRDefault="00EB7D09" w:rsidP="00C34F3E">
            <w:pPr>
              <w:spacing w:after="120"/>
              <w:ind w:left="0" w:firstLine="0"/>
              <w:jc w:val="center"/>
            </w:pPr>
            <w:r>
              <w:t>5 000</w:t>
            </w:r>
          </w:p>
        </w:tc>
        <w:tc>
          <w:tcPr>
            <w:tcW w:w="1316" w:type="dxa"/>
          </w:tcPr>
          <w:p w:rsidR="00C34F3E" w:rsidRPr="003A38BA" w:rsidRDefault="00EB7D09" w:rsidP="00C34F3E">
            <w:pPr>
              <w:spacing w:after="120"/>
              <w:ind w:left="0" w:firstLine="0"/>
              <w:jc w:val="center"/>
            </w:pPr>
            <w:r>
              <w:t>10 000</w:t>
            </w:r>
          </w:p>
        </w:tc>
      </w:tr>
      <w:tr w:rsidR="00C34F3E" w:rsidRPr="003A38BA" w:rsidTr="00C34F3E">
        <w:tc>
          <w:tcPr>
            <w:tcW w:w="1316" w:type="dxa"/>
          </w:tcPr>
          <w:p w:rsidR="00C34F3E" w:rsidRPr="003A38BA" w:rsidRDefault="00EB7D09" w:rsidP="003114C1">
            <w:pPr>
              <w:spacing w:after="120"/>
              <w:ind w:left="0" w:firstLine="0"/>
              <w:jc w:val="center"/>
            </w:pPr>
            <w:r>
              <w:t xml:space="preserve">2 </w:t>
            </w:r>
          </w:p>
        </w:tc>
        <w:tc>
          <w:tcPr>
            <w:tcW w:w="1316" w:type="dxa"/>
          </w:tcPr>
          <w:p w:rsidR="00C34F3E" w:rsidRPr="003A38BA" w:rsidRDefault="003114C1" w:rsidP="00C34F3E">
            <w:pPr>
              <w:spacing w:after="120"/>
              <w:ind w:left="0" w:firstLine="0"/>
              <w:jc w:val="center"/>
            </w:pPr>
            <w:r>
              <w:t>90 000</w:t>
            </w:r>
          </w:p>
        </w:tc>
        <w:tc>
          <w:tcPr>
            <w:tcW w:w="1316" w:type="dxa"/>
          </w:tcPr>
          <w:p w:rsidR="00C34F3E" w:rsidRPr="003A38BA" w:rsidRDefault="00EB7D09" w:rsidP="00C34F3E">
            <w:pPr>
              <w:spacing w:after="120"/>
              <w:ind w:left="0" w:firstLine="0"/>
              <w:jc w:val="center"/>
            </w:pPr>
            <w:r>
              <w:t>-</w:t>
            </w:r>
          </w:p>
        </w:tc>
        <w:tc>
          <w:tcPr>
            <w:tcW w:w="1316" w:type="dxa"/>
          </w:tcPr>
          <w:p w:rsidR="00C34F3E" w:rsidRPr="003A38BA" w:rsidRDefault="003114C1" w:rsidP="00C34F3E">
            <w:pPr>
              <w:spacing w:after="120"/>
              <w:ind w:left="0" w:firstLine="0"/>
              <w:jc w:val="center"/>
            </w:pPr>
            <w:r>
              <w:t>88 250</w:t>
            </w:r>
          </w:p>
        </w:tc>
        <w:tc>
          <w:tcPr>
            <w:tcW w:w="1316" w:type="dxa"/>
          </w:tcPr>
          <w:p w:rsidR="00C34F3E" w:rsidRPr="003A38BA" w:rsidRDefault="003114C1" w:rsidP="00C34F3E">
            <w:pPr>
              <w:spacing w:after="120"/>
              <w:ind w:left="0" w:firstLine="0"/>
              <w:jc w:val="center"/>
            </w:pPr>
            <w:r>
              <w:t>1 750</w:t>
            </w:r>
          </w:p>
        </w:tc>
        <w:tc>
          <w:tcPr>
            <w:tcW w:w="1316" w:type="dxa"/>
          </w:tcPr>
          <w:p w:rsidR="00C34F3E" w:rsidRPr="003A38BA" w:rsidRDefault="003114C1" w:rsidP="00C34F3E">
            <w:pPr>
              <w:spacing w:after="120"/>
              <w:ind w:left="0" w:firstLine="0"/>
              <w:jc w:val="center"/>
            </w:pPr>
            <w:r>
              <w:t>25 000</w:t>
            </w:r>
          </w:p>
        </w:tc>
        <w:tc>
          <w:tcPr>
            <w:tcW w:w="1316" w:type="dxa"/>
          </w:tcPr>
          <w:p w:rsidR="00C34F3E" w:rsidRPr="003A38BA" w:rsidRDefault="003114C1" w:rsidP="00C34F3E">
            <w:pPr>
              <w:spacing w:after="120"/>
              <w:ind w:left="0" w:firstLine="0"/>
              <w:jc w:val="center"/>
            </w:pPr>
            <w:r>
              <w:t>100 000</w:t>
            </w:r>
          </w:p>
        </w:tc>
      </w:tr>
      <w:tr w:rsidR="003114C1" w:rsidRPr="003A38BA" w:rsidTr="00C34F3E">
        <w:tc>
          <w:tcPr>
            <w:tcW w:w="1316" w:type="dxa"/>
          </w:tcPr>
          <w:p w:rsidR="003114C1" w:rsidRPr="003A38BA" w:rsidRDefault="003114C1" w:rsidP="00C34F3E">
            <w:pPr>
              <w:spacing w:after="120"/>
              <w:ind w:left="0" w:firstLine="0"/>
              <w:jc w:val="center"/>
            </w:pPr>
            <w:r>
              <w:t>3</w:t>
            </w:r>
          </w:p>
        </w:tc>
        <w:tc>
          <w:tcPr>
            <w:tcW w:w="1316" w:type="dxa"/>
          </w:tcPr>
          <w:p w:rsidR="003114C1" w:rsidRPr="003A38BA" w:rsidRDefault="003114C1" w:rsidP="003114C1">
            <w:pPr>
              <w:spacing w:after="120"/>
              <w:ind w:left="0" w:firstLine="0"/>
              <w:jc w:val="center"/>
            </w:pPr>
            <w:r>
              <w:t>100 000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96 500</w:t>
            </w:r>
          </w:p>
        </w:tc>
        <w:tc>
          <w:tcPr>
            <w:tcW w:w="1316" w:type="dxa"/>
          </w:tcPr>
          <w:p w:rsidR="003114C1" w:rsidRPr="003A38BA" w:rsidRDefault="003114C1" w:rsidP="003114C1">
            <w:pPr>
              <w:spacing w:after="120"/>
              <w:ind w:left="0" w:firstLine="0"/>
              <w:jc w:val="center"/>
            </w:pPr>
            <w:r>
              <w:t>3 500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200 000</w:t>
            </w:r>
          </w:p>
        </w:tc>
      </w:tr>
      <w:tr w:rsidR="003114C1" w:rsidRPr="003A38BA" w:rsidTr="00C34F3E">
        <w:tc>
          <w:tcPr>
            <w:tcW w:w="1316" w:type="dxa"/>
          </w:tcPr>
          <w:p w:rsidR="003114C1" w:rsidRPr="003A38BA" w:rsidRDefault="003114C1" w:rsidP="00C34F3E">
            <w:pPr>
              <w:spacing w:after="120"/>
              <w:ind w:left="0" w:firstLine="0"/>
              <w:jc w:val="center"/>
            </w:pPr>
            <w:r>
              <w:t>4</w:t>
            </w:r>
          </w:p>
        </w:tc>
        <w:tc>
          <w:tcPr>
            <w:tcW w:w="1316" w:type="dxa"/>
          </w:tcPr>
          <w:p w:rsidR="003114C1" w:rsidRPr="003A38BA" w:rsidRDefault="003114C1" w:rsidP="003114C1">
            <w:pPr>
              <w:spacing w:after="120"/>
              <w:ind w:left="0" w:firstLine="0"/>
              <w:jc w:val="center"/>
            </w:pPr>
            <w:r>
              <w:t>300 000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290 000</w:t>
            </w:r>
          </w:p>
        </w:tc>
        <w:tc>
          <w:tcPr>
            <w:tcW w:w="1316" w:type="dxa"/>
          </w:tcPr>
          <w:p w:rsidR="003114C1" w:rsidRPr="003A38BA" w:rsidRDefault="003114C1" w:rsidP="003114C1">
            <w:pPr>
              <w:spacing w:after="120"/>
              <w:ind w:left="0" w:firstLine="0"/>
              <w:jc w:val="center"/>
            </w:pPr>
            <w:r>
              <w:t>10 000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500 000</w:t>
            </w:r>
          </w:p>
        </w:tc>
      </w:tr>
      <w:tr w:rsidR="003114C1" w:rsidRPr="003A38BA" w:rsidTr="00C34F3E">
        <w:tc>
          <w:tcPr>
            <w:tcW w:w="1316" w:type="dxa"/>
          </w:tcPr>
          <w:p w:rsidR="003114C1" w:rsidRPr="003A38BA" w:rsidRDefault="003114C1" w:rsidP="00C34F3E">
            <w:pPr>
              <w:spacing w:after="120"/>
              <w:ind w:left="0" w:firstLine="0"/>
              <w:jc w:val="center"/>
            </w:pPr>
            <w:r>
              <w:t>5</w:t>
            </w:r>
          </w:p>
        </w:tc>
        <w:tc>
          <w:tcPr>
            <w:tcW w:w="1316" w:type="dxa"/>
          </w:tcPr>
          <w:p w:rsidR="003114C1" w:rsidRPr="003A38BA" w:rsidRDefault="003114C1" w:rsidP="003114C1">
            <w:pPr>
              <w:spacing w:after="120"/>
              <w:ind w:left="0" w:firstLine="0"/>
              <w:jc w:val="center"/>
            </w:pPr>
            <w:r>
              <w:t>500 000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490 000</w:t>
            </w:r>
          </w:p>
        </w:tc>
        <w:tc>
          <w:tcPr>
            <w:tcW w:w="1316" w:type="dxa"/>
          </w:tcPr>
          <w:p w:rsidR="003114C1" w:rsidRPr="003A38BA" w:rsidRDefault="003114C1" w:rsidP="003114C1">
            <w:pPr>
              <w:spacing w:after="120"/>
              <w:ind w:left="0" w:firstLine="0"/>
              <w:jc w:val="center"/>
            </w:pPr>
            <w:r>
              <w:t>10 000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1 000 000</w:t>
            </w:r>
          </w:p>
        </w:tc>
      </w:tr>
      <w:tr w:rsidR="003114C1" w:rsidRPr="003A38BA" w:rsidTr="00C34F3E">
        <w:tc>
          <w:tcPr>
            <w:tcW w:w="1316" w:type="dxa"/>
          </w:tcPr>
          <w:p w:rsidR="003114C1" w:rsidRPr="003A38BA" w:rsidRDefault="003114C1" w:rsidP="00C34F3E">
            <w:pPr>
              <w:spacing w:after="120"/>
              <w:ind w:left="0" w:firstLine="0"/>
              <w:jc w:val="center"/>
            </w:pPr>
            <w:r>
              <w:t>6</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2 000 000</w:t>
            </w:r>
          </w:p>
        </w:tc>
      </w:tr>
      <w:tr w:rsidR="003114C1" w:rsidRPr="003A38BA" w:rsidTr="00C34F3E">
        <w:tc>
          <w:tcPr>
            <w:tcW w:w="1316" w:type="dxa"/>
          </w:tcPr>
          <w:p w:rsidR="003114C1" w:rsidRPr="003A38BA" w:rsidRDefault="003114C1" w:rsidP="00C34F3E">
            <w:pPr>
              <w:spacing w:after="120"/>
              <w:ind w:left="0" w:firstLine="0"/>
              <w:jc w:val="center"/>
            </w:pPr>
            <w:r>
              <w:t>7</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3 000 000</w:t>
            </w:r>
          </w:p>
        </w:tc>
      </w:tr>
      <w:tr w:rsidR="003114C1" w:rsidRPr="003A38BA" w:rsidTr="00C34F3E">
        <w:tc>
          <w:tcPr>
            <w:tcW w:w="1316" w:type="dxa"/>
          </w:tcPr>
          <w:p w:rsidR="003114C1" w:rsidRPr="003A38BA" w:rsidRDefault="003114C1" w:rsidP="00EB7D09">
            <w:pPr>
              <w:spacing w:after="120"/>
              <w:ind w:left="0" w:firstLine="0"/>
              <w:jc w:val="center"/>
            </w:pPr>
            <w:r>
              <w:t>8</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4 000 000</w:t>
            </w:r>
          </w:p>
        </w:tc>
      </w:tr>
      <w:tr w:rsidR="003114C1" w:rsidRPr="003A38BA" w:rsidTr="00234C80">
        <w:tc>
          <w:tcPr>
            <w:tcW w:w="9212" w:type="dxa"/>
            <w:gridSpan w:val="7"/>
          </w:tcPr>
          <w:p w:rsidR="003114C1" w:rsidRPr="003A38BA" w:rsidRDefault="003114C1" w:rsidP="00C94718">
            <w:pPr>
              <w:spacing w:after="120"/>
              <w:ind w:left="0" w:firstLine="0"/>
            </w:pPr>
            <w:r>
              <w:t xml:space="preserve">*) Do polewania należy używać wyłącznie wody bez żadnych domieszek. Podczas badania termoplastycznych systemów oznakowania liczba przejechań przy próbie z polewaniem zostaje zwiększona o 50 %. Liczba przejechań przy próbie na sucho jest odpowiednio dopasowywana. </w:t>
            </w:r>
          </w:p>
        </w:tc>
      </w:tr>
    </w:tbl>
    <w:p w:rsidR="00B2761F" w:rsidRPr="003A38BA" w:rsidRDefault="00B2761F" w:rsidP="007C21AF">
      <w:pPr>
        <w:pStyle w:val="Heading1"/>
        <w:numPr>
          <w:ilvl w:val="2"/>
          <w:numId w:val="5"/>
        </w:numPr>
        <w:ind w:left="1440" w:hanging="720"/>
        <w:jc w:val="both"/>
        <w:rPr>
          <w:sz w:val="24"/>
          <w:szCs w:val="24"/>
        </w:rPr>
      </w:pPr>
      <w:bookmarkStart w:id="23" w:name="_Toc12481210"/>
      <w:r>
        <w:rPr>
          <w:sz w:val="24"/>
          <w:szCs w:val="24"/>
        </w:rPr>
        <w:t>Pomiary dotyczące stanowiska i warunków badania</w:t>
      </w:r>
      <w:bookmarkEnd w:id="23"/>
    </w:p>
    <w:p w:rsidR="009759A4" w:rsidRPr="003A38BA" w:rsidRDefault="00061E4E" w:rsidP="007C21AF">
      <w:pPr>
        <w:spacing w:after="120"/>
        <w:ind w:left="0" w:firstLine="0"/>
        <w:jc w:val="both"/>
      </w:pPr>
      <w:r>
        <w:t>Ciśnienie w oponach, pochylenie koła i kąt skrętu koła należy sprawdzić stosownie do sekcji 4.1.1. i w razie potrzeby skorygować.</w:t>
      </w:r>
    </w:p>
    <w:p w:rsidR="00061E4E" w:rsidRPr="003A38BA" w:rsidRDefault="00061E4E" w:rsidP="007C21AF">
      <w:pPr>
        <w:spacing w:after="120"/>
        <w:ind w:left="0" w:firstLine="0"/>
        <w:jc w:val="both"/>
      </w:pPr>
      <w:r>
        <w:t>Temperaturę w pomieszczeniu, temperaturę powierzchni płytek testowych, nacisk koła, prędkość i liczbę przejechań należy monitorować na bieżąco podczas badania i rejestrować.</w:t>
      </w:r>
    </w:p>
    <w:p w:rsidR="00B2761F" w:rsidRPr="003A38BA" w:rsidRDefault="00B2761F" w:rsidP="007C21AF">
      <w:pPr>
        <w:pStyle w:val="Heading1"/>
        <w:numPr>
          <w:ilvl w:val="2"/>
          <w:numId w:val="5"/>
        </w:numPr>
        <w:ind w:left="1440" w:hanging="720"/>
        <w:jc w:val="both"/>
        <w:rPr>
          <w:sz w:val="24"/>
          <w:szCs w:val="24"/>
        </w:rPr>
      </w:pPr>
      <w:bookmarkStart w:id="24" w:name="_Toc12481211"/>
      <w:r>
        <w:rPr>
          <w:sz w:val="24"/>
          <w:szCs w:val="24"/>
        </w:rPr>
        <w:t>Pomiary związanych z obciążeniem ruchem właściwości systemów oznakowania</w:t>
      </w:r>
      <w:bookmarkEnd w:id="24"/>
    </w:p>
    <w:p w:rsidR="00DF3B72" w:rsidRPr="003A38BA" w:rsidRDefault="00DF3B72" w:rsidP="007C21AF">
      <w:pPr>
        <w:spacing w:after="120"/>
        <w:ind w:left="0" w:firstLine="0"/>
        <w:jc w:val="both"/>
      </w:pPr>
      <w:r>
        <w:t>Związane z obciążeniem ruchem właściwości systemów oznakowania są określane na bieżąco podczas badania przydatności. Pomiary są zasadniczo przeprowadzane zgodnie z wytycznymi normy DIN EN 1436.</w:t>
      </w:r>
    </w:p>
    <w:p w:rsidR="00D9642C" w:rsidRPr="003A38BA" w:rsidRDefault="00D9642C" w:rsidP="007C21AF">
      <w:pPr>
        <w:spacing w:after="120"/>
        <w:ind w:left="0" w:firstLine="0"/>
        <w:jc w:val="both"/>
      </w:pPr>
      <w:r>
        <w:t xml:space="preserve">Ustalana jest widoczność w dzień na podstawie współczynnika luminancji przy oświetleniu rozproszonym Qd i współrzędne trójchromatyczne (x, y) w przestrzeni barw, widoczność w nocy w stanie suchym na podstawie współczynnika luminancji przy odbiciu odblaskowym RL (sucho), </w:t>
      </w:r>
      <w:r>
        <w:lastRenderedPageBreak/>
        <w:t>widoczność w nocy w stanie mokrym na podstawie współczynnika luminancji przy odbiciu odblaskowym RL (mokro) w przypadku typu oznakowań II, przyczepność w jednostkach SRT i ścieranie w procentach.</w:t>
      </w:r>
    </w:p>
    <w:p w:rsidR="001D17DA" w:rsidRPr="003A38BA" w:rsidRDefault="001D17DA" w:rsidP="007C21AF">
      <w:pPr>
        <w:spacing w:after="120"/>
        <w:ind w:left="0" w:firstLine="0"/>
        <w:jc w:val="both"/>
      </w:pPr>
      <w:r>
        <w:t xml:space="preserve">Ustalanie współczynnika luminancji przy odbiciu odblaskowym RL (mokro) odbywa się przy 2-procentowym pochyleniu poprzecznym płytek testowych. </w:t>
      </w:r>
    </w:p>
    <w:p w:rsidR="00A13538" w:rsidRPr="003A38BA" w:rsidRDefault="00A13538" w:rsidP="007C21AF">
      <w:pPr>
        <w:spacing w:after="120"/>
        <w:ind w:left="0" w:firstLine="0"/>
        <w:jc w:val="both"/>
      </w:pPr>
      <w:r>
        <w:t>W odniesieniu do ścierania określany jest stosunek pokrytej przez oznakowanie powierzchni przejechanej do jednakowej powierzchni nieprzejechanej. Dokładne odnośne dane zawiera przekształcony arkusz informacyjny dotyczący oznakowań aglomeratowych (obecnie w fazie projektu).</w:t>
      </w:r>
    </w:p>
    <w:p w:rsidR="00D9642C" w:rsidRPr="003A38BA" w:rsidRDefault="00D9642C" w:rsidP="007C21AF">
      <w:pPr>
        <w:spacing w:after="120"/>
        <w:ind w:left="0" w:firstLine="0"/>
        <w:jc w:val="both"/>
      </w:pPr>
      <w:r>
        <w:t>Pomiary odbywają się na wszystkich 3 płytkach testowych i jako wynik podawana jest wyliczona wartość średnia. Powierzchnia obejmowana przez pomiary na wszystkich 3 płytkach testowych powinna wynosić co najmniej 400 cm².</w:t>
      </w:r>
    </w:p>
    <w:p w:rsidR="008B4E60" w:rsidRPr="003A38BA" w:rsidRDefault="00D9642C" w:rsidP="007C21AF">
      <w:pPr>
        <w:spacing w:after="120"/>
        <w:ind w:left="0" w:firstLine="0"/>
        <w:jc w:val="both"/>
      </w:pPr>
      <w:r>
        <w:t>Pomiary odbywają się przed rozpoczęciem przejeżdżania i po zakończeniu cyklu pomiarowego. W celu ustalenia właściwości świetlnych stan nowości jest mierzony po 10 000 przejechań. Pomiar właściwości świetlnych przed rozpoczęciem przejeżdżania służy wyłącznie celom informacyjnym i nie jest istotny dla wyniku badania.</w:t>
      </w:r>
    </w:p>
    <w:p w:rsidR="00D9642C" w:rsidRPr="003A38BA" w:rsidRDefault="001D17DA" w:rsidP="007C21AF">
      <w:pPr>
        <w:spacing w:after="120"/>
        <w:ind w:left="0" w:firstLine="0"/>
        <w:jc w:val="both"/>
      </w:pPr>
      <w:r>
        <w:t>Przy pomiarze przyczepności stan nowości jest mierzony przed rozpoczęciem przejeżdżania. Podział cykli pomiarowych jest związany m.in. z klasami obciążenia ruchem i można go odnaleźć w tabeli 5. Cykl pomiarowy 1 kończy się po 10 000 przejechań.</w:t>
      </w:r>
    </w:p>
    <w:p w:rsidR="003114C1" w:rsidRPr="003A38BA" w:rsidRDefault="003E3497" w:rsidP="00A11530">
      <w:pPr>
        <w:pStyle w:val="Subtitle"/>
        <w:keepNext/>
        <w:ind w:left="1440" w:hanging="1440"/>
        <w:jc w:val="both"/>
        <w:rPr>
          <w:spacing w:val="0"/>
        </w:rPr>
      </w:pPr>
      <w:r>
        <w:t>Tabela 5:</w:t>
      </w:r>
      <w:r>
        <w:tab/>
        <w:t>Przyporządkowanie klas obciążenia ruchem do cykli pomiarowych</w:t>
      </w:r>
    </w:p>
    <w:tbl>
      <w:tblPr>
        <w:tblStyle w:val="TableGrid"/>
        <w:tblW w:w="0" w:type="auto"/>
        <w:tblInd w:w="357" w:type="dxa"/>
        <w:tblLook w:val="04A0" w:firstRow="1" w:lastRow="0" w:firstColumn="1" w:lastColumn="0" w:noHBand="0" w:noVBand="1"/>
      </w:tblPr>
      <w:tblGrid>
        <w:gridCol w:w="2965"/>
        <w:gridCol w:w="2984"/>
        <w:gridCol w:w="2982"/>
      </w:tblGrid>
      <w:tr w:rsidR="003114C1" w:rsidRPr="003A38BA" w:rsidTr="003114C1">
        <w:tc>
          <w:tcPr>
            <w:tcW w:w="2965" w:type="dxa"/>
          </w:tcPr>
          <w:p w:rsidR="003114C1" w:rsidRPr="003A38BA" w:rsidRDefault="003114C1" w:rsidP="003114C1">
            <w:pPr>
              <w:ind w:left="0" w:firstLine="0"/>
              <w:jc w:val="center"/>
            </w:pPr>
            <w:r>
              <w:t>Cykl pomiarowy</w:t>
            </w:r>
          </w:p>
        </w:tc>
        <w:tc>
          <w:tcPr>
            <w:tcW w:w="2984" w:type="dxa"/>
          </w:tcPr>
          <w:p w:rsidR="003114C1" w:rsidRPr="003A38BA" w:rsidRDefault="003114C1" w:rsidP="003114C1">
            <w:pPr>
              <w:ind w:left="0" w:firstLine="0"/>
              <w:jc w:val="center"/>
            </w:pPr>
            <w:r>
              <w:t>Klasa obciążenia ruchem</w:t>
            </w:r>
          </w:p>
        </w:tc>
        <w:tc>
          <w:tcPr>
            <w:tcW w:w="2982" w:type="dxa"/>
          </w:tcPr>
          <w:p w:rsidR="003114C1" w:rsidRPr="003A38BA" w:rsidRDefault="003114C1" w:rsidP="003114C1">
            <w:pPr>
              <w:ind w:left="0" w:firstLine="0"/>
              <w:jc w:val="center"/>
            </w:pPr>
            <w:r>
              <w:t>Liczba przejechań</w:t>
            </w:r>
          </w:p>
        </w:tc>
      </w:tr>
      <w:tr w:rsidR="003114C1" w:rsidRPr="003A38BA" w:rsidTr="003114C1">
        <w:tc>
          <w:tcPr>
            <w:tcW w:w="2965" w:type="dxa"/>
          </w:tcPr>
          <w:p w:rsidR="003114C1" w:rsidRPr="003A38BA" w:rsidRDefault="003114C1" w:rsidP="003114C1">
            <w:pPr>
              <w:ind w:left="0" w:firstLine="0"/>
              <w:jc w:val="center"/>
            </w:pPr>
            <w:r>
              <w:t>1</w:t>
            </w:r>
          </w:p>
        </w:tc>
        <w:tc>
          <w:tcPr>
            <w:tcW w:w="2984" w:type="dxa"/>
          </w:tcPr>
          <w:p w:rsidR="003114C1" w:rsidRPr="003A38BA" w:rsidRDefault="003114C1" w:rsidP="003114C1">
            <w:pPr>
              <w:ind w:left="0" w:firstLine="0"/>
              <w:jc w:val="center"/>
            </w:pPr>
            <w:r>
              <w:t>P0</w:t>
            </w:r>
          </w:p>
        </w:tc>
        <w:tc>
          <w:tcPr>
            <w:tcW w:w="2982" w:type="dxa"/>
          </w:tcPr>
          <w:p w:rsidR="003114C1" w:rsidRPr="003A38BA" w:rsidRDefault="003114C1" w:rsidP="003114C1">
            <w:pPr>
              <w:ind w:left="0" w:firstLine="0"/>
              <w:jc w:val="center"/>
            </w:pPr>
            <w:r>
              <w:t>&lt; 50 000</w:t>
            </w:r>
          </w:p>
        </w:tc>
      </w:tr>
      <w:tr w:rsidR="003114C1" w:rsidRPr="003A38BA" w:rsidTr="003114C1">
        <w:tc>
          <w:tcPr>
            <w:tcW w:w="2965" w:type="dxa"/>
          </w:tcPr>
          <w:p w:rsidR="003114C1" w:rsidRPr="003A38BA" w:rsidRDefault="003114C1" w:rsidP="003114C1">
            <w:pPr>
              <w:ind w:left="0" w:firstLine="0"/>
              <w:jc w:val="center"/>
            </w:pPr>
            <w:r>
              <w:t>2</w:t>
            </w:r>
          </w:p>
        </w:tc>
        <w:tc>
          <w:tcPr>
            <w:tcW w:w="2984" w:type="dxa"/>
          </w:tcPr>
          <w:p w:rsidR="003114C1" w:rsidRPr="003A38BA" w:rsidRDefault="003114C1" w:rsidP="003114C1">
            <w:pPr>
              <w:ind w:left="0" w:firstLine="0"/>
              <w:jc w:val="center"/>
            </w:pPr>
            <w:r>
              <w:t>P2</w:t>
            </w:r>
          </w:p>
        </w:tc>
        <w:tc>
          <w:tcPr>
            <w:tcW w:w="2982" w:type="dxa"/>
          </w:tcPr>
          <w:p w:rsidR="003114C1" w:rsidRPr="003A38BA" w:rsidRDefault="003114C1" w:rsidP="003114C1">
            <w:pPr>
              <w:ind w:left="0" w:firstLine="0"/>
              <w:jc w:val="center"/>
            </w:pPr>
            <w:r>
              <w:t>100 000</w:t>
            </w:r>
          </w:p>
        </w:tc>
      </w:tr>
      <w:tr w:rsidR="003114C1" w:rsidRPr="003A38BA" w:rsidTr="003114C1">
        <w:tc>
          <w:tcPr>
            <w:tcW w:w="2965" w:type="dxa"/>
          </w:tcPr>
          <w:p w:rsidR="003114C1" w:rsidRPr="003A38BA" w:rsidRDefault="003114C1" w:rsidP="003114C1">
            <w:pPr>
              <w:ind w:left="0" w:firstLine="0"/>
              <w:jc w:val="center"/>
            </w:pPr>
            <w:r>
              <w:t>3</w:t>
            </w:r>
          </w:p>
        </w:tc>
        <w:tc>
          <w:tcPr>
            <w:tcW w:w="2984" w:type="dxa"/>
          </w:tcPr>
          <w:p w:rsidR="003114C1" w:rsidRPr="003A38BA" w:rsidRDefault="003114C1" w:rsidP="003114C1">
            <w:pPr>
              <w:ind w:left="0" w:firstLine="0"/>
              <w:jc w:val="center"/>
            </w:pPr>
            <w:r>
              <w:t>P3</w:t>
            </w:r>
          </w:p>
        </w:tc>
        <w:tc>
          <w:tcPr>
            <w:tcW w:w="2982" w:type="dxa"/>
          </w:tcPr>
          <w:p w:rsidR="003114C1" w:rsidRPr="003A38BA" w:rsidRDefault="003114C1" w:rsidP="003114C1">
            <w:pPr>
              <w:ind w:left="0" w:firstLine="0"/>
              <w:jc w:val="center"/>
            </w:pPr>
            <w:r>
              <w:t>200 000</w:t>
            </w:r>
          </w:p>
        </w:tc>
      </w:tr>
      <w:tr w:rsidR="003114C1" w:rsidRPr="003A38BA" w:rsidTr="003114C1">
        <w:tc>
          <w:tcPr>
            <w:tcW w:w="2965" w:type="dxa"/>
          </w:tcPr>
          <w:p w:rsidR="003114C1" w:rsidRPr="003A38BA" w:rsidRDefault="003114C1" w:rsidP="003114C1">
            <w:pPr>
              <w:ind w:left="0" w:firstLine="0"/>
              <w:jc w:val="center"/>
            </w:pPr>
            <w:r>
              <w:t>4</w:t>
            </w:r>
          </w:p>
        </w:tc>
        <w:tc>
          <w:tcPr>
            <w:tcW w:w="2984" w:type="dxa"/>
          </w:tcPr>
          <w:p w:rsidR="003114C1" w:rsidRPr="003A38BA" w:rsidRDefault="003114C1" w:rsidP="003114C1">
            <w:pPr>
              <w:ind w:left="0" w:firstLine="0"/>
              <w:jc w:val="center"/>
            </w:pPr>
            <w:r>
              <w:t>P4</w:t>
            </w:r>
          </w:p>
        </w:tc>
        <w:tc>
          <w:tcPr>
            <w:tcW w:w="2982" w:type="dxa"/>
          </w:tcPr>
          <w:p w:rsidR="003114C1" w:rsidRPr="003A38BA" w:rsidRDefault="003114C1" w:rsidP="003114C1">
            <w:pPr>
              <w:ind w:left="0" w:firstLine="0"/>
              <w:jc w:val="center"/>
            </w:pPr>
            <w:r>
              <w:t>500 000</w:t>
            </w:r>
          </w:p>
        </w:tc>
      </w:tr>
      <w:tr w:rsidR="003114C1" w:rsidRPr="003A38BA" w:rsidTr="003114C1">
        <w:tc>
          <w:tcPr>
            <w:tcW w:w="2965" w:type="dxa"/>
          </w:tcPr>
          <w:p w:rsidR="003114C1" w:rsidRPr="003A38BA" w:rsidRDefault="003114C1" w:rsidP="003114C1">
            <w:pPr>
              <w:ind w:left="0" w:firstLine="0"/>
              <w:jc w:val="center"/>
            </w:pPr>
            <w:r>
              <w:t>5</w:t>
            </w:r>
          </w:p>
        </w:tc>
        <w:tc>
          <w:tcPr>
            <w:tcW w:w="2984" w:type="dxa"/>
          </w:tcPr>
          <w:p w:rsidR="003114C1" w:rsidRPr="003A38BA" w:rsidRDefault="003114C1" w:rsidP="003114C1">
            <w:pPr>
              <w:ind w:left="0" w:firstLine="0"/>
              <w:jc w:val="center"/>
            </w:pPr>
            <w:r>
              <w:t>P5</w:t>
            </w:r>
          </w:p>
        </w:tc>
        <w:tc>
          <w:tcPr>
            <w:tcW w:w="2982" w:type="dxa"/>
          </w:tcPr>
          <w:p w:rsidR="003114C1" w:rsidRPr="003A38BA" w:rsidRDefault="003114C1" w:rsidP="003114C1">
            <w:pPr>
              <w:ind w:left="0" w:firstLine="0"/>
              <w:jc w:val="center"/>
            </w:pPr>
            <w:r>
              <w:t>1 000 000</w:t>
            </w:r>
          </w:p>
        </w:tc>
      </w:tr>
      <w:tr w:rsidR="003114C1" w:rsidRPr="003A38BA" w:rsidTr="003114C1">
        <w:tc>
          <w:tcPr>
            <w:tcW w:w="2965" w:type="dxa"/>
          </w:tcPr>
          <w:p w:rsidR="003114C1" w:rsidRPr="003A38BA" w:rsidRDefault="003114C1" w:rsidP="003114C1">
            <w:pPr>
              <w:ind w:left="0" w:firstLine="0"/>
              <w:jc w:val="center"/>
            </w:pPr>
            <w:r>
              <w:t>6</w:t>
            </w:r>
          </w:p>
        </w:tc>
        <w:tc>
          <w:tcPr>
            <w:tcW w:w="2984" w:type="dxa"/>
          </w:tcPr>
          <w:p w:rsidR="003114C1" w:rsidRPr="003A38BA" w:rsidRDefault="003114C1" w:rsidP="003114C1">
            <w:pPr>
              <w:ind w:left="0" w:firstLine="0"/>
              <w:jc w:val="center"/>
            </w:pPr>
            <w:r>
              <w:t>P6</w:t>
            </w:r>
          </w:p>
        </w:tc>
        <w:tc>
          <w:tcPr>
            <w:tcW w:w="2982" w:type="dxa"/>
          </w:tcPr>
          <w:p w:rsidR="003114C1" w:rsidRPr="003A38BA" w:rsidRDefault="003114C1" w:rsidP="003114C1">
            <w:pPr>
              <w:ind w:left="0" w:firstLine="0"/>
              <w:jc w:val="center"/>
            </w:pPr>
            <w:r>
              <w:t>2 000 000</w:t>
            </w:r>
          </w:p>
        </w:tc>
      </w:tr>
      <w:tr w:rsidR="003114C1" w:rsidRPr="003A38BA" w:rsidTr="003114C1">
        <w:tc>
          <w:tcPr>
            <w:tcW w:w="2965" w:type="dxa"/>
          </w:tcPr>
          <w:p w:rsidR="003114C1" w:rsidRPr="003A38BA" w:rsidRDefault="003114C1" w:rsidP="003114C1">
            <w:pPr>
              <w:ind w:left="0" w:firstLine="0"/>
              <w:jc w:val="center"/>
            </w:pPr>
            <w:r>
              <w:t>7</w:t>
            </w:r>
          </w:p>
        </w:tc>
        <w:tc>
          <w:tcPr>
            <w:tcW w:w="2984" w:type="dxa"/>
          </w:tcPr>
          <w:p w:rsidR="003114C1" w:rsidRPr="003A38BA" w:rsidRDefault="003114C1" w:rsidP="003114C1">
            <w:pPr>
              <w:ind w:left="0" w:firstLine="0"/>
              <w:jc w:val="center"/>
            </w:pPr>
            <w:r>
              <w:t>-</w:t>
            </w:r>
          </w:p>
        </w:tc>
        <w:tc>
          <w:tcPr>
            <w:tcW w:w="2982" w:type="dxa"/>
          </w:tcPr>
          <w:p w:rsidR="003114C1" w:rsidRPr="003A38BA" w:rsidRDefault="003114C1" w:rsidP="003114C1">
            <w:pPr>
              <w:ind w:left="0" w:firstLine="0"/>
              <w:jc w:val="center"/>
            </w:pPr>
            <w:r>
              <w:t>3 000 000</w:t>
            </w:r>
          </w:p>
        </w:tc>
      </w:tr>
      <w:tr w:rsidR="003114C1" w:rsidRPr="003A38BA" w:rsidTr="003114C1">
        <w:tc>
          <w:tcPr>
            <w:tcW w:w="2965" w:type="dxa"/>
          </w:tcPr>
          <w:p w:rsidR="003114C1" w:rsidRPr="003A38BA" w:rsidRDefault="003114C1" w:rsidP="003114C1">
            <w:pPr>
              <w:ind w:left="0" w:firstLine="0"/>
              <w:jc w:val="center"/>
            </w:pPr>
            <w:r>
              <w:t>8</w:t>
            </w:r>
          </w:p>
        </w:tc>
        <w:tc>
          <w:tcPr>
            <w:tcW w:w="2984" w:type="dxa"/>
          </w:tcPr>
          <w:p w:rsidR="003114C1" w:rsidRPr="003A38BA" w:rsidRDefault="003114C1" w:rsidP="003114C1">
            <w:pPr>
              <w:ind w:left="0" w:firstLine="0"/>
              <w:jc w:val="center"/>
            </w:pPr>
            <w:r>
              <w:t>P7</w:t>
            </w:r>
          </w:p>
        </w:tc>
        <w:tc>
          <w:tcPr>
            <w:tcW w:w="2982" w:type="dxa"/>
          </w:tcPr>
          <w:p w:rsidR="003114C1" w:rsidRPr="003A38BA" w:rsidRDefault="003114C1" w:rsidP="003114C1">
            <w:pPr>
              <w:ind w:left="0" w:firstLine="0"/>
              <w:jc w:val="center"/>
            </w:pPr>
            <w:r>
              <w:t>4 000 000</w:t>
            </w:r>
          </w:p>
        </w:tc>
      </w:tr>
    </w:tbl>
    <w:p w:rsidR="00993CFC" w:rsidRPr="003A38BA" w:rsidRDefault="00993CFC" w:rsidP="007C21AF">
      <w:pPr>
        <w:pStyle w:val="Heading1"/>
        <w:numPr>
          <w:ilvl w:val="2"/>
          <w:numId w:val="5"/>
        </w:numPr>
        <w:ind w:left="1440" w:hanging="720"/>
        <w:jc w:val="both"/>
        <w:rPr>
          <w:sz w:val="24"/>
          <w:szCs w:val="24"/>
        </w:rPr>
      </w:pPr>
      <w:bookmarkStart w:id="25" w:name="_Toc12481212"/>
      <w:r>
        <w:rPr>
          <w:sz w:val="24"/>
          <w:szCs w:val="24"/>
        </w:rPr>
        <w:t>Ocena badań</w:t>
      </w:r>
      <w:bookmarkEnd w:id="25"/>
    </w:p>
    <w:p w:rsidR="00993CFC" w:rsidRPr="003A38BA" w:rsidRDefault="00993CFC" w:rsidP="007C21AF">
      <w:pPr>
        <w:spacing w:after="120"/>
        <w:ind w:left="0" w:firstLine="0"/>
        <w:jc w:val="both"/>
      </w:pPr>
      <w:r>
        <w:t>Wyniki badania przydatności są zbierane w tabeli wartości zmierzonych. Jeżeli określone w warunkach ZTV M minimalne wymagania dla stanu nowości i stanu używalności oraz wymagania podane w warunkach TL M są spełnione, wystawiony może zostać certyfikat badania (patrz załącznik B). W odniesieniu do minimalnych wymagań określonych w warunkach ZTV M wybrano dla właściwości świetlnych wyższe klasy według normy DIN EN 1436. Jeżeli nie są spełnione minimalne wymagania określone w warunkach ZTV M i/lub wymagania podane w warunkach TL M, są jednak spełnione minimalne wymagania określone w normie DIN EN 1436, wystawione może zostać potwierdzenie badania (patrz załącznik A). W przypadku potwierdzenia według normy DIN EN 1436 istnieje możliwość, aby w odróżnieniu od certyfikatu badania według ZTV M nie podawać jednej lub kilku właściwości użytkowych, o ile życzy sobie tak wnioskodawca.</w:t>
      </w:r>
    </w:p>
    <w:p w:rsidR="00617E85" w:rsidRPr="003A38BA" w:rsidRDefault="00617E85" w:rsidP="007C21AF">
      <w:pPr>
        <w:spacing w:after="120"/>
        <w:ind w:left="0" w:firstLine="0"/>
        <w:jc w:val="both"/>
      </w:pPr>
      <w:r>
        <w:t>W celu oceny przyczepności ustalono odmienne wymogi dla stanowiska badawczego o ruchu obrotowym na podstawie przeprowadzonych krzyżowych porównań zmierzonych wartości przyczepności na stanowiskach badawczych, w tym stanowisku o ruchu obrotowym. Do wartości SRT ustalonej podczas badania na stanowisku badawczym o ruchu obrotowym dolicza się 5 punktów, w związku z czym najniższa klasa S1 jest oceniana jako osiągnięta już przy wartości SRT równej 40. Regulacja ta nie odnosi się jednak do pomiaru przyczepności w stanie nowości przed rozpoczęciem przejeżdżania. Wymagana jest tutaj wartość SRT równa 45.</w:t>
      </w:r>
    </w:p>
    <w:p w:rsidR="00D9642C" w:rsidRPr="003A38BA" w:rsidRDefault="00D9642C" w:rsidP="007C21AF">
      <w:pPr>
        <w:pStyle w:val="Heading1"/>
        <w:numPr>
          <w:ilvl w:val="2"/>
          <w:numId w:val="5"/>
        </w:numPr>
        <w:ind w:left="1440" w:hanging="720"/>
        <w:jc w:val="both"/>
        <w:rPr>
          <w:sz w:val="24"/>
          <w:szCs w:val="24"/>
        </w:rPr>
      </w:pPr>
      <w:bookmarkStart w:id="26" w:name="_Toc12481213"/>
      <w:r>
        <w:rPr>
          <w:sz w:val="24"/>
          <w:szCs w:val="24"/>
        </w:rPr>
        <w:lastRenderedPageBreak/>
        <w:t>Kontrola badań (odtwarzalność)</w:t>
      </w:r>
      <w:bookmarkEnd w:id="26"/>
    </w:p>
    <w:p w:rsidR="00D9642C" w:rsidRPr="003A38BA" w:rsidRDefault="00D9642C" w:rsidP="007C21AF">
      <w:pPr>
        <w:spacing w:after="120"/>
        <w:ind w:left="0" w:firstLine="0"/>
        <w:jc w:val="both"/>
      </w:pPr>
      <w:r>
        <w:t xml:space="preserve">W celu kontroli tego, czy badanie przebiega bez zastrzeżeń, każdy bieg testowy obejmuje próbkę wzorcową. </w:t>
      </w:r>
    </w:p>
    <w:p w:rsidR="00D9642C" w:rsidRPr="003A38BA" w:rsidRDefault="00946519" w:rsidP="007C21AF">
      <w:pPr>
        <w:spacing w:after="120"/>
        <w:ind w:left="0" w:firstLine="0"/>
        <w:jc w:val="both"/>
      </w:pPr>
      <w:r>
        <w:t>Na każdej próbce wzorcowej należy w ramach badania przydatności zmierzyć również wszystkie właściwości wymienione w sekcji 4.4.3. Wyniki pomiarów nie powinny odróżniać się od pierwotnych wyników pomiarów wybranej próbki przy uwzględnieniu podanych niżej tolerancji.</w:t>
      </w:r>
    </w:p>
    <w:p w:rsidR="00946519" w:rsidRPr="003A38BA" w:rsidRDefault="00946519" w:rsidP="007C21AF">
      <w:pPr>
        <w:spacing w:after="120"/>
        <w:ind w:left="0" w:firstLine="0"/>
        <w:jc w:val="both"/>
      </w:pPr>
      <w:r>
        <w:t>15 % w przypadku widoczności w dzień</w:t>
      </w:r>
    </w:p>
    <w:p w:rsidR="00946519" w:rsidRPr="003A38BA" w:rsidRDefault="00946519" w:rsidP="007C21AF">
      <w:pPr>
        <w:spacing w:after="120"/>
        <w:ind w:left="0" w:firstLine="0"/>
        <w:jc w:val="both"/>
      </w:pPr>
      <w:r>
        <w:t>15 % w przypadku widoczności w nocy po 100 000 przejechań</w:t>
      </w:r>
    </w:p>
    <w:p w:rsidR="00DF3B72" w:rsidRPr="003A38BA" w:rsidRDefault="00946519" w:rsidP="007C21AF">
      <w:pPr>
        <w:spacing w:after="120"/>
        <w:ind w:left="0" w:firstLine="0"/>
        <w:jc w:val="both"/>
      </w:pPr>
      <w:r>
        <w:t>± 5 jednostek SRT dla przyczepności</w:t>
      </w:r>
    </w:p>
    <w:p w:rsidR="00993CFC" w:rsidRPr="003A38BA" w:rsidRDefault="00F653D9" w:rsidP="007C21AF">
      <w:pPr>
        <w:spacing w:after="120"/>
        <w:ind w:left="0" w:firstLine="0"/>
        <w:jc w:val="both"/>
      </w:pPr>
      <w:r>
        <w:t>Jeżeli odchylenia są większe, należy sprawdzić warunki brzegowe badania oraz sam materiał wzorcowy, aby można było przyjąć, że przebieg badania nie budzi zastrzeżeń.</w:t>
      </w:r>
    </w:p>
    <w:p w:rsidR="00536458" w:rsidRPr="003A38BA" w:rsidRDefault="00536458" w:rsidP="007C21AF">
      <w:pPr>
        <w:pStyle w:val="Heading1"/>
        <w:numPr>
          <w:ilvl w:val="0"/>
          <w:numId w:val="5"/>
        </w:numPr>
        <w:jc w:val="both"/>
        <w:rPr>
          <w:sz w:val="24"/>
          <w:szCs w:val="24"/>
        </w:rPr>
      </w:pPr>
      <w:bookmarkStart w:id="27" w:name="_Toc353893698"/>
      <w:bookmarkStart w:id="28" w:name="_Toc12481214"/>
      <w:r>
        <w:rPr>
          <w:sz w:val="24"/>
          <w:szCs w:val="24"/>
        </w:rPr>
        <w:t>Badania fizykochemiczne materiałów do oznakowania i nośników (badanie prototypu)</w:t>
      </w:r>
      <w:bookmarkEnd w:id="27"/>
      <w:bookmarkEnd w:id="28"/>
    </w:p>
    <w:p w:rsidR="00536458" w:rsidRPr="003A38BA" w:rsidRDefault="00536458" w:rsidP="007C21AF">
      <w:pPr>
        <w:pStyle w:val="Heading1"/>
        <w:numPr>
          <w:ilvl w:val="1"/>
          <w:numId w:val="5"/>
        </w:numPr>
        <w:jc w:val="both"/>
        <w:rPr>
          <w:sz w:val="24"/>
          <w:szCs w:val="24"/>
        </w:rPr>
      </w:pPr>
      <w:bookmarkStart w:id="29" w:name="_Toc86465553"/>
      <w:bookmarkStart w:id="30" w:name="_Toc115598045"/>
      <w:bookmarkStart w:id="31" w:name="_Toc120375499"/>
      <w:bookmarkStart w:id="32" w:name="_Toc150173015"/>
      <w:bookmarkStart w:id="33" w:name="_Toc150819913"/>
      <w:bookmarkStart w:id="34" w:name="_Toc353893699"/>
      <w:bookmarkStart w:id="35" w:name="_Toc12481215"/>
      <w:r>
        <w:rPr>
          <w:sz w:val="24"/>
          <w:szCs w:val="24"/>
        </w:rPr>
        <w:t>Informacje ogólne</w:t>
      </w:r>
      <w:bookmarkEnd w:id="29"/>
      <w:bookmarkEnd w:id="30"/>
      <w:bookmarkEnd w:id="31"/>
      <w:bookmarkEnd w:id="32"/>
      <w:bookmarkEnd w:id="33"/>
      <w:bookmarkEnd w:id="34"/>
      <w:bookmarkEnd w:id="35"/>
    </w:p>
    <w:p w:rsidR="00536458" w:rsidRPr="003A38BA" w:rsidRDefault="00536458" w:rsidP="007C21AF">
      <w:pPr>
        <w:spacing w:after="120"/>
        <w:ind w:left="0" w:firstLine="0"/>
        <w:jc w:val="both"/>
      </w:pPr>
      <w:r>
        <w:t>Badania prototypów służą zapewnieniu jakości i kontroli materiałów do oznakowania pod kątem zawartości zabronionych niebezpiecznych substancji. Jednocześnie badanie prototypów służy jako podstawa dla późniejszych badań zgodności próbek. W normie DIN EN 1871 ustanowione są wymagania fizykochemiczne względem materiałów do oznakowania jako części systemów oznakowania. Wymagania dotyczące środków do posypywania i kulek szklanych do mieszania wynikają z norm DIN EN 1423 i DIN EN 1424. Badania mające na celu identyfikację materiałów i folii do oznakowania są opisane w normach DIN EN 12802 i DIN EN 1790.</w:t>
      </w:r>
    </w:p>
    <w:p w:rsidR="00536458" w:rsidRPr="003A38BA" w:rsidRDefault="00536458" w:rsidP="007C21AF">
      <w:pPr>
        <w:spacing w:after="120"/>
        <w:ind w:left="0" w:firstLine="0"/>
        <w:jc w:val="both"/>
      </w:pPr>
      <w:r>
        <w:t xml:space="preserve">Analizy prototypów przeprowadzane podczas badania przydatności systemów oznakowania są podane w tabeli 7. Konieczne odchylenia od istniejących metod są opisane w sekcji 5.3. </w:t>
      </w:r>
    </w:p>
    <w:p w:rsidR="00536458" w:rsidRPr="003A38BA" w:rsidRDefault="00536458" w:rsidP="007C21AF">
      <w:pPr>
        <w:pStyle w:val="Subtitle"/>
        <w:keepNext/>
        <w:ind w:left="1440" w:hanging="1440"/>
        <w:jc w:val="both"/>
        <w:rPr>
          <w:spacing w:val="0"/>
        </w:rPr>
      </w:pPr>
      <w:r>
        <w:t>Tabela 7</w:t>
      </w:r>
      <w:r>
        <w:tab/>
        <w:t>Przegląd standardowych metod badań</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59"/>
        <w:gridCol w:w="992"/>
        <w:gridCol w:w="992"/>
        <w:gridCol w:w="1134"/>
        <w:gridCol w:w="993"/>
        <w:gridCol w:w="1417"/>
      </w:tblGrid>
      <w:tr w:rsidR="00536458" w:rsidRPr="003A38BA" w:rsidTr="003E3497">
        <w:tc>
          <w:tcPr>
            <w:tcW w:w="2197" w:type="dxa"/>
            <w:tcBorders>
              <w:top w:val="single" w:sz="12" w:space="0" w:color="auto"/>
              <w:left w:val="single" w:sz="12" w:space="0" w:color="auto"/>
              <w:bottom w:val="single" w:sz="12" w:space="0" w:color="auto"/>
              <w:right w:val="nil"/>
            </w:tcBorders>
          </w:tcPr>
          <w:p w:rsidR="00536458" w:rsidRPr="003A38BA" w:rsidRDefault="00536458" w:rsidP="00536458">
            <w:pPr>
              <w:pStyle w:val="Tab-Kopf"/>
              <w:rPr>
                <w:sz w:val="22"/>
                <w:szCs w:val="22"/>
              </w:rPr>
            </w:pPr>
            <w:r>
              <w:rPr>
                <w:sz w:val="22"/>
                <w:szCs w:val="22"/>
              </w:rPr>
              <w:t>Parametr</w:t>
            </w:r>
          </w:p>
        </w:tc>
        <w:tc>
          <w:tcPr>
            <w:tcW w:w="1559" w:type="dxa"/>
            <w:tcBorders>
              <w:top w:val="single" w:sz="12" w:space="0" w:color="auto"/>
              <w:left w:val="single" w:sz="4" w:space="0" w:color="auto"/>
              <w:bottom w:val="single" w:sz="12" w:space="0" w:color="auto"/>
            </w:tcBorders>
          </w:tcPr>
          <w:p w:rsidR="00536458" w:rsidRPr="003A38BA" w:rsidRDefault="00536458" w:rsidP="00536458">
            <w:pPr>
              <w:pStyle w:val="Tab-Kopf"/>
              <w:rPr>
                <w:sz w:val="22"/>
                <w:szCs w:val="22"/>
              </w:rPr>
            </w:pPr>
            <w:r>
              <w:rPr>
                <w:sz w:val="22"/>
                <w:szCs w:val="22"/>
              </w:rPr>
              <w:t>Farby zawierające rozpuszczalniki (primery)</w:t>
            </w:r>
          </w:p>
        </w:tc>
        <w:tc>
          <w:tcPr>
            <w:tcW w:w="992"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Układy dyspersyjne</w:t>
            </w:r>
          </w:p>
        </w:tc>
        <w:tc>
          <w:tcPr>
            <w:tcW w:w="992"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Materiały reaktywne</w:t>
            </w:r>
          </w:p>
        </w:tc>
        <w:tc>
          <w:tcPr>
            <w:tcW w:w="1134"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Materiały termoplastyczne</w:t>
            </w:r>
          </w:p>
        </w:tc>
        <w:tc>
          <w:tcPr>
            <w:tcW w:w="993"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Folie</w:t>
            </w:r>
          </w:p>
        </w:tc>
        <w:tc>
          <w:tcPr>
            <w:tcW w:w="1417" w:type="dxa"/>
            <w:tcBorders>
              <w:top w:val="single" w:sz="12" w:space="0" w:color="auto"/>
              <w:bottom w:val="single" w:sz="12" w:space="0" w:color="auto"/>
              <w:right w:val="single" w:sz="12" w:space="0" w:color="auto"/>
            </w:tcBorders>
          </w:tcPr>
          <w:p w:rsidR="00536458" w:rsidRPr="003A38BA" w:rsidRDefault="00536458" w:rsidP="00536458">
            <w:pPr>
              <w:pStyle w:val="Tab-Kopf"/>
              <w:rPr>
                <w:kern w:val="0"/>
                <w:sz w:val="22"/>
                <w:szCs w:val="22"/>
              </w:rPr>
            </w:pPr>
            <w:r>
              <w:rPr>
                <w:sz w:val="22"/>
                <w:szCs w:val="22"/>
              </w:rPr>
              <w:t>Źródło</w:t>
            </w:r>
          </w:p>
        </w:tc>
      </w:tr>
      <w:tr w:rsidR="00536458" w:rsidRPr="003A38BA" w:rsidTr="003E3497">
        <w:tc>
          <w:tcPr>
            <w:tcW w:w="2197" w:type="dxa"/>
            <w:tcBorders>
              <w:top w:val="single" w:sz="12" w:space="0" w:color="auto"/>
              <w:left w:val="single" w:sz="12" w:space="0" w:color="auto"/>
            </w:tcBorders>
          </w:tcPr>
          <w:p w:rsidR="00536458" w:rsidRPr="003A38BA" w:rsidRDefault="00536458" w:rsidP="00536458">
            <w:pPr>
              <w:spacing w:line="280" w:lineRule="exact"/>
              <w:ind w:left="0" w:firstLine="0"/>
            </w:pPr>
            <w:r>
              <w:t>Gęstość</w:t>
            </w:r>
          </w:p>
        </w:tc>
        <w:tc>
          <w:tcPr>
            <w:tcW w:w="1559" w:type="dxa"/>
            <w:tcBorders>
              <w:top w:val="single" w:sz="12" w:space="0" w:color="auto"/>
            </w:tcBorders>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tcBorders>
              <w:top w:val="single" w:sz="12" w:space="0" w:color="auto"/>
            </w:tcBorders>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tcBorders>
              <w:top w:val="single" w:sz="12" w:space="0" w:color="auto"/>
            </w:tcBorders>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tcBorders>
              <w:top w:val="single" w:sz="12" w:space="0" w:color="auto"/>
            </w:tcBorders>
            <w:vAlign w:val="center"/>
          </w:tcPr>
          <w:p w:rsidR="00536458" w:rsidRPr="003A38BA" w:rsidRDefault="00536458" w:rsidP="0088418C">
            <w:pPr>
              <w:spacing w:after="80" w:line="300" w:lineRule="exact"/>
              <w:jc w:val="center"/>
              <w:rPr>
                <w:rFonts w:ascii="Arial" w:hAnsi="Arial" w:cs="Arial"/>
                <w:bCs/>
                <w:sz w:val="20"/>
                <w:szCs w:val="20"/>
              </w:rPr>
            </w:pPr>
          </w:p>
        </w:tc>
        <w:tc>
          <w:tcPr>
            <w:tcW w:w="993" w:type="dxa"/>
            <w:tcBorders>
              <w:top w:val="single" w:sz="12" w:space="0" w:color="auto"/>
            </w:tcBorders>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top w:val="single" w:sz="12" w:space="0" w:color="auto"/>
              <w:right w:val="single" w:sz="12" w:space="0" w:color="auto"/>
            </w:tcBorders>
          </w:tcPr>
          <w:p w:rsidR="00536458" w:rsidRPr="003A38BA" w:rsidRDefault="00536458" w:rsidP="00536458">
            <w:pPr>
              <w:pStyle w:val="Einzug-1"/>
              <w:rPr>
                <w:rFonts w:asciiTheme="minorHAnsi" w:hAnsiTheme="minorHAnsi"/>
                <w:sz w:val="22"/>
                <w:szCs w:val="22"/>
              </w:rPr>
            </w:pPr>
            <w:r>
              <w:rPr>
                <w:rFonts w:asciiTheme="minorHAnsi" w:hAnsiTheme="minorHAnsi"/>
                <w:sz w:val="22"/>
                <w:szCs w:val="22"/>
              </w:rPr>
              <w:t>ISO – 2811-1</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Zawartość składników lotnych</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Zawartość lepiszcza</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Zawartość dwutlenku tytanu</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pStyle w:val="Header"/>
              <w:tabs>
                <w:tab w:val="clear" w:pos="4536"/>
                <w:tab w:val="clear" w:pos="9072"/>
              </w:tabs>
              <w:spacing w:before="60" w:after="60" w:line="240" w:lineRule="exact"/>
              <w:rPr>
                <w:rFonts w:asciiTheme="minorHAnsi" w:hAnsiTheme="minorHAnsi"/>
                <w:sz w:val="22"/>
                <w:szCs w:val="22"/>
              </w:rPr>
            </w:pPr>
            <w:r>
              <w:rPr>
                <w:rFonts w:asciiTheme="minorHAnsi" w:hAnsiTheme="minorHAnsi"/>
                <w:sz w:val="22"/>
                <w:szCs w:val="22"/>
              </w:rPr>
              <w:t>Zawartość mikrogranulek do mieszania</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Analiza środków do posypywania</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1423, TP M</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Analiza pod kątem zawartości ołowiu i kadmu</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 1)</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 1)</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 1)</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 1)</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 1)</w:t>
            </w:r>
          </w:p>
        </w:tc>
        <w:tc>
          <w:tcPr>
            <w:tcW w:w="1417" w:type="dxa"/>
            <w:tcBorders>
              <w:right w:val="single" w:sz="12" w:space="0" w:color="auto"/>
            </w:tcBorders>
          </w:tcPr>
          <w:p w:rsidR="00536458" w:rsidRPr="003A38BA" w:rsidRDefault="00536458" w:rsidP="00536458">
            <w:pPr>
              <w:pStyle w:val="Einzug-1"/>
              <w:rPr>
                <w:rFonts w:asciiTheme="minorHAnsi" w:hAnsiTheme="minorHAnsi"/>
                <w:sz w:val="22"/>
                <w:szCs w:val="22"/>
              </w:rPr>
            </w:pPr>
            <w:r>
              <w:rPr>
                <w:rFonts w:asciiTheme="minorHAnsi" w:hAnsiTheme="minorHAnsi"/>
                <w:sz w:val="22"/>
                <w:szCs w:val="22"/>
              </w:rPr>
              <w:t>ISO 11466</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Pozostałość po spopieleniu</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lastRenderedPageBreak/>
              <w:t>Spektrum podczerwieni lepiszcza</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Spektrum podczerwieni pigmentów i wypełniaczy</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Określanie LZO/monomerów/oligomerów</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Analiza warstwy klejącej</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88418C" w:rsidP="0088418C">
            <w:pPr>
              <w:spacing w:after="80" w:line="300" w:lineRule="exact"/>
              <w:jc w:val="center"/>
              <w:rPr>
                <w:rFonts w:ascii="Arial" w:hAnsi="Arial" w:cs="Arial"/>
                <w:sz w:val="20"/>
                <w:szCs w:val="20"/>
              </w:rPr>
            </w:pPr>
            <w:r>
              <w:rPr>
                <w:rFonts w:ascii="Arial" w:hAnsi="Arial"/>
                <w:sz w:val="20"/>
                <w:szCs w:val="20"/>
              </w:rPr>
              <w:t>x</w:t>
            </w:r>
          </w:p>
        </w:tc>
        <w:tc>
          <w:tcPr>
            <w:tcW w:w="1417" w:type="dxa"/>
            <w:tcBorders>
              <w:right w:val="single" w:sz="12" w:space="0" w:color="auto"/>
            </w:tcBorders>
          </w:tcPr>
          <w:p w:rsidR="00536458" w:rsidRPr="003A38BA" w:rsidRDefault="00536458" w:rsidP="00536458">
            <w:pPr>
              <w:spacing w:line="280" w:lineRule="exact"/>
            </w:pPr>
            <w:r>
              <w:t>DIN EN 1790</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Termogram</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88418C" w:rsidP="0088418C">
            <w:pPr>
              <w:spacing w:after="80" w:line="300" w:lineRule="exact"/>
              <w:jc w:val="center"/>
              <w:rPr>
                <w:rFonts w:ascii="Arial" w:hAnsi="Arial" w:cs="Arial"/>
                <w:sz w:val="20"/>
                <w:szCs w:val="20"/>
              </w:rPr>
            </w:pPr>
            <w:r>
              <w:rPr>
                <w:rFonts w:ascii="Arial" w:hAnsi="Arial"/>
                <w:sz w:val="20"/>
                <w:szCs w:val="20"/>
              </w:rPr>
              <w:t>x</w:t>
            </w:r>
          </w:p>
        </w:tc>
        <w:tc>
          <w:tcPr>
            <w:tcW w:w="1417" w:type="dxa"/>
            <w:tcBorders>
              <w:right w:val="single" w:sz="12" w:space="0" w:color="auto"/>
            </w:tcBorders>
          </w:tcPr>
          <w:p w:rsidR="00536458" w:rsidRPr="003A38BA" w:rsidRDefault="00536458" w:rsidP="00536458">
            <w:pPr>
              <w:spacing w:line="280" w:lineRule="exact"/>
            </w:pPr>
            <w:r>
              <w:t>DIN EN 1790</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60" w:lineRule="exact"/>
              <w:ind w:left="0" w:firstLine="0"/>
            </w:pPr>
            <w:r>
              <w:t>Analiza obrazu</w:t>
            </w:r>
          </w:p>
        </w:tc>
        <w:tc>
          <w:tcPr>
            <w:tcW w:w="1559"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3" w:type="dxa"/>
            <w:vAlign w:val="center"/>
          </w:tcPr>
          <w:p w:rsidR="00536458" w:rsidRPr="003A38BA" w:rsidRDefault="0088418C" w:rsidP="0088418C">
            <w:pPr>
              <w:spacing w:before="60" w:after="60" w:line="260" w:lineRule="exact"/>
              <w:jc w:val="center"/>
              <w:rPr>
                <w:rFonts w:ascii="Arial" w:hAnsi="Arial" w:cs="Arial"/>
                <w:sz w:val="20"/>
                <w:szCs w:val="20"/>
              </w:rPr>
            </w:pPr>
            <w:r>
              <w:rPr>
                <w:rFonts w:ascii="Arial" w:hAnsi="Arial"/>
                <w:sz w:val="20"/>
                <w:szCs w:val="20"/>
              </w:rPr>
              <w:t>x</w:t>
            </w:r>
          </w:p>
        </w:tc>
        <w:tc>
          <w:tcPr>
            <w:tcW w:w="1417" w:type="dxa"/>
            <w:tcBorders>
              <w:right w:val="single" w:sz="12" w:space="0" w:color="auto"/>
            </w:tcBorders>
          </w:tcPr>
          <w:p w:rsidR="00536458" w:rsidRPr="003A38BA" w:rsidRDefault="00C32DCC" w:rsidP="00536458">
            <w:pPr>
              <w:spacing w:line="280" w:lineRule="exact"/>
            </w:pPr>
            <w:r>
              <w:t>TP M</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60" w:lineRule="exact"/>
              <w:ind w:left="0" w:firstLine="0"/>
            </w:pPr>
            <w:r>
              <w:t>Temperatura mięknienia według Wilhelmiego</w:t>
            </w:r>
          </w:p>
        </w:tc>
        <w:tc>
          <w:tcPr>
            <w:tcW w:w="1559"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3A38BA" w:rsidRDefault="00BD23B3" w:rsidP="0088418C">
            <w:pPr>
              <w:spacing w:before="60" w:after="60" w:line="26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before="60" w:after="60" w:line="260" w:lineRule="exact"/>
              <w:jc w:val="center"/>
              <w:rPr>
                <w:rFonts w:ascii="Arial" w:hAnsi="Arial" w:cs="Arial"/>
                <w:sz w:val="20"/>
                <w:szCs w:val="20"/>
                <w:lang w:val="en-GB"/>
              </w:rPr>
            </w:pPr>
          </w:p>
        </w:tc>
        <w:tc>
          <w:tcPr>
            <w:tcW w:w="1417" w:type="dxa"/>
            <w:tcBorders>
              <w:right w:val="single" w:sz="12" w:space="0" w:color="auto"/>
            </w:tcBorders>
          </w:tcPr>
          <w:p w:rsidR="00536458" w:rsidRPr="003A38BA" w:rsidRDefault="00536458" w:rsidP="00536458">
            <w:pPr>
              <w:spacing w:line="280" w:lineRule="exact"/>
            </w:pPr>
            <w:r>
              <w:t>DIN EN 1871</w:t>
            </w:r>
          </w:p>
        </w:tc>
      </w:tr>
      <w:tr w:rsidR="00DF4A21" w:rsidRPr="003A38BA" w:rsidTr="003E3497">
        <w:tc>
          <w:tcPr>
            <w:tcW w:w="2197" w:type="dxa"/>
            <w:tcBorders>
              <w:left w:val="single" w:sz="12" w:space="0" w:color="auto"/>
              <w:bottom w:val="single" w:sz="12" w:space="0" w:color="auto"/>
            </w:tcBorders>
          </w:tcPr>
          <w:p w:rsidR="00DF4A21" w:rsidRPr="003A38BA" w:rsidRDefault="00DF4A21" w:rsidP="00536458">
            <w:pPr>
              <w:spacing w:before="60" w:after="60" w:line="260" w:lineRule="exact"/>
              <w:ind w:left="0" w:firstLine="0"/>
            </w:pPr>
            <w:r>
              <w:t xml:space="preserve">Test wnikania </w:t>
            </w:r>
          </w:p>
        </w:tc>
        <w:tc>
          <w:tcPr>
            <w:tcW w:w="1559"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1134"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r>
              <w:rPr>
                <w:rFonts w:ascii="Arial" w:hAnsi="Arial"/>
                <w:sz w:val="20"/>
                <w:szCs w:val="20"/>
              </w:rPr>
              <w:t>x</w:t>
            </w:r>
          </w:p>
        </w:tc>
        <w:tc>
          <w:tcPr>
            <w:tcW w:w="993"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lang w:val="en-GB"/>
              </w:rPr>
            </w:pPr>
          </w:p>
        </w:tc>
        <w:tc>
          <w:tcPr>
            <w:tcW w:w="1417" w:type="dxa"/>
            <w:tcBorders>
              <w:bottom w:val="single" w:sz="12" w:space="0" w:color="auto"/>
              <w:right w:val="single" w:sz="12" w:space="0" w:color="auto"/>
            </w:tcBorders>
          </w:tcPr>
          <w:p w:rsidR="00DF4A21" w:rsidRPr="003A38BA" w:rsidRDefault="00DF4A21" w:rsidP="00536458">
            <w:pPr>
              <w:spacing w:line="280" w:lineRule="exact"/>
            </w:pPr>
            <w:r>
              <w:t>DIN EN 1871</w:t>
            </w:r>
          </w:p>
        </w:tc>
      </w:tr>
    </w:tbl>
    <w:p w:rsidR="00536458" w:rsidRPr="003A38BA" w:rsidRDefault="00536458" w:rsidP="007C21AF">
      <w:pPr>
        <w:pStyle w:val="FootnoteText"/>
        <w:numPr>
          <w:ilvl w:val="0"/>
          <w:numId w:val="7"/>
        </w:numPr>
        <w:spacing w:after="80"/>
        <w:ind w:left="357" w:hanging="357"/>
        <w:jc w:val="both"/>
        <w:rPr>
          <w:rFonts w:asciiTheme="minorHAnsi" w:hAnsiTheme="minorHAnsi"/>
          <w:sz w:val="18"/>
        </w:rPr>
      </w:pPr>
      <w:r>
        <w:rPr>
          <w:rFonts w:asciiTheme="minorHAnsi" w:hAnsiTheme="minorHAnsi"/>
          <w:sz w:val="18"/>
        </w:rPr>
        <w:t>W razie potrzeby w przypadku materiałów do tymczasowych oznakowań</w:t>
      </w:r>
    </w:p>
    <w:p w:rsidR="00536458" w:rsidRPr="003A38BA" w:rsidRDefault="00536458" w:rsidP="007C21AF">
      <w:pPr>
        <w:pStyle w:val="FootnoteText"/>
        <w:numPr>
          <w:ilvl w:val="0"/>
          <w:numId w:val="7"/>
        </w:numPr>
        <w:spacing w:after="80"/>
        <w:ind w:left="357" w:hanging="357"/>
        <w:jc w:val="both"/>
        <w:rPr>
          <w:rFonts w:asciiTheme="minorHAnsi" w:hAnsiTheme="minorHAnsi"/>
          <w:sz w:val="18"/>
        </w:rPr>
      </w:pPr>
      <w:r>
        <w:rPr>
          <w:rFonts w:asciiTheme="minorHAnsi" w:hAnsiTheme="minorHAnsi"/>
          <w:sz w:val="18"/>
        </w:rPr>
        <w:t>W przypadku układów dyspersyjnych lepiszcze należy wyługować tetrahydrofuranem (THF), aby uniknąć wytrącania</w:t>
      </w:r>
    </w:p>
    <w:p w:rsidR="00536458" w:rsidRPr="003A38BA" w:rsidRDefault="00536458" w:rsidP="007C21AF">
      <w:pPr>
        <w:pStyle w:val="Heading1"/>
        <w:numPr>
          <w:ilvl w:val="1"/>
          <w:numId w:val="5"/>
        </w:numPr>
        <w:jc w:val="both"/>
        <w:rPr>
          <w:sz w:val="24"/>
          <w:szCs w:val="24"/>
        </w:rPr>
      </w:pPr>
      <w:bookmarkStart w:id="36" w:name="_Toc150157103"/>
      <w:bookmarkStart w:id="37" w:name="_Toc150172942"/>
      <w:bookmarkStart w:id="38" w:name="_Toc150173017"/>
      <w:bookmarkStart w:id="39" w:name="_Toc150174570"/>
      <w:bookmarkStart w:id="40" w:name="_Toc150819423"/>
      <w:bookmarkStart w:id="41" w:name="_Toc150819855"/>
      <w:bookmarkStart w:id="42" w:name="_Toc150819915"/>
      <w:bookmarkStart w:id="43" w:name="_Toc297110226"/>
      <w:bookmarkStart w:id="44" w:name="_Toc297110277"/>
      <w:bookmarkStart w:id="45" w:name="_Toc86465554"/>
      <w:bookmarkStart w:id="46" w:name="_Toc115598046"/>
      <w:bookmarkStart w:id="47" w:name="_Toc120375500"/>
      <w:bookmarkStart w:id="48" w:name="_Toc150173018"/>
      <w:bookmarkStart w:id="49" w:name="_Toc150819916"/>
      <w:bookmarkStart w:id="50" w:name="_Toc353893700"/>
      <w:bookmarkStart w:id="51" w:name="_Toc12481216"/>
      <w:bookmarkEnd w:id="36"/>
      <w:bookmarkEnd w:id="37"/>
      <w:bookmarkEnd w:id="38"/>
      <w:bookmarkEnd w:id="39"/>
      <w:bookmarkEnd w:id="40"/>
      <w:bookmarkEnd w:id="41"/>
      <w:bookmarkEnd w:id="42"/>
      <w:bookmarkEnd w:id="43"/>
      <w:bookmarkEnd w:id="44"/>
      <w:r>
        <w:rPr>
          <w:sz w:val="24"/>
          <w:szCs w:val="24"/>
        </w:rPr>
        <w:t>Pobieranie próbek</w:t>
      </w:r>
      <w:bookmarkEnd w:id="45"/>
      <w:bookmarkEnd w:id="46"/>
      <w:bookmarkEnd w:id="47"/>
      <w:bookmarkEnd w:id="48"/>
      <w:bookmarkEnd w:id="49"/>
      <w:bookmarkEnd w:id="50"/>
      <w:bookmarkEnd w:id="51"/>
    </w:p>
    <w:p w:rsidR="00E54343" w:rsidRPr="003A38BA" w:rsidRDefault="00E54343" w:rsidP="007C21AF">
      <w:pPr>
        <w:spacing w:after="120"/>
        <w:ind w:left="0" w:firstLine="0"/>
        <w:jc w:val="both"/>
      </w:pPr>
      <w:bookmarkStart w:id="52" w:name="_Toc150157105"/>
      <w:bookmarkStart w:id="53" w:name="_Toc150172944"/>
      <w:bookmarkStart w:id="54" w:name="_Toc150173019"/>
      <w:bookmarkStart w:id="55" w:name="_Toc150174572"/>
      <w:bookmarkStart w:id="56" w:name="_Toc150819425"/>
      <w:bookmarkStart w:id="57" w:name="_Toc150819857"/>
      <w:bookmarkStart w:id="58" w:name="_Toc150819917"/>
      <w:bookmarkEnd w:id="52"/>
      <w:bookmarkEnd w:id="53"/>
      <w:bookmarkEnd w:id="54"/>
      <w:bookmarkEnd w:id="55"/>
      <w:bookmarkEnd w:id="56"/>
      <w:bookmarkEnd w:id="57"/>
      <w:bookmarkEnd w:id="58"/>
      <w:r>
        <w:t>W ramach badania przydatności wnioskodawca potwierdza na piśmie, że udostępnione do nałożenia materiały i nośniki są reprezentatywne dla produkcji. Jest on odpowiedzialny za to, by próbki dostarczone do badania prototypu (patrz 4.2.3) były dostępne w wystarczających ilościach.</w:t>
      </w:r>
    </w:p>
    <w:p w:rsidR="00536458" w:rsidRPr="003A38BA" w:rsidRDefault="00536458" w:rsidP="007C21AF">
      <w:pPr>
        <w:spacing w:after="120"/>
        <w:ind w:left="0" w:firstLine="0"/>
        <w:jc w:val="both"/>
      </w:pPr>
      <w:r>
        <w:t>Naczynia do pobierania próbek należy po napełnieniu szczelnie zamknąć i przez odpowiednie opieczętowanie zabezpieczyć przed manipulowaniem. Odpowiednimi naczyniami na próbki są np. 1</w:t>
      </w:r>
      <w:r>
        <w:noBreakHyphen/>
        <w:t>litrowe puszki blaszane z wciskanym wiekiem lub gazoszczelne, zamykane zamknięciem gwintowym naczynia z polietylenu lub polipropylenu. Strat rozpuszczalników można uniknąć, jeżeli naczynia na próbki zostaną napełnione możliwie całkowicie i odwrócone po zamknięciu. W przypadku materiałów do oznakowania wykonanych na bazie wody wymagane jest stosowanie gazoszczelnych naczyń z tworzywa sztucznego lub powlekanych wewnątrz puszek blaszanych z wciskanym wieczkiem.</w:t>
      </w:r>
    </w:p>
    <w:p w:rsidR="00536458" w:rsidRPr="003A38BA" w:rsidRDefault="00536458" w:rsidP="007C21AF">
      <w:pPr>
        <w:spacing w:after="120"/>
        <w:ind w:left="0" w:firstLine="0"/>
        <w:jc w:val="both"/>
      </w:pPr>
      <w:r>
        <w:t xml:space="preserve">Próbki należy jednoznacznie opisać. </w:t>
      </w:r>
    </w:p>
    <w:p w:rsidR="00536458" w:rsidRPr="003A38BA" w:rsidRDefault="007F44BC" w:rsidP="007C21AF">
      <w:pPr>
        <w:pStyle w:val="Heading1"/>
        <w:numPr>
          <w:ilvl w:val="1"/>
          <w:numId w:val="5"/>
        </w:numPr>
        <w:jc w:val="both"/>
        <w:rPr>
          <w:sz w:val="24"/>
          <w:szCs w:val="24"/>
        </w:rPr>
      </w:pPr>
      <w:bookmarkStart w:id="59" w:name="_Toc297110228"/>
      <w:bookmarkStart w:id="60" w:name="_Toc297110279"/>
      <w:bookmarkStart w:id="61" w:name="_Toc84303240"/>
      <w:bookmarkStart w:id="62" w:name="_Toc86465557"/>
      <w:bookmarkStart w:id="63" w:name="_Toc115598049"/>
      <w:bookmarkStart w:id="64" w:name="_Toc12481217"/>
      <w:bookmarkEnd w:id="59"/>
      <w:bookmarkEnd w:id="60"/>
      <w:r>
        <w:rPr>
          <w:sz w:val="24"/>
          <w:szCs w:val="24"/>
        </w:rPr>
        <w:t>Badanie prototypu niefabrykowanych systemów oznakowania</w:t>
      </w:r>
      <w:bookmarkEnd w:id="64"/>
    </w:p>
    <w:bookmarkEnd w:id="61"/>
    <w:bookmarkEnd w:id="62"/>
    <w:bookmarkEnd w:id="63"/>
    <w:p w:rsidR="00536458" w:rsidRPr="003A38BA" w:rsidRDefault="00536458" w:rsidP="007C21AF">
      <w:pPr>
        <w:ind w:left="0" w:firstLine="0"/>
        <w:jc w:val="both"/>
      </w:pPr>
      <w:r>
        <w:t>Cechy charakterystyczne systemu oznakowania są przedstawiane przez wnioskodawcę we wniosku o badanie przydatności oraz rejestrowane, sprawdzane i dokumentowane podczas badania prototypu, aby umożliwić identyfikację w ramach późniejszego badania kontrolnego zgodnie z ZTV M. Metody badania prototypu są opisane poniżej.</w:t>
      </w:r>
    </w:p>
    <w:p w:rsidR="00536458" w:rsidRPr="003A38BA" w:rsidRDefault="00536458" w:rsidP="007C21AF">
      <w:pPr>
        <w:pStyle w:val="Heading1"/>
        <w:numPr>
          <w:ilvl w:val="2"/>
          <w:numId w:val="5"/>
        </w:numPr>
        <w:ind w:left="1440" w:hanging="872"/>
        <w:jc w:val="both"/>
        <w:rPr>
          <w:sz w:val="24"/>
          <w:szCs w:val="24"/>
        </w:rPr>
      </w:pPr>
      <w:bookmarkStart w:id="65" w:name="_Toc84303245"/>
      <w:bookmarkStart w:id="66" w:name="_Toc86465562"/>
      <w:bookmarkStart w:id="67" w:name="_Toc115598053"/>
      <w:bookmarkStart w:id="68" w:name="_Toc150174577"/>
      <w:bookmarkStart w:id="69" w:name="_Toc273346566"/>
      <w:bookmarkStart w:id="70" w:name="_Toc353893703"/>
      <w:bookmarkStart w:id="71" w:name="_Toc12481218"/>
      <w:r>
        <w:rPr>
          <w:sz w:val="24"/>
          <w:szCs w:val="24"/>
        </w:rPr>
        <w:t>Określanie zawartości składników organicznych i nieorganicznych</w:t>
      </w:r>
      <w:bookmarkEnd w:id="71"/>
    </w:p>
    <w:p w:rsidR="00536458" w:rsidRPr="003A38BA" w:rsidRDefault="00536458" w:rsidP="007C21AF">
      <w:pPr>
        <w:ind w:left="0" w:firstLine="0"/>
        <w:jc w:val="both"/>
      </w:pPr>
      <w:r>
        <w:t xml:space="preserve">Zawartość składników lotnych farb do oznakowania i primerów jest zasadniczo określana zgodnie z normą DIN EN 12802 przez zważenie pozostałości otrzymanej po trzygodzinnym zrównywaniu temperatury w suszarce laboratoryjnej z cyrkulacją gorącego powietrza przy 105 °C. Ta pozostałość jest wykorzystywana dalej do pomiaru zawartości lepiszcza i składników nieorganicznych. Po czterogodzinnej obróbce termicznej w piecu muflowym przy 4 450 °C lepiszcza organiczne ulegają całkowitemu rozkładowi. Pozostająca reszta odpowiada zawartości składników nieorganicznych. Przez ważenie przed i po obróbce termicznej określane są odnośne udziały masowe. Otrzymana </w:t>
      </w:r>
      <w:r>
        <w:lastRenderedPageBreak/>
        <w:t>pozostałość nieorganiczna jest wykorzystywana do identyfikacji pigmentów i wypełniaczy oraz do określania zawartości dwutlenku tytanu.</w:t>
      </w:r>
    </w:p>
    <w:p w:rsidR="00536458" w:rsidRPr="003A38BA" w:rsidRDefault="00536458" w:rsidP="007C21AF">
      <w:pPr>
        <w:pStyle w:val="Heading1"/>
        <w:numPr>
          <w:ilvl w:val="2"/>
          <w:numId w:val="5"/>
        </w:numPr>
        <w:ind w:left="1440" w:hanging="872"/>
        <w:jc w:val="both"/>
        <w:rPr>
          <w:sz w:val="24"/>
          <w:szCs w:val="24"/>
        </w:rPr>
      </w:pPr>
      <w:bookmarkStart w:id="72" w:name="_Toc12481219"/>
      <w:r>
        <w:rPr>
          <w:sz w:val="24"/>
          <w:szCs w:val="24"/>
        </w:rPr>
        <w:t>Określanie lotnych związków organicznych</w:t>
      </w:r>
      <w:bookmarkEnd w:id="65"/>
      <w:r>
        <w:rPr>
          <w:sz w:val="24"/>
          <w:szCs w:val="24"/>
        </w:rPr>
        <w:t xml:space="preserve"> i monomerów/oligomerów</w:t>
      </w:r>
      <w:bookmarkEnd w:id="66"/>
      <w:bookmarkEnd w:id="67"/>
      <w:bookmarkEnd w:id="68"/>
      <w:bookmarkEnd w:id="69"/>
      <w:bookmarkEnd w:id="70"/>
      <w:bookmarkEnd w:id="72"/>
    </w:p>
    <w:p w:rsidR="00667BC9" w:rsidRPr="003A38BA" w:rsidRDefault="00536458" w:rsidP="007C21AF">
      <w:pPr>
        <w:ind w:left="0" w:firstLine="0"/>
        <w:jc w:val="both"/>
      </w:pPr>
      <w:r>
        <w:t xml:space="preserve">Określanie lotnych składników organicznych w materiałach do oznakowania i nośnikach odbywa się zasadniczo zgodnie z normą EN 12802 metodą chromatografii gazowej przy użyciu detektora spektrometrii mas (GC-MS). </w:t>
      </w:r>
    </w:p>
    <w:p w:rsidR="00667BC9" w:rsidRPr="003A38BA" w:rsidRDefault="00667BC9" w:rsidP="007C21AF">
      <w:pPr>
        <w:ind w:left="0" w:firstLine="0"/>
        <w:jc w:val="both"/>
      </w:pPr>
      <w:r>
        <w:t xml:space="preserve">Zgodnie z warunkami TL M obowiązują następujące wymagania: </w:t>
      </w:r>
    </w:p>
    <w:p w:rsidR="00536458" w:rsidRPr="003A38BA" w:rsidRDefault="00536458" w:rsidP="007C21AF">
      <w:pPr>
        <w:ind w:left="0" w:firstLine="0"/>
        <w:jc w:val="both"/>
      </w:pPr>
      <w:r>
        <w:t xml:space="preserve">Materiały do oznakowania mogą zawierać co najwyżej 25 procent wagowych lotnych rozpuszczalników organicznych. </w:t>
      </w:r>
    </w:p>
    <w:p w:rsidR="00536458" w:rsidRPr="003A38BA" w:rsidRDefault="00536458" w:rsidP="007C21AF">
      <w:pPr>
        <w:ind w:left="0" w:firstLine="0"/>
        <w:jc w:val="both"/>
      </w:pPr>
      <w:r>
        <w:t>Rozpuszczalniki sklasyfikowane w systemie GHS jako trujące (ostro toksyczne kategorii 1, 2 lub 3) lub niebezpieczne (mutagenne, rakotwórcze, ostro toksyczne, działające szkodliwie na rozrodczość, toksyczne dla narządów, kategorii 1, 1A lub 1B) mogą być zawarte tylko w całkowitych ilościach mniejszych niż 0,1 procenta wagowego.</w:t>
      </w:r>
    </w:p>
    <w:p w:rsidR="00536458" w:rsidRPr="003A38BA" w:rsidRDefault="00536458" w:rsidP="007C21AF">
      <w:pPr>
        <w:ind w:left="0" w:firstLine="0"/>
        <w:jc w:val="both"/>
      </w:pPr>
      <w:r>
        <w:t>Ilości rozpuszczalników sklasyfikowanych jako szkodliwe dla zdrowia (ostro toksyczne kategorii 4 lub niebezpieczne kategorii 2: mutagenne, rakotwórcze, ostro toksyczne, działające szkodliwie na rozrodczość, toksyczne dla narządów) nie mogą przekraczać łącznie 1,0 procenta wagowego. Obowiązuje to niezależnie od tego, czy substancje te występują jako zanieczyszczenie czy jako niezamierzona domieszka.</w:t>
      </w:r>
    </w:p>
    <w:p w:rsidR="00536458" w:rsidRPr="003A38BA" w:rsidRDefault="00536458" w:rsidP="007C21AF">
      <w:pPr>
        <w:pStyle w:val="Heading1"/>
        <w:numPr>
          <w:ilvl w:val="2"/>
          <w:numId w:val="5"/>
        </w:numPr>
        <w:ind w:left="1440" w:hanging="872"/>
        <w:jc w:val="both"/>
        <w:rPr>
          <w:sz w:val="24"/>
          <w:szCs w:val="24"/>
        </w:rPr>
      </w:pPr>
      <w:bookmarkStart w:id="73" w:name="_Toc84303246"/>
      <w:bookmarkStart w:id="74" w:name="_Toc86465563"/>
      <w:bookmarkStart w:id="75" w:name="_Toc115598054"/>
      <w:bookmarkStart w:id="76" w:name="_Toc150174578"/>
      <w:bookmarkStart w:id="77" w:name="_Toc273346567"/>
      <w:bookmarkStart w:id="78" w:name="_Toc353893704"/>
      <w:bookmarkStart w:id="79" w:name="_Toc12481220"/>
      <w:r>
        <w:rPr>
          <w:sz w:val="24"/>
          <w:szCs w:val="24"/>
        </w:rPr>
        <w:t>Określanie zawartości dwutlenku tytanu w pozostałościach nieorganicznych</w:t>
      </w:r>
      <w:bookmarkEnd w:id="73"/>
      <w:bookmarkEnd w:id="74"/>
      <w:bookmarkEnd w:id="75"/>
      <w:bookmarkEnd w:id="76"/>
      <w:bookmarkEnd w:id="77"/>
      <w:bookmarkEnd w:id="78"/>
      <w:bookmarkEnd w:id="79"/>
    </w:p>
    <w:p w:rsidR="00536458" w:rsidRPr="003A38BA" w:rsidRDefault="00536458" w:rsidP="007C21AF">
      <w:pPr>
        <w:ind w:left="0" w:firstLine="0"/>
        <w:jc w:val="both"/>
      </w:pPr>
      <w:r>
        <w:t xml:space="preserve">Zawartość dwutlenku tytanu jest określana na podstawie pozostałości nieorganicznej otrzymywanej po spopieleniu materiałów do oznakowania w temperaturze 450 °C. </w:t>
      </w:r>
    </w:p>
    <w:p w:rsidR="00DF4A21" w:rsidRPr="003A38BA" w:rsidRDefault="00536458" w:rsidP="007C21AF">
      <w:pPr>
        <w:ind w:left="0" w:firstLine="0"/>
        <w:jc w:val="both"/>
      </w:pPr>
      <w:r>
        <w:t xml:space="preserve">Określanie odbywa się zasadniczo metodą opisaną w normie DIN EN 12802. Po roztworzeniu materiału próbkowego w stężonym kwasie siarkowym i redukcji z zastosowaniem aluminium następuje miareczkowanie redoksymetryczne siarczanem amonu żelaza(III). Zamiast wizualnego wykrycia punktu końcowego stosuje się wykrycie potencjometryczne. </w:t>
      </w:r>
    </w:p>
    <w:p w:rsidR="00536458" w:rsidRPr="003A38BA" w:rsidRDefault="00536458" w:rsidP="007C21AF">
      <w:pPr>
        <w:pStyle w:val="Heading1"/>
        <w:numPr>
          <w:ilvl w:val="2"/>
          <w:numId w:val="5"/>
        </w:numPr>
        <w:ind w:left="1440" w:hanging="872"/>
        <w:jc w:val="both"/>
        <w:rPr>
          <w:sz w:val="24"/>
          <w:szCs w:val="24"/>
        </w:rPr>
      </w:pPr>
      <w:bookmarkStart w:id="80" w:name="_Toc84303247"/>
      <w:bookmarkStart w:id="81" w:name="_Toc86465564"/>
      <w:bookmarkStart w:id="82" w:name="_Toc115598055"/>
      <w:bookmarkStart w:id="83" w:name="_Toc273346568"/>
      <w:bookmarkStart w:id="84" w:name="_Toc353893705"/>
      <w:bookmarkStart w:id="85" w:name="_Toc12481221"/>
      <w:r>
        <w:rPr>
          <w:sz w:val="24"/>
          <w:szCs w:val="24"/>
        </w:rPr>
        <w:t>Określanie zawartości mikrogranulek do mieszania</w:t>
      </w:r>
      <w:bookmarkEnd w:id="80"/>
      <w:bookmarkEnd w:id="81"/>
      <w:bookmarkEnd w:id="82"/>
      <w:bookmarkEnd w:id="83"/>
      <w:bookmarkEnd w:id="84"/>
      <w:bookmarkEnd w:id="85"/>
    </w:p>
    <w:p w:rsidR="00536458" w:rsidRPr="003A38BA" w:rsidRDefault="00536458" w:rsidP="007C21AF">
      <w:pPr>
        <w:spacing w:after="120"/>
        <w:ind w:left="0" w:firstLine="0"/>
        <w:jc w:val="both"/>
      </w:pPr>
      <w:r>
        <w:t>Jeżeli materiał do oznakowania stosowany w systemie oznakowania zawiera mikrogranulki do mieszania (mikrogranulki refleksyjne i/lub kruszywo przeciwpoślizgowe), ich zawartość ustala się, zasadniczo zgodnie z normą DIN EN 12802, w następujący sposób:</w:t>
      </w:r>
    </w:p>
    <w:p w:rsidR="00536458" w:rsidRPr="003A38BA" w:rsidRDefault="00536458" w:rsidP="007C21AF">
      <w:pPr>
        <w:ind w:left="0" w:firstLine="0"/>
        <w:jc w:val="both"/>
      </w:pPr>
      <w:r>
        <w:t>15 - 20 gramową próbkę homogenizowanego materiału do oznakowania poddaje się obróbce termicznej w piecu muflowym przy 450 °C. Pozostała zawartość nieorganiczna jest przesiewana przez sito o oczkach 90 µm. Przesiew jest wykorzystywany do analizy spektroskopowej w podczerwieni wypełniaczy i pigmentów. Następnie odsiew jest czyszczony na mokro, aż będzie pozbawiony pigmentów i wypełniaczy. W ramach wsparcia do oddzielenia można posłużyć się kąpielą ultradźwiękową i rozcieńczonym kwasem octowym. Pozostałość jest suszona w suszarce laboratoryjnej przy ok. 150 °C i ponownie ważona.</w:t>
      </w:r>
    </w:p>
    <w:p w:rsidR="00536458" w:rsidRPr="003A38BA" w:rsidRDefault="00536458" w:rsidP="007C21AF">
      <w:pPr>
        <w:pStyle w:val="Heading1"/>
        <w:numPr>
          <w:ilvl w:val="2"/>
          <w:numId w:val="5"/>
        </w:numPr>
        <w:ind w:left="1440" w:hanging="872"/>
        <w:jc w:val="both"/>
        <w:rPr>
          <w:sz w:val="24"/>
          <w:szCs w:val="24"/>
        </w:rPr>
      </w:pPr>
      <w:bookmarkStart w:id="86" w:name="_Toc273346569"/>
      <w:bookmarkStart w:id="87" w:name="_Toc353893706"/>
      <w:bookmarkStart w:id="88" w:name="_Toc12481222"/>
      <w:r>
        <w:rPr>
          <w:sz w:val="24"/>
          <w:szCs w:val="24"/>
        </w:rPr>
        <w:t>Określanie temperatury mięknienia według Wilhelmiego</w:t>
      </w:r>
      <w:bookmarkEnd w:id="86"/>
      <w:bookmarkEnd w:id="87"/>
      <w:bookmarkEnd w:id="88"/>
    </w:p>
    <w:p w:rsidR="00536458" w:rsidRPr="003A38BA" w:rsidRDefault="00536458" w:rsidP="007C21AF">
      <w:pPr>
        <w:ind w:left="0" w:firstLine="0"/>
        <w:jc w:val="both"/>
      </w:pPr>
      <w:r>
        <w:t xml:space="preserve">Termoplastyczne materiały do oznakowania muszą także przy temperaturach występujących w lecie charakteryzować się wystarczającą trwałością kształtu. W przeciwnym razie osadzone w powierzchni systemu oznakowania mikrogranulki refleksyjne i kruszywo przeciwpoślizgowe zostałyby głęboko wciśnięte w system na skutek przejeżdżania opon pojazdów i ich działanie uległoby osłabieniu. W celu scharakteryzowania trwałości kształtu badana jest temperatura mięknienia według normy DIN EN 1871, załącznik F („test Wilhelmiego”). Osiągnięta musi zostać przynajmniej klasa SP2 (80 °C). </w:t>
      </w:r>
    </w:p>
    <w:p w:rsidR="00E35384" w:rsidRPr="003A38BA" w:rsidRDefault="007A6695" w:rsidP="007C21AF">
      <w:pPr>
        <w:pStyle w:val="Heading1"/>
        <w:numPr>
          <w:ilvl w:val="2"/>
          <w:numId w:val="5"/>
        </w:numPr>
        <w:ind w:left="1440" w:hanging="872"/>
        <w:jc w:val="both"/>
        <w:rPr>
          <w:sz w:val="24"/>
          <w:szCs w:val="24"/>
        </w:rPr>
      </w:pPr>
      <w:bookmarkStart w:id="89" w:name="_Toc12481223"/>
      <w:r>
        <w:rPr>
          <w:sz w:val="24"/>
          <w:szCs w:val="24"/>
        </w:rPr>
        <w:lastRenderedPageBreak/>
        <w:t>Odporność na wnikanie</w:t>
      </w:r>
      <w:bookmarkEnd w:id="89"/>
    </w:p>
    <w:p w:rsidR="00E35384" w:rsidRPr="003A38BA" w:rsidRDefault="000B2B83" w:rsidP="0023536B">
      <w:pPr>
        <w:ind w:left="0" w:firstLine="0"/>
        <w:jc w:val="both"/>
      </w:pPr>
      <w:r>
        <w:t xml:space="preserve">Głębokość wnikania w określonej temperaturze jest wrażliwym wskaźnikiem zmian składu termoplastycznych materiałów do oznakowania. Temperaturę badania należy ustalić w zależności od twardości masy termoplastycznej. Metoda jest opisana w normie DIN EN 1871. </w:t>
      </w:r>
    </w:p>
    <w:p w:rsidR="00536458" w:rsidRPr="003A38BA" w:rsidRDefault="00536458" w:rsidP="007C21AF">
      <w:pPr>
        <w:pStyle w:val="Heading1"/>
        <w:numPr>
          <w:ilvl w:val="2"/>
          <w:numId w:val="5"/>
        </w:numPr>
        <w:ind w:left="1440" w:hanging="872"/>
        <w:jc w:val="both"/>
        <w:rPr>
          <w:sz w:val="24"/>
          <w:szCs w:val="24"/>
        </w:rPr>
      </w:pPr>
      <w:bookmarkStart w:id="90" w:name="_Toc150173025"/>
      <w:bookmarkStart w:id="91" w:name="_Toc150174586"/>
      <w:bookmarkStart w:id="92" w:name="_Toc273346570"/>
      <w:bookmarkStart w:id="93" w:name="_Toc353893707"/>
      <w:bookmarkStart w:id="94" w:name="_Toc12481224"/>
      <w:r>
        <w:rPr>
          <w:sz w:val="24"/>
          <w:szCs w:val="24"/>
        </w:rPr>
        <w:t>Badanie pod kątem zawartości ołowiu i kadmu</w:t>
      </w:r>
      <w:bookmarkEnd w:id="90"/>
      <w:bookmarkEnd w:id="91"/>
      <w:r>
        <w:rPr>
          <w:sz w:val="24"/>
          <w:szCs w:val="24"/>
        </w:rPr>
        <w:t xml:space="preserve"> w przypadku czasowych systemów oznakowania</w:t>
      </w:r>
      <w:bookmarkEnd w:id="92"/>
      <w:bookmarkEnd w:id="93"/>
      <w:bookmarkEnd w:id="94"/>
    </w:p>
    <w:p w:rsidR="00536458" w:rsidRPr="003A38BA" w:rsidRDefault="00536458" w:rsidP="007C21AF">
      <w:pPr>
        <w:spacing w:after="120"/>
        <w:ind w:left="0" w:firstLine="0"/>
        <w:jc w:val="both"/>
      </w:pPr>
      <w:r>
        <w:t xml:space="preserve">Materiały do oznakowania i nośniki nie mogą zawierać dających się wyługować frakcji metali ciężkich, takich jak ołów, kadm bądź antymon. Obróbka wstępna próbek odbywa się zasadniczo zgodnie z Niemieckimi standardowymi metodami badania wody, ścieków i osadów, część S4 (DEV-S4). W uzupełnieniu metod określonych w normie DIN EN 1790, badanie to jest przeprowadzane w następujący sposób: </w:t>
      </w:r>
    </w:p>
    <w:p w:rsidR="00536458" w:rsidRPr="003A38BA" w:rsidRDefault="00536458" w:rsidP="007C21AF">
      <w:pPr>
        <w:ind w:left="0" w:firstLine="0"/>
        <w:jc w:val="both"/>
      </w:pPr>
      <w:r>
        <w:t>Dwie próbki folii o wielkości ok. 5 x 5 cm są ważone, a następnie spopielane w temperaturze 450 °C. Pozostałość jest roztwarzana i dokonuje się oznaczenia metali ciężkich zgodnie z normami ISO 11466 i ICP-OES lub AAS.</w:t>
      </w:r>
    </w:p>
    <w:p w:rsidR="00536458" w:rsidRPr="003A38BA" w:rsidRDefault="00536458" w:rsidP="007C21AF">
      <w:pPr>
        <w:pStyle w:val="Heading1"/>
        <w:numPr>
          <w:ilvl w:val="1"/>
          <w:numId w:val="5"/>
        </w:numPr>
        <w:jc w:val="both"/>
        <w:rPr>
          <w:sz w:val="24"/>
          <w:szCs w:val="24"/>
        </w:rPr>
      </w:pPr>
      <w:bookmarkStart w:id="95" w:name="_Urmusterprüfung_bei_Markierungsfolien"/>
      <w:bookmarkStart w:id="96" w:name="_Toc150173023"/>
      <w:bookmarkStart w:id="97" w:name="_Toc150174579"/>
      <w:bookmarkStart w:id="98" w:name="_Toc273346571"/>
      <w:bookmarkStart w:id="99" w:name="_Toc353893708"/>
      <w:bookmarkStart w:id="100" w:name="_Toc12481225"/>
      <w:bookmarkEnd w:id="95"/>
      <w:r>
        <w:rPr>
          <w:sz w:val="24"/>
          <w:szCs w:val="24"/>
        </w:rPr>
        <w:t>Badanie prototypu folii do oznakowania (metoda identyfikacji)</w:t>
      </w:r>
      <w:bookmarkEnd w:id="96"/>
      <w:bookmarkEnd w:id="97"/>
      <w:bookmarkEnd w:id="98"/>
      <w:bookmarkEnd w:id="99"/>
      <w:bookmarkEnd w:id="100"/>
    </w:p>
    <w:p w:rsidR="00536458" w:rsidRPr="003A38BA" w:rsidRDefault="00536458" w:rsidP="007C21AF">
      <w:pPr>
        <w:ind w:left="0" w:firstLine="0"/>
        <w:jc w:val="both"/>
      </w:pPr>
      <w:r>
        <w:t>Metody badania prototypu folii do oznakowania dróg są opisane w normie DIN EN 1790. Uzupełniające lub odmienne regulacje są opisane poniżej.</w:t>
      </w:r>
    </w:p>
    <w:p w:rsidR="00536458" w:rsidRPr="003A38BA" w:rsidRDefault="00536458" w:rsidP="007C21AF">
      <w:pPr>
        <w:pStyle w:val="Heading1"/>
        <w:numPr>
          <w:ilvl w:val="2"/>
          <w:numId w:val="5"/>
        </w:numPr>
        <w:ind w:left="1440" w:hanging="720"/>
        <w:jc w:val="both"/>
        <w:rPr>
          <w:sz w:val="24"/>
          <w:szCs w:val="24"/>
        </w:rPr>
      </w:pPr>
      <w:bookmarkStart w:id="101" w:name="_Toc150174580"/>
      <w:bookmarkStart w:id="102" w:name="_Toc273346572"/>
      <w:bookmarkStart w:id="103" w:name="_Toc353893709"/>
      <w:bookmarkStart w:id="104" w:name="_Toc12481226"/>
      <w:r>
        <w:rPr>
          <w:sz w:val="24"/>
          <w:szCs w:val="24"/>
        </w:rPr>
        <w:t>Rezerwowe próbki folii</w:t>
      </w:r>
      <w:bookmarkEnd w:id="101"/>
      <w:bookmarkEnd w:id="102"/>
      <w:bookmarkEnd w:id="103"/>
      <w:bookmarkEnd w:id="104"/>
    </w:p>
    <w:p w:rsidR="00536458" w:rsidRPr="003A38BA" w:rsidRDefault="00536458" w:rsidP="007C21AF">
      <w:pPr>
        <w:ind w:left="0" w:firstLine="0"/>
        <w:jc w:val="both"/>
      </w:pPr>
      <w:r>
        <w:t>Z folii zbadanych w ramach badania przydatności należy przechować próbki. Próbki rezerwowe mają długość ok. 1 m i są przechowywane w chłodnym i zaciemnionym miejscu.</w:t>
      </w:r>
    </w:p>
    <w:p w:rsidR="00536458" w:rsidRPr="003A38BA" w:rsidRDefault="00536458" w:rsidP="007C21AF">
      <w:pPr>
        <w:pStyle w:val="Heading1"/>
        <w:numPr>
          <w:ilvl w:val="2"/>
          <w:numId w:val="5"/>
        </w:numPr>
        <w:ind w:left="1440" w:hanging="720"/>
        <w:jc w:val="both"/>
        <w:rPr>
          <w:sz w:val="24"/>
          <w:szCs w:val="24"/>
        </w:rPr>
      </w:pPr>
      <w:bookmarkStart w:id="105" w:name="_Toc273346573"/>
      <w:bookmarkStart w:id="106" w:name="_Toc353893710"/>
      <w:bookmarkStart w:id="107" w:name="_Toc12481227"/>
      <w:r>
        <w:rPr>
          <w:sz w:val="24"/>
          <w:szCs w:val="24"/>
        </w:rPr>
        <w:t>Analiza obrazu folii do oznakowania dróg</w:t>
      </w:r>
      <w:bookmarkEnd w:id="105"/>
      <w:bookmarkEnd w:id="106"/>
      <w:bookmarkEnd w:id="107"/>
    </w:p>
    <w:p w:rsidR="00536458" w:rsidRPr="003A38BA" w:rsidRDefault="00536458" w:rsidP="007C21AF">
      <w:pPr>
        <w:ind w:left="0" w:firstLine="0"/>
        <w:jc w:val="both"/>
      </w:pPr>
      <w:r>
        <w:t>W uzupełnieniu metod określonych w normie DIN EN 1790 wykonywane są fotografie makroskopowe i mikroskopowe folii do oznakowania dróg. Aby umożliwić obiektywne porównanie wielkości zdjęć mikroskopowych, zasadniczo wstawiana jest skala.</w:t>
      </w:r>
    </w:p>
    <w:p w:rsidR="00536458" w:rsidRPr="003A38BA" w:rsidRDefault="00536458" w:rsidP="007C21AF">
      <w:pPr>
        <w:pStyle w:val="Heading1"/>
        <w:numPr>
          <w:ilvl w:val="2"/>
          <w:numId w:val="5"/>
        </w:numPr>
        <w:ind w:left="1440" w:hanging="720"/>
        <w:jc w:val="both"/>
        <w:rPr>
          <w:sz w:val="24"/>
          <w:szCs w:val="24"/>
        </w:rPr>
      </w:pPr>
      <w:bookmarkStart w:id="108" w:name="_Thermogrammetrische_Analyse_von"/>
      <w:bookmarkStart w:id="109" w:name="_Toc84303250"/>
      <w:bookmarkStart w:id="110" w:name="_Toc86465567"/>
      <w:bookmarkStart w:id="111" w:name="_Toc115598058"/>
      <w:bookmarkStart w:id="112" w:name="_Toc150174581"/>
      <w:bookmarkStart w:id="113" w:name="_Toc273346574"/>
      <w:bookmarkStart w:id="114" w:name="_Toc353893711"/>
      <w:bookmarkStart w:id="115" w:name="_Toc84303249"/>
      <w:bookmarkStart w:id="116" w:name="_Toc86465566"/>
      <w:bookmarkStart w:id="117" w:name="_Toc115598057"/>
      <w:bookmarkStart w:id="118" w:name="_Toc12481228"/>
      <w:bookmarkEnd w:id="108"/>
      <w:r>
        <w:rPr>
          <w:sz w:val="24"/>
          <w:szCs w:val="24"/>
        </w:rPr>
        <w:t>Analiza termograwimetryczna folii do oznakowania</w:t>
      </w:r>
      <w:bookmarkEnd w:id="109"/>
      <w:bookmarkEnd w:id="110"/>
      <w:bookmarkEnd w:id="111"/>
      <w:bookmarkEnd w:id="112"/>
      <w:bookmarkEnd w:id="113"/>
      <w:bookmarkEnd w:id="114"/>
      <w:bookmarkEnd w:id="118"/>
    </w:p>
    <w:p w:rsidR="00536458" w:rsidRPr="003A38BA" w:rsidRDefault="00536458" w:rsidP="007C21AF">
      <w:pPr>
        <w:ind w:left="0" w:firstLine="0"/>
        <w:jc w:val="both"/>
      </w:pPr>
      <w:r>
        <w:t>Folie do oznakowania są zazwyczaj wykonane z kilku różnorodnych składników możliwych do oddzielenia od siebie tylko przy dużym nakładzie pracy. Całkowita analiza chemiczna poszczególnych składników nie ma zatem sensu. Analiza termograwimetryczna według normy DIN EN 1790 daje jednak możliwość określenia w prosty sposób składu folii. Reprezentatywne kawałki folii są wybijane przebijakiem. W przypadku folii profilowanych próbki uzyskuje się z przestrzeni międzyprofilowych i z profili oraz uśrednia się w związku z tym wyniki termografii.</w:t>
      </w:r>
    </w:p>
    <w:p w:rsidR="00536458" w:rsidRPr="003A38BA" w:rsidRDefault="00FA1D3F" w:rsidP="007C21AF">
      <w:pPr>
        <w:ind w:left="0" w:firstLine="0"/>
        <w:jc w:val="both"/>
      </w:pPr>
      <w:r>
        <w:t>Próbki folii są nagrzewane w urządzeniu grzewczym, rozpoczynając od temperatury pokojowej, z prędkością nagrzewania 10 °C/min do temperatury 500 °C w atmosferze azotowej. Następnie przez 15 minut utrzymywana jest stała temperatura 500 °C, a po tym ma miejsce wyżarzanie z prędkością grzania 10°C/min w powietrzu syntetycznym do 1000 °C. Wskutek parowania składników lotnych i rozkładu termicznego bądź oksydacyjnego składników organicznych masa próbki zmniejsza się w charakterystyczny sposób. Masę próbki mierzy się w zależności od danej temperatury. Otrzymuje się termogram charakterystyczny dla próbki.</w:t>
      </w:r>
    </w:p>
    <w:p w:rsidR="00536458" w:rsidRPr="003A38BA" w:rsidRDefault="00536458" w:rsidP="007C21AF">
      <w:pPr>
        <w:pStyle w:val="Heading1"/>
        <w:numPr>
          <w:ilvl w:val="2"/>
          <w:numId w:val="5"/>
        </w:numPr>
        <w:ind w:left="1440" w:hanging="720"/>
        <w:jc w:val="both"/>
        <w:rPr>
          <w:sz w:val="24"/>
          <w:szCs w:val="24"/>
        </w:rPr>
      </w:pPr>
      <w:bookmarkStart w:id="119" w:name="_Toc150174582"/>
      <w:bookmarkStart w:id="120" w:name="_Toc273346575"/>
      <w:bookmarkStart w:id="121" w:name="_Toc353893712"/>
      <w:bookmarkStart w:id="122" w:name="_Toc12481229"/>
      <w:r>
        <w:rPr>
          <w:sz w:val="24"/>
          <w:szCs w:val="24"/>
        </w:rPr>
        <w:t>Analiza warstwy kleju folii</w:t>
      </w:r>
      <w:bookmarkEnd w:id="115"/>
      <w:bookmarkEnd w:id="116"/>
      <w:bookmarkEnd w:id="117"/>
      <w:bookmarkEnd w:id="119"/>
      <w:bookmarkEnd w:id="120"/>
      <w:bookmarkEnd w:id="121"/>
      <w:bookmarkEnd w:id="122"/>
    </w:p>
    <w:p w:rsidR="00536458" w:rsidRPr="003A38BA" w:rsidRDefault="00536458" w:rsidP="007C21AF">
      <w:pPr>
        <w:ind w:left="0" w:firstLine="0"/>
        <w:jc w:val="both"/>
      </w:pPr>
      <w:r>
        <w:t xml:space="preserve">Analiza warstwy kleju według normy DIN EN 1790 odbywa się w widmie podczerwieni w zakresie 600–4000 cm–1. Z uwagi na proste przygotowanie próbek stosuje się technikę ATR (ang. attenuated total reflection – metoda osłabionego całkowitego odbicia). </w:t>
      </w:r>
    </w:p>
    <w:p w:rsidR="009700EB" w:rsidRPr="003A38BA" w:rsidRDefault="00BB5DDD" w:rsidP="007C21AF">
      <w:pPr>
        <w:pStyle w:val="Heading1"/>
        <w:numPr>
          <w:ilvl w:val="2"/>
          <w:numId w:val="5"/>
        </w:numPr>
        <w:ind w:left="1440" w:hanging="720"/>
        <w:jc w:val="both"/>
        <w:rPr>
          <w:sz w:val="24"/>
          <w:szCs w:val="24"/>
        </w:rPr>
      </w:pPr>
      <w:bookmarkStart w:id="123" w:name="_Toc12481230"/>
      <w:r>
        <w:rPr>
          <w:sz w:val="24"/>
          <w:szCs w:val="24"/>
        </w:rPr>
        <w:lastRenderedPageBreak/>
        <w:t>Analiza primerów bitumicznych</w:t>
      </w:r>
      <w:bookmarkEnd w:id="123"/>
    </w:p>
    <w:p w:rsidR="009700EB" w:rsidRPr="003A38BA" w:rsidRDefault="00BB5DDD" w:rsidP="007C21AF">
      <w:pPr>
        <w:ind w:left="0" w:firstLine="0"/>
        <w:jc w:val="both"/>
      </w:pPr>
      <w:r>
        <w:t>Bitumiczne primery i powłoki gruntujące są charakteryzowane metodami fizycznymi. W tym celu określa się temperaturę mięknienia (zgodnie z DIN EN 1427), penetrację igłą (zgodnie z DIN EN 1426) i siłę rozciągania (zgodnie z EN 13589).</w:t>
      </w:r>
    </w:p>
    <w:p w:rsidR="00536458" w:rsidRPr="003A38BA" w:rsidRDefault="005F2E9C" w:rsidP="007C21AF">
      <w:pPr>
        <w:pStyle w:val="Heading1"/>
        <w:numPr>
          <w:ilvl w:val="1"/>
          <w:numId w:val="5"/>
        </w:numPr>
        <w:jc w:val="both"/>
        <w:rPr>
          <w:sz w:val="24"/>
          <w:szCs w:val="24"/>
        </w:rPr>
      </w:pPr>
      <w:bookmarkStart w:id="124" w:name="_Toc273346576"/>
      <w:bookmarkStart w:id="125" w:name="_Toc353893713"/>
      <w:bookmarkStart w:id="126" w:name="_Toc150173024"/>
      <w:bookmarkStart w:id="127" w:name="_Toc150174583"/>
      <w:bookmarkStart w:id="128" w:name="_Toc84303252"/>
      <w:bookmarkStart w:id="129" w:name="_Toc86465569"/>
      <w:bookmarkStart w:id="130" w:name="_Toc115598060"/>
      <w:bookmarkStart w:id="131" w:name="_Toc120375505"/>
      <w:bookmarkStart w:id="132" w:name="_Toc12481231"/>
      <w:r>
        <w:rPr>
          <w:sz w:val="24"/>
          <w:szCs w:val="24"/>
        </w:rPr>
        <w:t>Badanie prototypu nośników</w:t>
      </w:r>
      <w:bookmarkEnd w:id="124"/>
      <w:bookmarkEnd w:id="125"/>
      <w:bookmarkEnd w:id="126"/>
      <w:bookmarkEnd w:id="127"/>
      <w:bookmarkEnd w:id="132"/>
    </w:p>
    <w:p w:rsidR="00536458" w:rsidRPr="003A38BA" w:rsidRDefault="00536458" w:rsidP="007C21AF">
      <w:pPr>
        <w:pStyle w:val="Heading1"/>
        <w:numPr>
          <w:ilvl w:val="2"/>
          <w:numId w:val="5"/>
        </w:numPr>
        <w:ind w:left="1440" w:hanging="720"/>
        <w:jc w:val="both"/>
        <w:rPr>
          <w:sz w:val="24"/>
          <w:szCs w:val="24"/>
        </w:rPr>
      </w:pPr>
      <w:bookmarkStart w:id="133" w:name="_Toc273346577"/>
      <w:bookmarkStart w:id="134" w:name="_Toc353893714"/>
      <w:bookmarkStart w:id="135" w:name="_Toc150174584"/>
      <w:bookmarkStart w:id="136" w:name="_Toc12481232"/>
      <w:bookmarkEnd w:id="128"/>
      <w:bookmarkEnd w:id="129"/>
      <w:bookmarkEnd w:id="130"/>
      <w:bookmarkEnd w:id="131"/>
      <w:r>
        <w:rPr>
          <w:sz w:val="24"/>
          <w:szCs w:val="24"/>
        </w:rPr>
        <w:t>Analiza kulek refleksyjnych i kruszywa przeciwpoślizgowego (systemy do mieszania i systemy środków do posypywania)</w:t>
      </w:r>
      <w:bookmarkEnd w:id="133"/>
      <w:bookmarkEnd w:id="134"/>
      <w:bookmarkEnd w:id="136"/>
    </w:p>
    <w:p w:rsidR="00536458" w:rsidRPr="003A38BA" w:rsidRDefault="00536458" w:rsidP="007C21AF">
      <w:pPr>
        <w:ind w:left="0" w:firstLine="0"/>
        <w:jc w:val="both"/>
      </w:pPr>
      <w:r>
        <w:t>Wymagania względem mikrogranulek refleksyjnych i kruszywa przeciwpoślizgowego są opisane w normie DIN EN 1423 (środki do posypywania) i DIN EN 1424 (mikrogranulki do mieszania)</w:t>
      </w:r>
      <w:r w:rsidR="005C6B21" w:rsidRPr="003A38BA">
        <w:rPr>
          <w:rStyle w:val="FootnoteReference"/>
        </w:rPr>
        <w:footnoteReference w:id="4"/>
      </w:r>
      <w:r>
        <w:t xml:space="preserve">. Ponadto wymagania określone w załączniku C odnoszą się do środków do posypywania niezależnie od materiału i do mikrogranulek do mieszania dla mas termoplastycznych. </w:t>
      </w:r>
    </w:p>
    <w:p w:rsidR="007B668F" w:rsidRPr="003A38BA" w:rsidRDefault="00536458" w:rsidP="007C21AF">
      <w:pPr>
        <w:ind w:left="0" w:firstLine="0"/>
        <w:jc w:val="both"/>
      </w:pPr>
      <w:r>
        <w:t>Dzięki zastosowaniu opartej na technice wideo analizy cząstek i mikroskopii cyfrowej możliwe jest określenie w mieszance złożonej z mikrogranulek refleksyjnych i kruszywa przeciwpoślizgowego zarówno ich udziałów w mieszance, jak i uziarnienia oraz parametrów kształtu ziarna poszczególnych frakcji. Określenie współczynnika załamania odbywa się w razie potrzeby za pomocą odpowiednich cieczy imersyjnych pod mikroskopem cyfrowym. W przypadku mieszanin mikrogranulek refleksyjnych i kruszywa przeciwpoślizgowego należy podać oddzielnie wzajemny stosunek ich mas (m/m), identyczność i ciężar właściwy wszystkich używanych składników oraz krzywe przesiewu mikrogranulek refleksyjnych i kruszywa przeciwpoślizgowego. Identyczność składników i współczynnik załamania mikrogranulek refleksyjnych nie mogą zostać zmienione. Podać należy powłoki poprawiające przyczepność i/lub powłoki reaktywne.</w:t>
      </w:r>
    </w:p>
    <w:p w:rsidR="00E35384" w:rsidRPr="003A38BA" w:rsidRDefault="00B533DC" w:rsidP="007C21AF">
      <w:pPr>
        <w:ind w:left="0" w:firstLine="0"/>
        <w:jc w:val="both"/>
      </w:pPr>
      <w:r>
        <w:t xml:space="preserve">Od wielkości nominalnej 0,300 mm stosunek wielkości dwóch następujących po sobie sit jednej krzywej przesiewu nie może wynosić więcej niż 1,2. Regulacja ta odnosi się oddzielnie zarówno do mikrogranulek refleksyjnych, jak i do kruszywa przeciwpoślizgowego. </w:t>
      </w:r>
    </w:p>
    <w:p w:rsidR="00536458" w:rsidRPr="003A38BA" w:rsidRDefault="00536458" w:rsidP="007C21AF">
      <w:pPr>
        <w:pStyle w:val="Heading1"/>
        <w:numPr>
          <w:ilvl w:val="2"/>
          <w:numId w:val="5"/>
        </w:numPr>
        <w:ind w:left="1440" w:hanging="720"/>
        <w:jc w:val="both"/>
        <w:rPr>
          <w:sz w:val="24"/>
          <w:szCs w:val="24"/>
        </w:rPr>
      </w:pPr>
      <w:bookmarkStart w:id="137" w:name="_Toc273346578"/>
      <w:bookmarkStart w:id="138" w:name="_Toc353893715"/>
      <w:bookmarkStart w:id="139" w:name="_Toc12481233"/>
      <w:r>
        <w:rPr>
          <w:sz w:val="24"/>
          <w:szCs w:val="24"/>
        </w:rPr>
        <w:t>Analiza powłoki mikrogranulek refleksyjnych i kruszywa przeciwpoślizgowego</w:t>
      </w:r>
      <w:bookmarkEnd w:id="137"/>
      <w:bookmarkEnd w:id="138"/>
      <w:bookmarkEnd w:id="139"/>
    </w:p>
    <w:p w:rsidR="00536458" w:rsidRPr="003A38BA" w:rsidRDefault="00536458" w:rsidP="007C21AF">
      <w:pPr>
        <w:ind w:left="0" w:firstLine="0"/>
        <w:jc w:val="both"/>
      </w:pPr>
      <w:r>
        <w:t>Ważne związane z obciążeniem ruchem właściwości oznakowań dróg są osiągane dzięki bezbłędnemu i trwałemu złączeniu środków do posypywania z powierzchnią materiału do oznakowania. W celu poprawy przyczepności środków do posypywania z materiałem do oznakowania są one często powlekane silanem lub siloksanem. Substancje te powodują trwalsze osadzenie w lepiszczu materiału do oznakowania. Wyborowi materiału powłokowego odpowiedniego do odnośnego materiału do oznakowania przypisywane jest przy tym kluczowe znaczenie, ponieważ trwałość osadzenia może mieć wpływ na właściwości związane z obciążeniem ruchem i przynależne wartości zmierzone. Wybór jest dokonywany przez producenta materiału w porozumieniu z producentem środków do posypywania. W ramach badania prototypu należy w miarę możliwości wykazać materiał powłokowy.</w:t>
      </w:r>
    </w:p>
    <w:p w:rsidR="00536458" w:rsidRPr="003A38BA" w:rsidRDefault="00536458" w:rsidP="007C21AF">
      <w:pPr>
        <w:pStyle w:val="Heading1"/>
        <w:numPr>
          <w:ilvl w:val="2"/>
          <w:numId w:val="5"/>
        </w:numPr>
        <w:ind w:left="1440" w:hanging="720"/>
        <w:jc w:val="both"/>
        <w:rPr>
          <w:sz w:val="24"/>
          <w:szCs w:val="24"/>
        </w:rPr>
      </w:pPr>
      <w:bookmarkStart w:id="140" w:name="_Toc150174585"/>
      <w:bookmarkStart w:id="141" w:name="_Toc273346579"/>
      <w:bookmarkStart w:id="142" w:name="_Toc353893716"/>
      <w:bookmarkStart w:id="143" w:name="_Toc12481234"/>
      <w:bookmarkEnd w:id="135"/>
      <w:r>
        <w:rPr>
          <w:sz w:val="24"/>
          <w:szCs w:val="24"/>
        </w:rPr>
        <w:t>Analiza pozostałych nośników</w:t>
      </w:r>
      <w:bookmarkEnd w:id="140"/>
      <w:bookmarkEnd w:id="141"/>
      <w:bookmarkEnd w:id="142"/>
      <w:bookmarkEnd w:id="143"/>
    </w:p>
    <w:p w:rsidR="00536458" w:rsidRPr="003A38BA" w:rsidRDefault="00536458" w:rsidP="007C21AF">
      <w:pPr>
        <w:ind w:left="0" w:firstLine="0"/>
        <w:jc w:val="both"/>
      </w:pPr>
      <w:r>
        <w:t>Nośniki, takie jak środki do powłok gruntujących, primery, rozpuszczalniki itd., są analizowane tak jak farby do oznakowania. Odchodzi się od tego tylko w uzasadnionych przypadkach.</w:t>
      </w:r>
    </w:p>
    <w:p w:rsidR="00536458" w:rsidRPr="003A38BA" w:rsidRDefault="00536458" w:rsidP="007C21AF">
      <w:pPr>
        <w:ind w:left="0" w:firstLine="0"/>
        <w:jc w:val="both"/>
      </w:pPr>
      <w:r>
        <w:t>Utwardzacze (płynne lub stałe) są analizowane spektrometrem w podczerwieni. Przed analizą nie mogą one zostać wystawione na obciążenie termiczne. Metody badania odpowiadają opisanym w normie DIN EN 12802 metodom badania lepiszczy.</w:t>
      </w:r>
    </w:p>
    <w:p w:rsidR="00E5609C" w:rsidRPr="003A38BA" w:rsidRDefault="00E5609C" w:rsidP="007C21AF">
      <w:pPr>
        <w:pStyle w:val="Heading1"/>
        <w:pageBreakBefore/>
        <w:ind w:left="0" w:firstLine="0"/>
        <w:jc w:val="both"/>
        <w:rPr>
          <w:sz w:val="24"/>
          <w:szCs w:val="24"/>
        </w:rPr>
      </w:pPr>
      <w:bookmarkStart w:id="144" w:name="_Anhang_2"/>
      <w:bookmarkStart w:id="145" w:name="_Toc12481235"/>
      <w:bookmarkEnd w:id="144"/>
      <w:r>
        <w:rPr>
          <w:sz w:val="24"/>
          <w:szCs w:val="24"/>
        </w:rPr>
        <w:lastRenderedPageBreak/>
        <w:t>Załącznik A</w:t>
      </w:r>
      <w:bookmarkEnd w:id="145"/>
    </w:p>
    <w:p w:rsidR="00E5609C" w:rsidRPr="003A38BA" w:rsidRDefault="003E1828" w:rsidP="007C21AF">
      <w:pPr>
        <w:jc w:val="both"/>
      </w:pPr>
      <w:r>
        <w:t>Certyfikat badania</w:t>
      </w:r>
    </w:p>
    <w:p w:rsidR="003916B9" w:rsidRDefault="003916B9" w:rsidP="00E5609C"/>
    <w:p w:rsidR="0040352A" w:rsidRPr="008766C3" w:rsidRDefault="0040352A" w:rsidP="0040352A">
      <w:pPr>
        <w:tabs>
          <w:tab w:val="left" w:leader="hyphen" w:pos="8789"/>
        </w:tabs>
        <w:spacing w:after="60"/>
        <w:ind w:left="4820" w:firstLine="1134"/>
        <w:jc w:val="right"/>
        <w:rPr>
          <w:rFonts w:cs="Calibri"/>
        </w:rPr>
      </w:pPr>
      <w:r>
        <w:rPr>
          <w:color w:val="000000"/>
        </w:rPr>
        <w:t>Akredytowane laboratorium badawcze w zakresie produktów „oznakowania jezdni” Numer akredytacji</w:t>
      </w:r>
      <w:r>
        <w:rPr>
          <w:color w:val="000000"/>
        </w:rPr>
        <w:tab/>
      </w:r>
    </w:p>
    <w:p w:rsidR="0040352A" w:rsidRPr="008766C3" w:rsidRDefault="0040352A" w:rsidP="0040352A">
      <w:pPr>
        <w:spacing w:after="60"/>
        <w:ind w:left="0" w:firstLine="0"/>
        <w:rPr>
          <w:rFonts w:eastAsia="Times New Roman" w:cs="Calibri"/>
        </w:rPr>
      </w:pPr>
      <w:r>
        <w:rPr>
          <w:b/>
          <w:bCs/>
          <w:color w:val="000000"/>
        </w:rPr>
        <w:t>Certyfikat badania systemu oznakowania na stanowisku badawczym o ruchu obrotowym</w:t>
      </w:r>
    </w:p>
    <w:p w:rsidR="0040352A" w:rsidRPr="008766C3" w:rsidRDefault="0040352A" w:rsidP="0040352A">
      <w:pPr>
        <w:tabs>
          <w:tab w:val="left" w:leader="underscore" w:pos="3119"/>
        </w:tabs>
        <w:spacing w:after="60"/>
        <w:ind w:left="0" w:firstLine="0"/>
        <w:rPr>
          <w:rFonts w:eastAsia="Times New Roman" w:cs="Calibri"/>
        </w:rPr>
      </w:pPr>
      <w:r>
        <w:rPr>
          <w:b/>
          <w:bCs/>
          <w:color w:val="000000"/>
        </w:rPr>
        <w:t>Numer badania:</w:t>
      </w:r>
      <w:r>
        <w:rPr>
          <w:b/>
          <w:bCs/>
          <w:color w:val="000000"/>
        </w:rPr>
        <w:tab/>
      </w:r>
    </w:p>
    <w:p w:rsidR="0040352A" w:rsidRPr="008766C3" w:rsidRDefault="0040352A" w:rsidP="0040352A">
      <w:pPr>
        <w:numPr>
          <w:ilvl w:val="0"/>
          <w:numId w:val="16"/>
        </w:numPr>
        <w:spacing w:after="60"/>
        <w:ind w:left="284" w:hanging="284"/>
        <w:rPr>
          <w:rFonts w:eastAsia="Times New Roman" w:cs="Calibri"/>
          <w:b/>
          <w:bCs/>
          <w:color w:val="000000"/>
        </w:rPr>
      </w:pPr>
      <w:r>
        <w:rPr>
          <w:b/>
          <w:bCs/>
          <w:color w:val="000000"/>
        </w:rPr>
        <w:t>Wniosek</w:t>
      </w:r>
    </w:p>
    <w:p w:rsidR="0040352A" w:rsidRPr="008766C3" w:rsidRDefault="0040352A" w:rsidP="0040352A">
      <w:pPr>
        <w:tabs>
          <w:tab w:val="left" w:pos="1985"/>
          <w:tab w:val="left" w:leader="underscore" w:pos="3119"/>
        </w:tabs>
        <w:spacing w:after="60"/>
        <w:ind w:left="1985" w:hanging="1701"/>
        <w:rPr>
          <w:rFonts w:eastAsia="Times New Roman" w:cs="Calibri"/>
          <w:color w:val="000000"/>
        </w:rPr>
      </w:pPr>
      <w:r>
        <w:rPr>
          <w:color w:val="000000"/>
        </w:rPr>
        <w:t>Wnioskodawca:</w:t>
      </w:r>
      <w:r>
        <w:rPr>
          <w:color w:val="000000"/>
        </w:rPr>
        <w:tab/>
      </w:r>
      <w:r>
        <w:rPr>
          <w:color w:val="000000"/>
        </w:rPr>
        <w:tab/>
      </w:r>
    </w:p>
    <w:p w:rsidR="0040352A" w:rsidRPr="008766C3" w:rsidRDefault="0040352A" w:rsidP="0040352A">
      <w:pPr>
        <w:tabs>
          <w:tab w:val="left" w:pos="1985"/>
        </w:tabs>
        <w:spacing w:after="60"/>
        <w:ind w:left="1985" w:hanging="1701"/>
        <w:rPr>
          <w:rFonts w:eastAsia="Times New Roman" w:cs="Calibri"/>
          <w:color w:val="000000"/>
        </w:rPr>
      </w:pPr>
      <w:r>
        <w:rPr>
          <w:color w:val="000000"/>
        </w:rPr>
        <w:t>Przedmiot wniosku:</w:t>
      </w:r>
      <w:r>
        <w:rPr>
          <w:color w:val="000000"/>
        </w:rPr>
        <w:tab/>
        <w:t>Badanie odporności na ścieranie i związanych z obciążeniem ruchem właściwości systemu oznakowania w warunkach badania określonych w warunkach TP M (wydanie z lutego 2017 r.) i normie DIN EN 13 197 (wydanie z lipca 2014 r.). Klasy właściwości związanych z obciążeniem ruchem wynikają z normy DIN EN 1436 (wydanie ze stycznia 2009 r.).</w:t>
      </w:r>
    </w:p>
    <w:p w:rsidR="0040352A" w:rsidRPr="008766C3" w:rsidRDefault="0040352A" w:rsidP="0040352A">
      <w:pPr>
        <w:numPr>
          <w:ilvl w:val="0"/>
          <w:numId w:val="16"/>
        </w:numPr>
        <w:spacing w:after="60"/>
        <w:ind w:left="284" w:hanging="284"/>
        <w:rPr>
          <w:rFonts w:eastAsia="Times New Roman" w:cs="Calibri"/>
          <w:b/>
          <w:bCs/>
          <w:color w:val="000000"/>
        </w:rPr>
      </w:pPr>
      <w:r>
        <w:rPr>
          <w:b/>
          <w:bCs/>
          <w:color w:val="000000"/>
        </w:rPr>
        <w:t>Przedmiot badania</w:t>
      </w:r>
    </w:p>
    <w:p w:rsidR="0040352A" w:rsidRPr="008766C3" w:rsidRDefault="0040352A" w:rsidP="0040352A">
      <w:pPr>
        <w:tabs>
          <w:tab w:val="left" w:pos="4111"/>
          <w:tab w:val="left" w:leader="underscore" w:pos="5954"/>
        </w:tabs>
        <w:spacing w:after="60"/>
        <w:ind w:left="567" w:hanging="567"/>
        <w:rPr>
          <w:rFonts w:eastAsia="Times New Roman" w:cs="Calibri"/>
          <w:b/>
          <w:bCs/>
          <w:color w:val="000000"/>
        </w:rPr>
      </w:pPr>
      <w:r>
        <w:rPr>
          <w:b/>
          <w:bCs/>
          <w:color w:val="000000"/>
        </w:rPr>
        <w:t>2.1</w:t>
      </w:r>
      <w:r>
        <w:rPr>
          <w:b/>
          <w:bCs/>
          <w:color w:val="000000"/>
        </w:rPr>
        <w:tab/>
        <w:t>Rodzaj systemu oznakowania</w:t>
      </w:r>
      <w:r>
        <w:rPr>
          <w:b/>
          <w:bCs/>
          <w:color w:val="000000"/>
        </w:rPr>
        <w:tab/>
      </w:r>
      <w:r>
        <w:rPr>
          <w:b/>
          <w:bCs/>
          <w:color w:val="000000"/>
        </w:rP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nazwa systemu:</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nazwa materiału:</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producent materiału:</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rodzaj materiału:</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temperatura wykonania [°C]/</w:t>
      </w:r>
      <w:r>
        <w:br/>
        <w:t>stosunek składników receptury:</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grubość warstwy [pm] / ilość [kg/m2]:</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metoda nakładania:</w:t>
      </w:r>
      <w:r>
        <w:tab/>
      </w:r>
      <w:r>
        <w:tab/>
      </w:r>
    </w:p>
    <w:p w:rsidR="0040352A" w:rsidRPr="008766C3" w:rsidRDefault="0040352A" w:rsidP="0040352A">
      <w:pPr>
        <w:tabs>
          <w:tab w:val="left" w:pos="4111"/>
          <w:tab w:val="left" w:leader="underscore" w:pos="5954"/>
        </w:tabs>
        <w:spacing w:after="60"/>
        <w:ind w:left="567" w:hanging="567"/>
        <w:rPr>
          <w:rFonts w:eastAsia="Times New Roman" w:cs="Calibri"/>
          <w:b/>
          <w:bCs/>
          <w:color w:val="000000"/>
        </w:rPr>
      </w:pPr>
      <w:r>
        <w:rPr>
          <w:b/>
          <w:bCs/>
          <w:color w:val="000000"/>
        </w:rPr>
        <w:t>2.2</w:t>
      </w:r>
      <w:r>
        <w:rPr>
          <w:b/>
          <w:bCs/>
          <w:color w:val="000000"/>
        </w:rPr>
        <w:tab/>
        <w:t>Zastosowane nośniki</w:t>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ilość, producent, nazwa mikrogranulek refleksyjnych:</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kruszywo przeciwpoślizgowe:</w:t>
      </w:r>
      <w:r>
        <w:tab/>
      </w:r>
      <w:r>
        <w:rPr>
          <w:b/>
        </w:rPr>
        <w:tab/>
      </w:r>
      <w:r>
        <w:rPr>
          <w:b/>
        </w:rPr>
        <w:tab/>
        <w:t>zawarte jako mieszanina w stosunku</w:t>
      </w:r>
      <w:bookmarkStart w:id="146" w:name="_GoBack"/>
      <w:r>
        <w:rPr>
          <w:b/>
        </w:rPr>
        <w:t xml:space="preserve">  </w:t>
      </w:r>
      <w:bookmarkEnd w:id="146"/>
      <w:r>
        <w:rPr>
          <w:b/>
        </w:rPr>
        <w:t xml:space="preserve">      w mikrogranulkach refleksyjnych</w:t>
      </w:r>
    </w:p>
    <w:p w:rsidR="0040352A" w:rsidRPr="008766C3" w:rsidRDefault="0040352A" w:rsidP="0040352A">
      <w:pPr>
        <w:tabs>
          <w:tab w:val="left" w:pos="4111"/>
          <w:tab w:val="left" w:leader="underscore" w:pos="5954"/>
        </w:tabs>
        <w:spacing w:after="60"/>
        <w:ind w:left="567" w:hanging="567"/>
        <w:rPr>
          <w:rFonts w:eastAsia="Times New Roman" w:cs="Calibri"/>
          <w:color w:val="000000"/>
        </w:rPr>
      </w:pPr>
      <w:r>
        <w:rPr>
          <w:color w:val="000000"/>
        </w:rPr>
        <w:t>2.3</w:t>
      </w:r>
      <w:r>
        <w:rPr>
          <w:color w:val="000000"/>
        </w:rPr>
        <w:tab/>
        <w:t>Nałożenie zostało przeprowadzone odpowiednio do wytycznych wnioskodawcy wraz z podaniem ww. danych technicznych (o ile nie były mierzalne) w pomieszczeniach akredytowanego laboratorium badawczego przez nie same lub autoryzowaną przez nie jednostkę.</w:t>
      </w:r>
    </w:p>
    <w:p w:rsidR="0040352A" w:rsidRPr="008766C3" w:rsidRDefault="0040352A" w:rsidP="0040352A">
      <w:pPr>
        <w:numPr>
          <w:ilvl w:val="0"/>
          <w:numId w:val="16"/>
        </w:numPr>
        <w:spacing w:after="60"/>
        <w:ind w:left="284" w:hanging="284"/>
        <w:rPr>
          <w:rFonts w:eastAsia="Times New Roman" w:cs="Calibri"/>
          <w:b/>
          <w:bCs/>
          <w:color w:val="000000"/>
        </w:rPr>
      </w:pPr>
      <w:r>
        <w:rPr>
          <w:b/>
          <w:bCs/>
          <w:color w:val="000000"/>
        </w:rPr>
        <w:t>Wyniki badania:</w:t>
      </w:r>
    </w:p>
    <w:p w:rsidR="0040352A" w:rsidRPr="008766C3" w:rsidRDefault="0040352A" w:rsidP="0040352A">
      <w:pPr>
        <w:tabs>
          <w:tab w:val="left" w:pos="4111"/>
          <w:tab w:val="left" w:leader="underscore" w:pos="5954"/>
        </w:tabs>
        <w:spacing w:after="60"/>
        <w:ind w:left="567" w:hanging="567"/>
        <w:rPr>
          <w:rFonts w:cs="Calibri"/>
        </w:rPr>
      </w:pPr>
      <w:r>
        <w:rPr>
          <w:color w:val="000000"/>
        </w:rPr>
        <w:t>3.1</w:t>
      </w:r>
      <w:r>
        <w:rPr>
          <w:color w:val="000000"/>
        </w:rPr>
        <w:tab/>
        <w:t>Spełnione zostały wymagania dla klasy obciążenia ruchem P</w:t>
      </w:r>
      <w:r>
        <w:rPr>
          <w:color w:val="000000"/>
        </w:rPr>
        <w:tab/>
        <w:t>. W odniesieniu do poszczególnych właściwości związanych z obciążeniem ruchem osiągnięte zostały następujące klasy według normy DIN EN 1436:</w:t>
      </w:r>
    </w:p>
    <w:tbl>
      <w:tblPr>
        <w:tblW w:w="0" w:type="auto"/>
        <w:tblInd w:w="250" w:type="dxa"/>
        <w:tblLook w:val="04A0" w:firstRow="1" w:lastRow="0" w:firstColumn="1" w:lastColumn="0" w:noHBand="0" w:noVBand="1"/>
      </w:tblPr>
      <w:tblGrid>
        <w:gridCol w:w="3686"/>
        <w:gridCol w:w="2126"/>
        <w:gridCol w:w="2126"/>
      </w:tblGrid>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p>
        </w:tc>
        <w:tc>
          <w:tcPr>
            <w:tcW w:w="2126" w:type="dxa"/>
            <w:shd w:val="clear" w:color="auto" w:fill="auto"/>
          </w:tcPr>
          <w:p w:rsidR="0040352A" w:rsidRPr="008E0BFF" w:rsidRDefault="0040352A" w:rsidP="007E2174">
            <w:pPr>
              <w:spacing w:after="60"/>
              <w:ind w:left="0" w:firstLine="0"/>
              <w:jc w:val="center"/>
              <w:rPr>
                <w:rFonts w:cs="Calibri"/>
                <w:b/>
              </w:rPr>
            </w:pPr>
            <w:r>
              <w:rPr>
                <w:b/>
                <w:color w:val="000000"/>
              </w:rPr>
              <w:t>Stan nowości</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r>
              <w:rPr>
                <w:b/>
                <w:color w:val="000000"/>
              </w:rPr>
              <w:t>Stan używany</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przyczepność:</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r>
              <w:rPr>
                <w:b/>
              </w:rPr>
              <w:t>≥ S 1</w:t>
            </w:r>
          </w:p>
        </w:tc>
        <w:tc>
          <w:tcPr>
            <w:tcW w:w="2126" w:type="dxa"/>
            <w:shd w:val="clear" w:color="auto" w:fill="auto"/>
          </w:tcPr>
          <w:p w:rsidR="0040352A" w:rsidRPr="008E0BFF" w:rsidRDefault="0040352A" w:rsidP="007E2174">
            <w:pPr>
              <w:spacing w:after="60"/>
              <w:ind w:left="0" w:firstLine="0"/>
              <w:jc w:val="center"/>
              <w:rPr>
                <w:rFonts w:cs="Calibri"/>
                <w:b/>
              </w:rPr>
            </w:pPr>
            <w:r>
              <w:rPr>
                <w:b/>
              </w:rPr>
              <w:t>S</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widoczność w nocy, sucho:</w:t>
            </w:r>
          </w:p>
        </w:tc>
        <w:tc>
          <w:tcPr>
            <w:tcW w:w="2126" w:type="dxa"/>
            <w:shd w:val="clear" w:color="auto" w:fill="auto"/>
          </w:tcPr>
          <w:p w:rsidR="0040352A" w:rsidRPr="008E0BFF" w:rsidRDefault="0040352A" w:rsidP="007E2174">
            <w:pPr>
              <w:spacing w:after="60"/>
              <w:ind w:left="0" w:firstLine="0"/>
              <w:jc w:val="center"/>
              <w:rPr>
                <w:rFonts w:cs="Calibri"/>
                <w:b/>
              </w:rPr>
            </w:pPr>
            <w:r>
              <w:rPr>
                <w:b/>
              </w:rPr>
              <w:t>R</w:t>
            </w:r>
          </w:p>
        </w:tc>
        <w:tc>
          <w:tcPr>
            <w:tcW w:w="2126" w:type="dxa"/>
            <w:shd w:val="clear" w:color="auto" w:fill="auto"/>
          </w:tcPr>
          <w:p w:rsidR="0040352A" w:rsidRPr="008E0BFF" w:rsidRDefault="0040352A" w:rsidP="007E2174">
            <w:pPr>
              <w:spacing w:after="60"/>
              <w:ind w:left="0" w:firstLine="0"/>
              <w:jc w:val="center"/>
              <w:rPr>
                <w:rFonts w:cs="Calibri"/>
                <w:b/>
              </w:rPr>
            </w:pPr>
            <w:r>
              <w:rPr>
                <w:b/>
              </w:rPr>
              <w:t>R</w:t>
            </w:r>
          </w:p>
        </w:tc>
      </w:tr>
      <w:tr w:rsidR="0040352A" w:rsidRPr="008766C3" w:rsidTr="007E2174">
        <w:tc>
          <w:tcPr>
            <w:tcW w:w="3686" w:type="dxa"/>
            <w:shd w:val="clear" w:color="auto" w:fill="auto"/>
          </w:tcPr>
          <w:p w:rsidR="0040352A" w:rsidRPr="008766C3" w:rsidRDefault="0040352A" w:rsidP="007E2174">
            <w:pPr>
              <w:spacing w:after="60"/>
              <w:ind w:left="0" w:firstLine="0"/>
              <w:rPr>
                <w:rFonts w:cs="Calibri"/>
              </w:rPr>
            </w:pPr>
            <w:r>
              <w:t>- widoczność w nocy, mokro:</w:t>
            </w:r>
          </w:p>
        </w:tc>
        <w:tc>
          <w:tcPr>
            <w:tcW w:w="2126" w:type="dxa"/>
            <w:shd w:val="clear" w:color="auto" w:fill="auto"/>
          </w:tcPr>
          <w:p w:rsidR="0040352A" w:rsidRPr="008E0BFF" w:rsidRDefault="0040352A" w:rsidP="007E2174">
            <w:pPr>
              <w:spacing w:after="60"/>
              <w:ind w:left="0" w:firstLine="0"/>
              <w:jc w:val="center"/>
              <w:rPr>
                <w:rFonts w:cs="Calibri"/>
                <w:b/>
              </w:rPr>
            </w:pPr>
            <w:r>
              <w:rPr>
                <w:b/>
              </w:rPr>
              <w:t>RW</w:t>
            </w:r>
          </w:p>
        </w:tc>
        <w:tc>
          <w:tcPr>
            <w:tcW w:w="2126" w:type="dxa"/>
            <w:shd w:val="clear" w:color="auto" w:fill="auto"/>
          </w:tcPr>
          <w:p w:rsidR="0040352A" w:rsidRPr="008E0BFF" w:rsidRDefault="0040352A" w:rsidP="007E2174">
            <w:pPr>
              <w:spacing w:after="60"/>
              <w:ind w:left="0" w:firstLine="0"/>
              <w:jc w:val="center"/>
              <w:rPr>
                <w:rFonts w:cs="Calibri"/>
                <w:b/>
              </w:rPr>
            </w:pPr>
            <w:r>
              <w:rPr>
                <w:b/>
              </w:rPr>
              <w:t>RW</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widoczność w dzień:</w:t>
            </w:r>
          </w:p>
        </w:tc>
        <w:tc>
          <w:tcPr>
            <w:tcW w:w="2126" w:type="dxa"/>
            <w:shd w:val="clear" w:color="auto" w:fill="auto"/>
          </w:tcPr>
          <w:p w:rsidR="0040352A" w:rsidRPr="008E0BFF" w:rsidRDefault="0040352A" w:rsidP="007E2174">
            <w:pPr>
              <w:spacing w:after="60"/>
              <w:ind w:left="0" w:firstLine="0"/>
              <w:jc w:val="center"/>
              <w:rPr>
                <w:rFonts w:cs="Calibri"/>
                <w:b/>
              </w:rPr>
            </w:pPr>
            <w:r>
              <w:rPr>
                <w:b/>
              </w:rPr>
              <w:t>Q</w:t>
            </w:r>
          </w:p>
        </w:tc>
        <w:tc>
          <w:tcPr>
            <w:tcW w:w="2126" w:type="dxa"/>
            <w:shd w:val="clear" w:color="auto" w:fill="auto"/>
          </w:tcPr>
          <w:p w:rsidR="0040352A" w:rsidRPr="008E0BFF" w:rsidRDefault="0040352A" w:rsidP="007E2174">
            <w:pPr>
              <w:spacing w:after="60"/>
              <w:ind w:left="0" w:firstLine="0"/>
              <w:jc w:val="center"/>
              <w:rPr>
                <w:rFonts w:cs="Calibri"/>
                <w:b/>
              </w:rPr>
            </w:pPr>
            <w:r>
              <w:rPr>
                <w:b/>
              </w:rPr>
              <w:t>Q</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możliwość przejeżdżania:</w:t>
            </w:r>
          </w:p>
        </w:tc>
        <w:tc>
          <w:tcPr>
            <w:tcW w:w="2126" w:type="dxa"/>
            <w:shd w:val="clear" w:color="auto" w:fill="auto"/>
          </w:tcPr>
          <w:p w:rsidR="0040352A" w:rsidRPr="008E0BFF" w:rsidRDefault="0040352A" w:rsidP="007E2174">
            <w:pPr>
              <w:spacing w:after="60"/>
              <w:ind w:left="0" w:firstLine="0"/>
              <w:jc w:val="center"/>
              <w:rPr>
                <w:rFonts w:cs="Calibri"/>
                <w:b/>
              </w:rPr>
            </w:pPr>
            <w:r>
              <w:rPr>
                <w:b/>
              </w:rPr>
              <w:t>T</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p>
        </w:tc>
      </w:tr>
    </w:tbl>
    <w:p w:rsidR="0040352A" w:rsidRPr="008766C3" w:rsidRDefault="0040352A" w:rsidP="0040352A">
      <w:pPr>
        <w:tabs>
          <w:tab w:val="left" w:pos="4111"/>
          <w:tab w:val="left" w:leader="underscore" w:pos="5954"/>
        </w:tabs>
        <w:spacing w:after="60"/>
        <w:ind w:left="567" w:hanging="567"/>
        <w:rPr>
          <w:rFonts w:eastAsia="Times New Roman" w:cs="Calibri"/>
          <w:color w:val="000000"/>
        </w:rPr>
      </w:pPr>
      <w:r>
        <w:rPr>
          <w:color w:val="000000"/>
        </w:rPr>
        <w:lastRenderedPageBreak/>
        <w:t>3.2</w:t>
      </w:r>
      <w:r>
        <w:rPr>
          <w:color w:val="000000"/>
        </w:rPr>
        <w:tab/>
        <w:t>Spełnione zostały minimalne wymagania względem odporności na ścieranie 90% pozostałej powierzchni. Wyniki fizykochemicznego badania prototypu są w posiadaniu akredytowanego laboratorium badawczego.</w:t>
      </w:r>
    </w:p>
    <w:p w:rsidR="0040352A" w:rsidRPr="008766C3" w:rsidRDefault="0040352A" w:rsidP="0040352A">
      <w:pPr>
        <w:spacing w:after="60"/>
        <w:ind w:left="0" w:firstLine="0"/>
        <w:jc w:val="both"/>
        <w:rPr>
          <w:rFonts w:eastAsia="Times New Roman" w:cs="Calibri"/>
        </w:rPr>
      </w:pPr>
      <w:r>
        <w:rPr>
          <w:color w:val="000000"/>
        </w:rPr>
        <w:t>Ten certyfikat badania może zostać przekazany lub opublikowany tylko w całości. Przekazanie lub opublikowanie fragmentów wymaga pisemnej zgody akredytowanego laboratorium badawczego.</w:t>
      </w:r>
    </w:p>
    <w:p w:rsidR="0040352A" w:rsidRPr="008766C3" w:rsidRDefault="0040352A" w:rsidP="0040352A">
      <w:pPr>
        <w:tabs>
          <w:tab w:val="left" w:leader="underscore" w:pos="3119"/>
        </w:tabs>
        <w:spacing w:after="60"/>
        <w:ind w:left="0" w:firstLine="0"/>
        <w:rPr>
          <w:rFonts w:eastAsia="Times New Roman" w:cs="Calibri"/>
        </w:rPr>
      </w:pPr>
      <w:r>
        <w:rPr>
          <w:color w:val="000000"/>
        </w:rPr>
        <w:t>Bergisch Gladbach,</w:t>
      </w:r>
      <w:r>
        <w:rPr>
          <w:color w:val="000000"/>
        </w:rPr>
        <w:tab/>
      </w:r>
    </w:p>
    <w:p w:rsidR="0040352A" w:rsidRPr="008766C3" w:rsidRDefault="0040352A" w:rsidP="0040352A">
      <w:pPr>
        <w:spacing w:after="60"/>
        <w:ind w:left="0" w:firstLine="0"/>
        <w:rPr>
          <w:rFonts w:cs="Calibri"/>
          <w:color w:val="000000"/>
          <w:lang w:eastAsia="zh-CN"/>
        </w:rPr>
      </w:pPr>
    </w:p>
    <w:p w:rsidR="0040352A" w:rsidRPr="008766C3" w:rsidRDefault="0040352A" w:rsidP="0040352A">
      <w:pPr>
        <w:spacing w:after="60"/>
        <w:ind w:left="0" w:firstLine="0"/>
        <w:rPr>
          <w:rFonts w:cs="Calibri"/>
          <w:color w:val="000000"/>
          <w:lang w:eastAsia="zh-CN"/>
        </w:rPr>
      </w:pPr>
    </w:p>
    <w:p w:rsidR="0040352A" w:rsidRPr="008766C3" w:rsidRDefault="0040352A" w:rsidP="0040352A">
      <w:pPr>
        <w:tabs>
          <w:tab w:val="left" w:leader="underscore" w:pos="2410"/>
        </w:tabs>
        <w:spacing w:after="60"/>
        <w:ind w:left="0" w:firstLine="0"/>
        <w:rPr>
          <w:rFonts w:cs="Calibri"/>
          <w:color w:val="000000"/>
        </w:rPr>
      </w:pPr>
      <w:r>
        <w:rPr>
          <w:color w:val="000000"/>
        </w:rPr>
        <w:tab/>
      </w:r>
    </w:p>
    <w:p w:rsidR="0040352A" w:rsidRPr="008766C3" w:rsidRDefault="0040352A" w:rsidP="0040352A">
      <w:pPr>
        <w:spacing w:after="60"/>
        <w:ind w:left="0" w:firstLine="0"/>
        <w:rPr>
          <w:rFonts w:eastAsia="Times New Roman" w:cs="Calibri"/>
        </w:rPr>
      </w:pPr>
      <w:r>
        <w:rPr>
          <w:color w:val="000000"/>
        </w:rPr>
        <w:t>Nazwisko, funkcja</w:t>
      </w:r>
    </w:p>
    <w:p w:rsidR="0040352A" w:rsidRPr="008766C3" w:rsidRDefault="0040352A" w:rsidP="0040352A">
      <w:pPr>
        <w:rPr>
          <w:lang w:eastAsia="zh-CN"/>
        </w:rPr>
      </w:pPr>
    </w:p>
    <w:p w:rsidR="0040352A" w:rsidRPr="008766C3" w:rsidRDefault="0040352A" w:rsidP="0040352A">
      <w:pPr>
        <w:ind w:left="0" w:firstLine="0"/>
        <w:rPr>
          <w:lang w:eastAsia="zh-CN"/>
        </w:rPr>
      </w:pPr>
    </w:p>
    <w:p w:rsidR="0040352A" w:rsidRPr="008766C3" w:rsidRDefault="0040352A" w:rsidP="0040352A">
      <w:r>
        <w:t>Potwierdzenie badania</w:t>
      </w:r>
    </w:p>
    <w:p w:rsidR="0040352A" w:rsidRPr="008766C3" w:rsidRDefault="0040352A" w:rsidP="0040352A">
      <w:pPr>
        <w:rPr>
          <w:rFonts w:cs="Calibri"/>
          <w:lang w:eastAsia="zh-CN"/>
        </w:rPr>
      </w:pPr>
    </w:p>
    <w:p w:rsidR="0040352A" w:rsidRPr="008766C3" w:rsidRDefault="0040352A" w:rsidP="0040352A">
      <w:pPr>
        <w:rPr>
          <w:rFonts w:cs="Calibri"/>
          <w:lang w:eastAsia="zh-CN"/>
        </w:rPr>
      </w:pPr>
    </w:p>
    <w:p w:rsidR="0040352A" w:rsidRPr="008766C3" w:rsidRDefault="0040352A" w:rsidP="0040352A">
      <w:pPr>
        <w:rPr>
          <w:rFonts w:cs="Calibri"/>
          <w:lang w:eastAsia="zh-CN"/>
        </w:rPr>
      </w:pPr>
    </w:p>
    <w:tbl>
      <w:tblPr>
        <w:tblW w:w="0" w:type="auto"/>
        <w:tblInd w:w="108" w:type="dxa"/>
        <w:tblLook w:val="04A0" w:firstRow="1" w:lastRow="0" w:firstColumn="1" w:lastColumn="0" w:noHBand="0" w:noVBand="1"/>
      </w:tblPr>
      <w:tblGrid>
        <w:gridCol w:w="2268"/>
        <w:gridCol w:w="3828"/>
      </w:tblGrid>
      <w:tr w:rsidR="0040352A" w:rsidRPr="008766C3" w:rsidTr="007E2174">
        <w:tc>
          <w:tcPr>
            <w:tcW w:w="2268" w:type="dxa"/>
            <w:shd w:val="clear" w:color="auto" w:fill="auto"/>
          </w:tcPr>
          <w:p w:rsidR="0040352A" w:rsidRPr="008766C3" w:rsidRDefault="0040352A" w:rsidP="007E2174">
            <w:pPr>
              <w:ind w:left="-108" w:firstLine="0"/>
              <w:rPr>
                <w:rFonts w:cs="Calibri"/>
              </w:rPr>
            </w:pPr>
            <w:r>
              <w:t>Wnioskodawca</w:t>
            </w:r>
          </w:p>
        </w:tc>
        <w:tc>
          <w:tcPr>
            <w:tcW w:w="3828" w:type="dxa"/>
            <w:shd w:val="clear" w:color="auto" w:fill="auto"/>
          </w:tcPr>
          <w:p w:rsidR="0040352A" w:rsidRPr="008766C3" w:rsidRDefault="0040352A" w:rsidP="007E2174">
            <w:pPr>
              <w:ind w:left="0" w:firstLine="0"/>
              <w:jc w:val="right"/>
              <w:rPr>
                <w:rFonts w:eastAsia="Times New Roman" w:cs="Calibri"/>
                <w:color w:val="000000"/>
              </w:rPr>
            </w:pPr>
            <w:r>
              <w:rPr>
                <w:color w:val="000000"/>
              </w:rPr>
              <w:t>Państwa znak</w:t>
            </w:r>
          </w:p>
          <w:p w:rsidR="0040352A" w:rsidRPr="008766C3" w:rsidRDefault="0040352A" w:rsidP="007E2174">
            <w:pPr>
              <w:ind w:left="0" w:firstLine="0"/>
              <w:jc w:val="right"/>
              <w:rPr>
                <w:rFonts w:eastAsia="Times New Roman" w:cs="Calibri"/>
                <w:color w:val="000000"/>
              </w:rPr>
            </w:pPr>
            <w:r>
              <w:rPr>
                <w:color w:val="000000"/>
              </w:rPr>
              <w:t>Państwa pismo z dnia</w:t>
            </w:r>
            <w:r>
              <w:rPr>
                <w:color w:val="000000"/>
              </w:rPr>
              <w:br/>
              <w:t>Nasz znak</w:t>
            </w:r>
            <w:r>
              <w:rPr>
                <w:color w:val="000000"/>
              </w:rPr>
              <w:br/>
              <w:t>Udzielona informacja</w:t>
            </w:r>
            <w:r>
              <w:rPr>
                <w:color w:val="000000"/>
              </w:rPr>
              <w:br/>
              <w:t>Telefon</w:t>
            </w:r>
            <w:r>
              <w:rPr>
                <w:color w:val="000000"/>
              </w:rPr>
              <w:br/>
              <w:t>Faks</w:t>
            </w:r>
            <w:r>
              <w:rPr>
                <w:color w:val="000000"/>
              </w:rPr>
              <w:br/>
              <w:t>E-mail</w:t>
            </w:r>
          </w:p>
          <w:p w:rsidR="0040352A" w:rsidRPr="008766C3" w:rsidRDefault="0040352A" w:rsidP="007E2174">
            <w:pPr>
              <w:ind w:left="0" w:firstLine="0"/>
              <w:jc w:val="right"/>
              <w:rPr>
                <w:rFonts w:eastAsia="Times New Roman" w:cs="Calibri"/>
                <w:color w:val="000000"/>
                <w:lang w:eastAsia="de-DE"/>
              </w:rPr>
            </w:pPr>
          </w:p>
          <w:p w:rsidR="0040352A" w:rsidRPr="008766C3" w:rsidRDefault="0040352A" w:rsidP="007E2174">
            <w:pPr>
              <w:ind w:left="0" w:firstLine="0"/>
              <w:jc w:val="right"/>
              <w:rPr>
                <w:rFonts w:eastAsia="Times New Roman" w:cs="Calibri"/>
                <w:color w:val="000000"/>
              </w:rPr>
            </w:pPr>
            <w:r>
              <w:rPr>
                <w:color w:val="000000"/>
              </w:rPr>
              <w:t>Data</w:t>
            </w:r>
          </w:p>
        </w:tc>
      </w:tr>
    </w:tbl>
    <w:p w:rsidR="0040352A" w:rsidRPr="008766C3" w:rsidRDefault="0040352A" w:rsidP="0040352A">
      <w:pPr>
        <w:rPr>
          <w:rFonts w:cs="Calibri"/>
          <w:lang w:eastAsia="zh-CN"/>
        </w:rPr>
      </w:pPr>
    </w:p>
    <w:p w:rsidR="0040352A" w:rsidRDefault="0040352A" w:rsidP="0040352A">
      <w:pPr>
        <w:ind w:left="0" w:firstLine="0"/>
        <w:rPr>
          <w:rFonts w:cs="Calibri"/>
          <w:b/>
          <w:bCs/>
          <w:color w:val="000000"/>
          <w:u w:val="single"/>
        </w:rPr>
      </w:pPr>
      <w:r>
        <w:rPr>
          <w:b/>
          <w:bCs/>
          <w:color w:val="000000"/>
        </w:rPr>
        <w:t>Potwierdzenie badania systemu oznakowania na stanowisku badawczym o ruchu obrotowym Numer badania:</w:t>
      </w:r>
      <w:r>
        <w:rPr>
          <w:b/>
          <w:bCs/>
          <w:color w:val="000000"/>
          <w:u w:val="single"/>
        </w:rPr>
        <w:tab/>
      </w:r>
    </w:p>
    <w:p w:rsidR="0040352A" w:rsidRPr="008E0BFF" w:rsidRDefault="0040352A" w:rsidP="0040352A">
      <w:pPr>
        <w:ind w:left="0" w:firstLine="0"/>
        <w:rPr>
          <w:rFonts w:cs="Calibri"/>
          <w:lang w:eastAsia="zh-CN"/>
        </w:rPr>
      </w:pPr>
    </w:p>
    <w:p w:rsidR="0040352A" w:rsidRPr="008766C3" w:rsidRDefault="0040352A" w:rsidP="0040352A">
      <w:pPr>
        <w:ind w:left="0" w:firstLine="0"/>
        <w:rPr>
          <w:rFonts w:eastAsia="Times New Roman" w:cs="Calibri"/>
        </w:rPr>
      </w:pPr>
      <w:r>
        <w:rPr>
          <w:color w:val="000000"/>
        </w:rPr>
        <w:t>System oznakowania typu</w:t>
      </w:r>
      <w:r w:rsidRPr="00A66784">
        <w:rPr>
          <w:color w:val="000000"/>
          <w:u w:val="single"/>
        </w:rPr>
        <w:tab/>
      </w:r>
      <w:r>
        <w:rPr>
          <w:color w:val="000000"/>
        </w:rPr>
        <w:t>z</w:t>
      </w:r>
      <w:r w:rsidRPr="00A66784">
        <w:rPr>
          <w:color w:val="000000"/>
          <w:u w:val="single"/>
        </w:rPr>
        <w:tab/>
      </w:r>
      <w:r>
        <w:rPr>
          <w:color w:val="000000"/>
        </w:rPr>
        <w:t>o podanym wyżej numerze badania został zbadany na stanowisku badawczym o ruchu obrotowym według normy DIN EN 13197 (wydanie z lipca 2014 r.) do klasy obciążenia ruchem P</w:t>
      </w:r>
      <w:r w:rsidRPr="00A66784">
        <w:rPr>
          <w:color w:val="000000"/>
          <w:u w:val="single"/>
        </w:rPr>
        <w:tab/>
      </w:r>
      <w:r>
        <w:rPr>
          <w:color w:val="000000"/>
        </w:rPr>
        <w:t>(</w:t>
      </w:r>
      <w:r w:rsidRPr="00A66784">
        <w:rPr>
          <w:color w:val="000000"/>
          <w:u w:val="single"/>
        </w:rPr>
        <w:tab/>
      </w:r>
      <w:r>
        <w:rPr>
          <w:color w:val="000000"/>
        </w:rPr>
        <w:t xml:space="preserve"> przejechań) i spełnia niniejszym wszystkie określone w normie DIN EN 1436</w:t>
      </w:r>
    </w:p>
    <w:p w:rsidR="0040352A" w:rsidRPr="008766C3" w:rsidRDefault="0040352A" w:rsidP="0040352A">
      <w:pPr>
        <w:ind w:left="0" w:firstLine="0"/>
        <w:rPr>
          <w:rFonts w:eastAsia="Times New Roman" w:cs="Calibri"/>
        </w:rPr>
      </w:pPr>
      <w:r>
        <w:rPr>
          <w:color w:val="000000"/>
        </w:rPr>
        <w:t>(wydanie ze stycznia 2009 r.) minimalne wymagania dotyczące właściwości związanych z obciążeniem ruchem.</w:t>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nazwa systemu:</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materiał:</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grubość warstwy wilgoci:</w:t>
      </w:r>
      <w:r>
        <w:tab/>
      </w:r>
      <w:r>
        <w:tab/>
      </w:r>
    </w:p>
    <w:p w:rsidR="0040352A" w:rsidRPr="008766C3" w:rsidRDefault="0040352A" w:rsidP="0040352A">
      <w:pPr>
        <w:tabs>
          <w:tab w:val="left" w:pos="567"/>
          <w:tab w:val="left" w:pos="4536"/>
          <w:tab w:val="right" w:leader="underscore" w:pos="5954"/>
        </w:tabs>
        <w:spacing w:after="60"/>
        <w:ind w:left="4536" w:hanging="4252"/>
        <w:rPr>
          <w:rFonts w:eastAsia="Times New Roman" w:cs="Calibri"/>
        </w:rPr>
      </w:pPr>
      <w:r>
        <w:t>-</w:t>
      </w:r>
      <w:r>
        <w:tab/>
        <w:t>środki do posypywania (ilość/producent/nazwa):</w:t>
      </w:r>
      <w:r>
        <w:tab/>
      </w:r>
      <w:r>
        <w:tab/>
      </w:r>
      <w:r>
        <w:rPr>
          <w:b/>
          <w:bCs/>
          <w:color w:val="000000"/>
        </w:rPr>
        <w:t>g/m</w:t>
      </w:r>
      <w:r>
        <w:rPr>
          <w:b/>
          <w:bCs/>
          <w:color w:val="000000"/>
          <w:vertAlign w:val="superscript"/>
        </w:rPr>
        <w:t>2</w:t>
      </w:r>
      <w:r>
        <w:rPr>
          <w:b/>
          <w:bCs/>
          <w:color w:val="000000"/>
        </w:rPr>
        <w:t>,</w:t>
      </w:r>
      <w:r>
        <w:rPr>
          <w:b/>
          <w:bCs/>
          <w:color w:val="000000"/>
          <w:u w:val="single"/>
        </w:rPr>
        <w:tab/>
      </w:r>
      <w:r>
        <w:rPr>
          <w:b/>
          <w:bCs/>
          <w:color w:val="000000"/>
        </w:rPr>
        <w:br/>
      </w:r>
      <w:r>
        <w:rPr>
          <w:b/>
          <w:bCs/>
          <w:color w:val="000000"/>
        </w:rPr>
        <w:tab/>
      </w:r>
      <w:r>
        <w:rPr>
          <w:b/>
          <w:bCs/>
          <w:color w:val="000000"/>
        </w:rPr>
        <w:tab/>
        <w:t>zawarte jako mieszanina w stosunku        w mikrogranulkach refleksyjnych</w:t>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metoda nakładania:</w:t>
      </w:r>
      <w:r>
        <w:tab/>
      </w:r>
      <w:r>
        <w:tab/>
      </w:r>
    </w:p>
    <w:p w:rsidR="0040352A" w:rsidRPr="008766C3" w:rsidRDefault="0040352A" w:rsidP="0040352A">
      <w:pPr>
        <w:tabs>
          <w:tab w:val="left" w:pos="567"/>
          <w:tab w:val="left" w:pos="4536"/>
          <w:tab w:val="right" w:leader="underscore" w:pos="5954"/>
        </w:tabs>
        <w:spacing w:after="60"/>
        <w:ind w:left="4536" w:hanging="4252"/>
        <w:rPr>
          <w:rFonts w:cs="Calibri"/>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126"/>
        <w:gridCol w:w="579"/>
        <w:gridCol w:w="579"/>
        <w:gridCol w:w="579"/>
        <w:gridCol w:w="579"/>
        <w:gridCol w:w="289"/>
        <w:gridCol w:w="290"/>
        <w:gridCol w:w="579"/>
        <w:gridCol w:w="579"/>
        <w:gridCol w:w="579"/>
        <w:gridCol w:w="579"/>
      </w:tblGrid>
      <w:tr w:rsidR="0040352A" w:rsidRPr="008766C3" w:rsidTr="007E2174">
        <w:tc>
          <w:tcPr>
            <w:tcW w:w="4077" w:type="dxa"/>
            <w:gridSpan w:val="2"/>
            <w:vMerge w:val="restart"/>
            <w:shd w:val="pct30"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b/>
                <w:bCs/>
                <w:color w:val="000000"/>
                <w:sz w:val="20"/>
                <w:szCs w:val="20"/>
              </w:rPr>
            </w:pPr>
            <w:r>
              <w:rPr>
                <w:b/>
                <w:bCs/>
                <w:color w:val="000000"/>
                <w:sz w:val="20"/>
                <w:szCs w:val="20"/>
              </w:rPr>
              <w:t>Właściwości</w:t>
            </w:r>
          </w:p>
        </w:tc>
        <w:tc>
          <w:tcPr>
            <w:tcW w:w="5211" w:type="dxa"/>
            <w:gridSpan w:val="10"/>
            <w:tcBorders>
              <w:bottom w:val="nil"/>
            </w:tcBorders>
            <w:shd w:val="pct12" w:color="auto" w:fill="auto"/>
            <w:vAlign w:val="center"/>
          </w:tcPr>
          <w:p w:rsidR="0040352A" w:rsidRPr="008766C3" w:rsidRDefault="0040352A" w:rsidP="007E2174">
            <w:pPr>
              <w:ind w:left="0" w:firstLine="0"/>
              <w:jc w:val="center"/>
              <w:rPr>
                <w:rFonts w:cs="Calibri"/>
                <w:b/>
                <w:bCs/>
                <w:color w:val="000000"/>
                <w:sz w:val="20"/>
                <w:szCs w:val="20"/>
              </w:rPr>
            </w:pPr>
            <w:r>
              <w:rPr>
                <w:b/>
                <w:bCs/>
                <w:color w:val="000000"/>
                <w:sz w:val="20"/>
                <w:szCs w:val="20"/>
              </w:rPr>
              <w:t>Liczba przejechań [mln]</w:t>
            </w:r>
          </w:p>
        </w:tc>
      </w:tr>
      <w:tr w:rsidR="0040352A" w:rsidRPr="008766C3" w:rsidTr="007E2174">
        <w:tc>
          <w:tcPr>
            <w:tcW w:w="4077" w:type="dxa"/>
            <w:gridSpan w:val="2"/>
            <w:vMerge/>
            <w:tcBorders>
              <w:bottom w:val="single" w:sz="4" w:space="0" w:color="000000"/>
            </w:tcBorders>
            <w:shd w:val="pct30"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0,01</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0,1</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0,2</w:t>
            </w:r>
          </w:p>
        </w:tc>
        <w:tc>
          <w:tcPr>
            <w:tcW w:w="579" w:type="dxa"/>
            <w:gridSpan w:val="2"/>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0,5</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1,0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2,0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3,0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4,0</w:t>
            </w:r>
          </w:p>
        </w:tc>
      </w:tr>
      <w:tr w:rsidR="0040352A" w:rsidRPr="008766C3" w:rsidTr="007E2174">
        <w:tc>
          <w:tcPr>
            <w:tcW w:w="4077" w:type="dxa"/>
            <w:gridSpan w:val="2"/>
            <w:shd w:val="pct15"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Odporność na ścieranie [%]</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color w:val="000000"/>
                <w:sz w:val="20"/>
                <w:szCs w:val="20"/>
              </w:rPr>
              <w:t>Przyczepność [jednostki SRT]</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1951" w:type="dxa"/>
            <w:shd w:val="pct15" w:color="auto" w:fill="auto"/>
            <w:vAlign w:val="center"/>
          </w:tcPr>
          <w:p w:rsidR="0040352A" w:rsidRPr="008766C3" w:rsidRDefault="0040352A" w:rsidP="007E2174">
            <w:pPr>
              <w:ind w:left="0" w:firstLine="0"/>
              <w:rPr>
                <w:rFonts w:cs="Calibri"/>
                <w:sz w:val="20"/>
                <w:szCs w:val="20"/>
              </w:rPr>
            </w:pPr>
            <w:r>
              <w:rPr>
                <w:color w:val="000000"/>
                <w:sz w:val="20"/>
                <w:szCs w:val="20"/>
              </w:rPr>
              <w:t>Widoczność w nocy</w:t>
            </w:r>
          </w:p>
        </w:tc>
        <w:tc>
          <w:tcPr>
            <w:tcW w:w="2126" w:type="dxa"/>
            <w:shd w:val="pct15" w:color="auto" w:fill="auto"/>
            <w:vAlign w:val="center"/>
          </w:tcPr>
          <w:p w:rsidR="0040352A" w:rsidRPr="008766C3" w:rsidRDefault="0040352A" w:rsidP="007E2174">
            <w:pPr>
              <w:ind w:left="0" w:firstLine="0"/>
              <w:rPr>
                <w:rFonts w:cs="Calibri"/>
                <w:sz w:val="20"/>
                <w:szCs w:val="20"/>
              </w:rPr>
            </w:pPr>
            <w:r>
              <w:rPr>
                <w:color w:val="000000"/>
                <w:sz w:val="20"/>
                <w:szCs w:val="20"/>
              </w:rPr>
              <w:t>na sucho</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1951" w:type="dxa"/>
            <w:shd w:val="pct15"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RL [mcd · m-2 · lx-1]</w:t>
            </w:r>
          </w:p>
        </w:tc>
        <w:tc>
          <w:tcPr>
            <w:tcW w:w="2126" w:type="dxa"/>
            <w:shd w:val="pct15" w:color="auto" w:fill="auto"/>
            <w:vAlign w:val="center"/>
          </w:tcPr>
          <w:p w:rsidR="0040352A" w:rsidRPr="008766C3" w:rsidRDefault="0040352A" w:rsidP="007E2174">
            <w:pPr>
              <w:ind w:left="0" w:firstLine="0"/>
              <w:rPr>
                <w:rFonts w:cs="Calibri"/>
                <w:sz w:val="20"/>
                <w:szCs w:val="20"/>
              </w:rPr>
            </w:pPr>
            <w:r>
              <w:rPr>
                <w:color w:val="000000"/>
                <w:sz w:val="20"/>
                <w:szCs w:val="20"/>
              </w:rPr>
              <w:t>na mokro, pochylenie 2 %</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vertAlign w:val="superscript"/>
              </w:rPr>
            </w:pPr>
            <w:r>
              <w:rPr>
                <w:sz w:val="20"/>
                <w:szCs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sz w:val="20"/>
                <w:szCs w:val="20"/>
              </w:rPr>
              <w:lastRenderedPageBreak/>
              <w:t>Widoczność w dzień Qd [mcd · m-2 · lx-1]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color w:val="000000"/>
                <w:sz w:val="20"/>
                <w:szCs w:val="20"/>
              </w:rPr>
              <w:t>Współrzędne trójchromatyczne</w:t>
            </w:r>
          </w:p>
        </w:tc>
        <w:tc>
          <w:tcPr>
            <w:tcW w:w="2605" w:type="dxa"/>
            <w:gridSpan w:val="5"/>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rPr>
              <w:t>x =</w:t>
            </w:r>
          </w:p>
        </w:tc>
        <w:tc>
          <w:tcPr>
            <w:tcW w:w="2606" w:type="dxa"/>
            <w:gridSpan w:val="5"/>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rPr>
              <w:t>y =</w:t>
            </w:r>
          </w:p>
        </w:tc>
      </w:tr>
    </w:tbl>
    <w:p w:rsidR="0040352A" w:rsidRPr="008766C3" w:rsidRDefault="0040352A" w:rsidP="0040352A">
      <w:pPr>
        <w:ind w:left="0" w:firstLine="0"/>
        <w:rPr>
          <w:rFonts w:eastAsia="Times New Roman" w:cs="Calibri"/>
          <w:sz w:val="20"/>
          <w:szCs w:val="20"/>
        </w:rPr>
      </w:pPr>
      <w:r>
        <w:rPr>
          <w:b/>
          <w:bCs/>
          <w:color w:val="000000"/>
          <w:sz w:val="20"/>
          <w:szCs w:val="20"/>
        </w:rPr>
        <w:t>1) Wartość ta służy wyłącznie do informacji wnioskodawcy.</w:t>
      </w:r>
    </w:p>
    <w:p w:rsidR="0040352A" w:rsidRPr="008766C3" w:rsidRDefault="0040352A" w:rsidP="0040352A">
      <w:pPr>
        <w:tabs>
          <w:tab w:val="left" w:pos="567"/>
          <w:tab w:val="left" w:pos="4536"/>
          <w:tab w:val="right" w:leader="underscore" w:pos="5954"/>
        </w:tabs>
        <w:spacing w:after="60"/>
        <w:ind w:left="4536" w:hanging="4252"/>
        <w:rPr>
          <w:rFonts w:cs="Calibri"/>
          <w:lang w:eastAsia="zh-CN"/>
        </w:rPr>
      </w:pPr>
    </w:p>
    <w:p w:rsidR="0040352A" w:rsidRPr="008766C3" w:rsidRDefault="0040352A" w:rsidP="0040352A">
      <w:pPr>
        <w:ind w:left="0" w:firstLine="0"/>
        <w:rPr>
          <w:rFonts w:eastAsia="Times New Roman" w:cs="Calibri"/>
        </w:rPr>
      </w:pPr>
      <w:r>
        <w:rPr>
          <w:color w:val="000000"/>
        </w:rPr>
        <w:t>Z upoważnienia</w:t>
      </w:r>
    </w:p>
    <w:p w:rsidR="0040352A" w:rsidRPr="008766C3" w:rsidRDefault="0040352A" w:rsidP="0040352A">
      <w:pPr>
        <w:tabs>
          <w:tab w:val="left" w:pos="567"/>
          <w:tab w:val="left" w:pos="4536"/>
          <w:tab w:val="right" w:leader="underscore" w:pos="5954"/>
        </w:tabs>
        <w:spacing w:after="60"/>
        <w:ind w:left="4536" w:hanging="4252"/>
        <w:rPr>
          <w:rFonts w:cs="Calibri"/>
          <w:lang w:eastAsia="zh-CN"/>
        </w:rPr>
      </w:pPr>
    </w:p>
    <w:p w:rsidR="0040352A" w:rsidRPr="008766C3" w:rsidRDefault="0040352A" w:rsidP="0040352A">
      <w:pPr>
        <w:tabs>
          <w:tab w:val="left" w:leader="underscore" w:pos="2410"/>
        </w:tabs>
        <w:spacing w:after="60"/>
        <w:ind w:left="0" w:firstLine="0"/>
        <w:rPr>
          <w:rFonts w:cs="Calibri"/>
          <w:color w:val="000000"/>
          <w:sz w:val="20"/>
          <w:szCs w:val="20"/>
        </w:rPr>
      </w:pPr>
      <w:r>
        <w:rPr>
          <w:color w:val="000000"/>
          <w:sz w:val="20"/>
          <w:szCs w:val="20"/>
        </w:rPr>
        <w:tab/>
      </w:r>
    </w:p>
    <w:p w:rsidR="0040352A" w:rsidRPr="008766C3" w:rsidRDefault="0040352A" w:rsidP="0040352A">
      <w:pPr>
        <w:spacing w:after="60"/>
        <w:ind w:left="0" w:firstLine="0"/>
        <w:rPr>
          <w:rFonts w:eastAsia="Times New Roman" w:cs="Calibri"/>
          <w:sz w:val="20"/>
          <w:szCs w:val="20"/>
        </w:rPr>
      </w:pPr>
      <w:r>
        <w:rPr>
          <w:color w:val="000000"/>
          <w:sz w:val="20"/>
          <w:szCs w:val="20"/>
        </w:rPr>
        <w:t>Nazwisko, funkcja</w:t>
      </w:r>
    </w:p>
    <w:p w:rsidR="0040352A" w:rsidRDefault="0040352A" w:rsidP="0040352A">
      <w:pPr>
        <w:spacing w:after="60"/>
        <w:ind w:left="0" w:firstLine="0"/>
        <w:rPr>
          <w:rFonts w:cs="Calibri"/>
          <w:lang w:eastAsia="zh-CN"/>
        </w:rPr>
      </w:pPr>
    </w:p>
    <w:p w:rsidR="0040352A" w:rsidRPr="008766C3" w:rsidRDefault="0040352A" w:rsidP="0040352A">
      <w:pPr>
        <w:spacing w:after="60"/>
        <w:ind w:left="0" w:firstLine="0"/>
        <w:rPr>
          <w:rFonts w:cs="Calibri"/>
        </w:rPr>
      </w:pPr>
      <w:r>
        <w:t>Strona 1</w:t>
      </w:r>
    </w:p>
    <w:p w:rsidR="00B521EE" w:rsidRPr="003A38BA" w:rsidRDefault="00B521EE" w:rsidP="003E3497">
      <w:pPr>
        <w:pStyle w:val="Heading1"/>
        <w:pageBreakBefore/>
        <w:ind w:left="0" w:firstLine="0"/>
        <w:jc w:val="both"/>
        <w:rPr>
          <w:sz w:val="24"/>
          <w:szCs w:val="24"/>
        </w:rPr>
      </w:pPr>
      <w:bookmarkStart w:id="147" w:name="_Toc150173029"/>
      <w:bookmarkStart w:id="148" w:name="_Toc273346590"/>
      <w:bookmarkStart w:id="149" w:name="_Toc12481236"/>
      <w:r>
        <w:rPr>
          <w:sz w:val="24"/>
          <w:szCs w:val="24"/>
        </w:rPr>
        <w:lastRenderedPageBreak/>
        <w:t xml:space="preserve">Załącznik </w:t>
      </w:r>
      <w:bookmarkEnd w:id="147"/>
      <w:bookmarkEnd w:id="148"/>
      <w:r>
        <w:rPr>
          <w:sz w:val="24"/>
          <w:szCs w:val="24"/>
        </w:rPr>
        <w:t>B</w:t>
      </w:r>
      <w:bookmarkEnd w:id="149"/>
    </w:p>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 xml:space="preserve">Wykazy LZO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3A38BA" w:rsidTr="00A66784">
        <w:trPr>
          <w:cantSplit/>
          <w:tblHeader/>
        </w:trPr>
        <w:tc>
          <w:tcPr>
            <w:tcW w:w="779" w:type="dxa"/>
            <w:shd w:val="pct25" w:color="auto" w:fill="FFFFFF"/>
            <w:vAlign w:val="center"/>
          </w:tcPr>
          <w:p w:rsidR="00536458" w:rsidRPr="003A38BA" w:rsidRDefault="00536458" w:rsidP="00A66784">
            <w:pPr>
              <w:pStyle w:val="Tablefootnote"/>
              <w:rPr>
                <w:rFonts w:asciiTheme="minorHAnsi" w:hAnsiTheme="minorHAnsi" w:cs="Arial"/>
                <w:sz w:val="22"/>
                <w:szCs w:val="22"/>
              </w:rPr>
            </w:pPr>
            <w:r>
              <w:rPr>
                <w:rFonts w:asciiTheme="minorHAnsi" w:hAnsiTheme="minorHAnsi"/>
                <w:sz w:val="22"/>
                <w:szCs w:val="22"/>
              </w:rPr>
              <w:t>Lp.</w:t>
            </w:r>
          </w:p>
        </w:tc>
        <w:tc>
          <w:tcPr>
            <w:tcW w:w="4536" w:type="dxa"/>
            <w:shd w:val="pct25" w:color="auto" w:fill="FFFFFF"/>
            <w:vAlign w:val="center"/>
          </w:tcPr>
          <w:p w:rsidR="00536458" w:rsidRPr="003A38BA" w:rsidRDefault="00536458" w:rsidP="00A66784">
            <w:pPr>
              <w:pStyle w:val="Tablefootnote"/>
              <w:rPr>
                <w:rFonts w:asciiTheme="minorHAnsi" w:hAnsiTheme="minorHAnsi" w:cs="Arial"/>
                <w:sz w:val="22"/>
                <w:szCs w:val="22"/>
              </w:rPr>
            </w:pPr>
            <w:r>
              <w:rPr>
                <w:rFonts w:asciiTheme="minorHAnsi" w:hAnsiTheme="minorHAnsi"/>
                <w:sz w:val="22"/>
                <w:szCs w:val="22"/>
              </w:rPr>
              <w:t>Substancja / grupa substancji</w:t>
            </w:r>
          </w:p>
        </w:tc>
        <w:tc>
          <w:tcPr>
            <w:tcW w:w="1418" w:type="dxa"/>
            <w:shd w:val="pct25" w:color="auto" w:fill="FFFFFF"/>
            <w:vAlign w:val="center"/>
          </w:tcPr>
          <w:p w:rsidR="00536458" w:rsidRPr="003A38BA" w:rsidRDefault="00536458" w:rsidP="00A66784">
            <w:pPr>
              <w:pStyle w:val="Tablefootnote"/>
              <w:rPr>
                <w:rFonts w:asciiTheme="minorHAnsi" w:hAnsiTheme="minorHAnsi" w:cs="Arial"/>
                <w:sz w:val="22"/>
                <w:szCs w:val="22"/>
              </w:rPr>
            </w:pPr>
            <w:r>
              <w:rPr>
                <w:rFonts w:asciiTheme="minorHAnsi" w:hAnsiTheme="minorHAnsi"/>
                <w:sz w:val="22"/>
                <w:szCs w:val="22"/>
              </w:rPr>
              <w:t>Numer CAS</w:t>
            </w:r>
          </w:p>
        </w:tc>
        <w:tc>
          <w:tcPr>
            <w:tcW w:w="1559" w:type="dxa"/>
            <w:tcBorders>
              <w:bottom w:val="nil"/>
            </w:tcBorders>
            <w:shd w:val="pct25" w:color="auto" w:fill="FFFFFF"/>
            <w:vAlign w:val="center"/>
          </w:tcPr>
          <w:p w:rsidR="00536458" w:rsidRPr="003A38BA" w:rsidRDefault="00536458" w:rsidP="00A66784">
            <w:pPr>
              <w:pStyle w:val="Tablefootnote"/>
              <w:rPr>
                <w:rFonts w:asciiTheme="minorHAnsi" w:hAnsiTheme="minorHAnsi" w:cs="Arial"/>
                <w:sz w:val="22"/>
                <w:szCs w:val="22"/>
              </w:rPr>
            </w:pPr>
            <w:r>
              <w:rPr>
                <w:rFonts w:asciiTheme="minorHAnsi" w:hAnsiTheme="minorHAnsi"/>
                <w:sz w:val="22"/>
                <w:szCs w:val="22"/>
              </w:rPr>
              <w:t>Numer indeksowy</w:t>
            </w:r>
          </w:p>
        </w:tc>
        <w:tc>
          <w:tcPr>
            <w:tcW w:w="1276" w:type="dxa"/>
            <w:tcBorders>
              <w:bottom w:val="nil"/>
            </w:tcBorders>
            <w:shd w:val="pct25" w:color="auto" w:fill="FFFFFF"/>
            <w:vAlign w:val="center"/>
          </w:tcPr>
          <w:p w:rsidR="00536458" w:rsidRPr="003A38BA" w:rsidRDefault="00536458" w:rsidP="00A66784">
            <w:pPr>
              <w:pStyle w:val="Tablefootnote"/>
              <w:rPr>
                <w:rFonts w:asciiTheme="minorHAnsi" w:hAnsiTheme="minorHAnsi" w:cs="Arial"/>
                <w:sz w:val="22"/>
                <w:szCs w:val="22"/>
              </w:rPr>
            </w:pPr>
            <w:r>
              <w:rPr>
                <w:rFonts w:asciiTheme="minorHAnsi" w:hAnsiTheme="minorHAnsi"/>
                <w:sz w:val="22"/>
                <w:szCs w:val="22"/>
              </w:rPr>
              <w:t>Numer WE</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aceton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67-64-1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606-001-00-8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200-662-2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benzol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71-43-2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601-020-00-8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200-753-7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04</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bookmarkStart w:id="150" w:name="_Toc403984708"/>
            <w:bookmarkStart w:id="151" w:name="_Toc452377833"/>
            <w:bookmarkStart w:id="152" w:name="_Toc475367432"/>
            <w:bookmarkStart w:id="153" w:name="_Toc514062858"/>
            <w:r>
              <w:rPr>
                <w:rFonts w:asciiTheme="minorHAnsi" w:hAnsiTheme="minorHAnsi"/>
                <w:sz w:val="22"/>
                <w:szCs w:val="22"/>
              </w:rPr>
              <w:t>eter bis(2-etoksyetylowy)</w:t>
            </w:r>
            <w:bookmarkEnd w:id="150"/>
            <w:bookmarkEnd w:id="151"/>
            <w:bookmarkEnd w:id="152"/>
            <w:bookmarkEnd w:id="153"/>
          </w:p>
          <w:p w:rsidR="00536458" w:rsidRPr="003A38BA" w:rsidRDefault="00536458" w:rsidP="00853381">
            <w:pPr>
              <w:pStyle w:val="Tablefootnote"/>
              <w:tabs>
                <w:tab w:val="clear" w:pos="340"/>
                <w:tab w:val="left" w:pos="0"/>
              </w:tabs>
              <w:rPr>
                <w:rFonts w:asciiTheme="minorHAnsi" w:hAnsiTheme="minorHAnsi" w:cs="Arial"/>
                <w:sz w:val="22"/>
                <w:szCs w:val="22"/>
              </w:rPr>
            </w:pPr>
            <w:bookmarkStart w:id="154" w:name="_Toc403984709"/>
            <w:bookmarkStart w:id="155" w:name="_Toc452377834"/>
            <w:bookmarkStart w:id="156" w:name="_Toc475367433"/>
            <w:bookmarkStart w:id="157" w:name="_Toc514062859"/>
            <w:r>
              <w:rPr>
                <w:rFonts w:asciiTheme="minorHAnsi" w:hAnsiTheme="minorHAnsi"/>
                <w:sz w:val="22"/>
                <w:szCs w:val="22"/>
              </w:rPr>
              <w:t>(eter dimetylowy glikolu dietylenowego, glikol dimetylowy)</w:t>
            </w:r>
            <w:bookmarkEnd w:id="154"/>
            <w:bookmarkEnd w:id="155"/>
            <w:bookmarkEnd w:id="156"/>
            <w:bookmarkEnd w:id="157"/>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111-96-6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butan-1-ol (alkohol n-butylowy)</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71-36-3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200-751-6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butan-2-ol (alkohol sec-butylowy)</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78-92-2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603-127-00-5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201-158-5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2-butoksyetanol (eter monobutylowy glikolu etylenowego, butyloglikol)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111-76-2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603-014-00-0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203-905-0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08</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bookmarkStart w:id="158" w:name="_Toc403984710"/>
            <w:bookmarkStart w:id="159" w:name="_Toc452377835"/>
            <w:bookmarkStart w:id="160" w:name="_Toc475367434"/>
            <w:bookmarkStart w:id="161" w:name="_Toc514062860"/>
            <w:r>
              <w:rPr>
                <w:rFonts w:asciiTheme="minorHAnsi" w:hAnsiTheme="minorHAnsi"/>
                <w:sz w:val="22"/>
                <w:szCs w:val="22"/>
              </w:rPr>
              <w:t>2-(2-butoksyetoksy)etanol (eter monobutylowy glikolu dietylenowego, butylodiglikol)</w:t>
            </w:r>
            <w:bookmarkEnd w:id="158"/>
            <w:bookmarkEnd w:id="159"/>
            <w:bookmarkEnd w:id="160"/>
            <w:bookmarkEnd w:id="161"/>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112-34-5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603-096-00-8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203-961-6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octan 2-butoksyetylu (octan eteru monobutylowego glikolu etylenowego, octan butyloglikolu)</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112-07-2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607-038-00-2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203-933-3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butoksypropanol (mieszaniny izomerów)</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różne</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1-butoksypropan-2-ol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5131-66-8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603-052-00-8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225-878-4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1-tert-butoksypropan-2-ol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57018-52-7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603-129-00-6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406-180-0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octan butylu</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123-86-4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607-025-00-1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204-658-1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octan sec-butylu</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105-46-4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203-300-1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octan tert-butylu</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540-88-5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208-760-7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γ-butyrolakton (tetrahydro-2-furanon)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96-48-0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kumen (izopropylobenzen)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98-82-8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601-024-00-X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202-704-5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cykloheksan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110-82-7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601-017-00-1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203-806-2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p-cymen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99-87-6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dichlorometan (chlorek metylenu)</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75-09-2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602-004-00-3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200-838-9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1,2-dioksetan (eter dietylowy glikolu etylenowego, glikol dietylowy)</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629-14-1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eter dietylowy</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60-29-7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603-022-00-4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200-467-2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eter diizopropylowy (2-izopropoksypropan)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108-20-3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603-045-00-X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203-560-6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1,1-dimetoksyetan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534-15-6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605-007-00-8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534-15-6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1,2-dimetoksyetan (eter dimetylowy glikolu etylenowego, glikol dimetylowy)</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110-71-4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603-031-003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203-794-9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eter dimetylowy</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115-10-6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603-019-00-8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204-065-8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1,4-dioksan (dwutlenek dwuetylenu)</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123-91-1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603-024-00-5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204-661-8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lastRenderedPageBreak/>
              <w:t>28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eter dwupropylowy (eter propylowy)</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111-43-3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603-045-00-X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203-869-6</w:t>
            </w:r>
          </w:p>
        </w:tc>
      </w:tr>
      <w:tr w:rsidR="00536458" w:rsidRPr="003A38BA" w:rsidTr="003E3497">
        <w:trPr>
          <w:cantSplit/>
        </w:trPr>
        <w:tc>
          <w:tcPr>
            <w:tcW w:w="779"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29</w:t>
            </w:r>
          </w:p>
        </w:tc>
        <w:tc>
          <w:tcPr>
            <w:tcW w:w="4536" w:type="dxa"/>
            <w:tcBorders>
              <w:bottom w:val="single" w:sz="4" w:space="0" w:color="auto"/>
            </w:tcBorders>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kwas octowy</w:t>
            </w:r>
          </w:p>
        </w:tc>
        <w:tc>
          <w:tcPr>
            <w:tcW w:w="1418"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64-19-7</w:t>
            </w:r>
          </w:p>
        </w:tc>
        <w:tc>
          <w:tcPr>
            <w:tcW w:w="1559"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607-002-00-6</w:t>
            </w:r>
          </w:p>
        </w:tc>
        <w:tc>
          <w:tcPr>
            <w:tcW w:w="1276"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200-580-7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bezwodnik kwasu octowego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108-24-7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607-008-00-9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203-564-8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etanol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64-17-5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603-002-00-5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200-578-6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2-etoksyetanol (eter monoetylowy glikolu etylenowego, glikol etylowy)</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110-80-5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603-012-00-X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203-804-1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1-etoksypropan-2-ol (eter monoetylowy glikolu propylenowego)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1569-02-4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octan etylu</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141-78-6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607-022-00-5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205-500-4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etylobenzen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100-41-4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601-023-00-4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202-849-4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mrówczan etylu</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109-94-4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607-015-00-7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203-721-0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heptan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147-82-5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601-008-00-2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205-563-8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n-heksan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110-54-3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601-037-00-0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203-777-6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heksan (mieszanina izomerów)</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92112-69-1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601-007-00-7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295-570-2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heksan-1-ol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111-27-3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603-059-00-6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203-852-3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octan izobutylu</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110-19-0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203-745-1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octan izopropylu</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108-21-4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203-561-1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67-56-1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603-001-00-X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200-659-6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octan 1-metoksy-2-propylu (octan eteru monometylowego glikolu propylenowego)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108-65-6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2-metoksyetanol (eter monometylowy glikolu etylenowego, glikol metylowy)</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109-86-4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603-011-00-4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203-713-7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octan 2-metoksyetylu (octan metyloglikolu)</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110-49-6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607-036-00-1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203-772-9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1-metoksy-2-propanol (eter monometylowy glikolu propylenowego)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107-98-2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octan metylu</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79-20-9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607-021-00-X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201-185-2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2-metylobutan (izopentan)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78-78-4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201-142-8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metylocykloheksan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108-87-2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601-018-00-7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203-624-3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metyloetyloketon (2-butanon, MEK)</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78-93-3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606-002-00-3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201-159-0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mrówczan metylu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107-31-3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607-014-00-1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203-481-7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2-metylopentan (izoheksan)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107-83-5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203-523-4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4-metylo-2-pentanon (metyloizobutyloketon, MIBK)</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108-10-1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606-004-00-4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203-550-1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2-metylopropan (izobutan)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75-28-5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n-pentan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109-66-0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203-692-4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2-metylopropan-1-ol (izobutanol)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78-83-1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603-108-00-1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201-148-0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lastRenderedPageBreak/>
              <w:t>58</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r>
              <w:rPr>
                <w:rFonts w:asciiTheme="minorHAnsi" w:hAnsiTheme="minorHAnsi"/>
                <w:sz w:val="22"/>
                <w:szCs w:val="22"/>
              </w:rPr>
              <w:t>n-metylo-2-pirolidon (1-metylo-2-pirolidynon)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872-50-4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606-021-00-7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212-828-1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pentan-1-ol (alkohol n-amylowy)</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71-41-0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200-752-1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pentan-2-ol (alkohol sec-amylowy)</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6032-29-7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227-907-6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pentanole (mieszaniny izomerów)</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różne</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eter naftowy + benzyny (głównie mieszaniny węglowodorów niearomatycznych)</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różne</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nafta (głównie mieszaniny węglowodorów niearomatycznych), frakcje o temperaturze wrzenia do 240 °C przy 1 013,25 mbar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różne</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propan-1-ol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71-23-8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603-003-00-0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200-746-9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propan-2-ol (alkohol izopropylowy, izopropanol)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67-63-0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603-117-00-0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200-661-7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2-(propoksy)etanol (eter monopropylowy glikolu etylenowego, glikol propylowy)</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2807-30-9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603-095-00-2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220-548-6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octan n-propylu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109-60-4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203-686-1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styren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100-42-5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601-026-00-0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202-851-5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tetrachloroeten (czterochlorek etylenu, PCE)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127-18-4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602-028-00-4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204-825-9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tetrahydrofuran (oksolan)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109-99-9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603-025-00-0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203-726-8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toluen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108-88-3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601-021-00-3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203-625-9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trichloroeten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79-01-6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602-027-00-9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201-167-4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1,2,3-trimetylobenzen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526-73-8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1,2,4-trimetylobenzen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95-63-6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601-043-00-3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202-436-9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1,3,5-trimetylobenzen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108-67-8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trimetylobenzeny (mieszaniny izomerów)</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różne</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spirytus mineralny (głównie mieszaniny węglowodorów niearomatycznych)</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różne</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o-ksylen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95-47-6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202-422-2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m-ksylen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108-38-3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203-576-3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p-ksylen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106-42-3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203-396-5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ksyleny (mieszaniny izomerów)</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1330-20-7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215-535-7</w:t>
            </w:r>
          </w:p>
        </w:tc>
      </w:tr>
    </w:tbl>
    <w:p w:rsidR="00536458" w:rsidRPr="003A38BA" w:rsidRDefault="00536458" w:rsidP="00536458">
      <w:pPr>
        <w:pStyle w:val="Tablefootnote"/>
        <w:ind w:left="340" w:hanging="340"/>
        <w:rPr>
          <w:rFonts w:asciiTheme="minorHAnsi" w:hAnsiTheme="minorHAnsi" w:cs="Arial"/>
          <w:sz w:val="22"/>
          <w:szCs w:val="22"/>
        </w:rPr>
      </w:pPr>
    </w:p>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Podane niżej mieszaniny substancji składają się z niewielkiej liczby związków pojedynczych, które z reguły mogą być również ujmowane pojedynczo.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3A38BA" w:rsidTr="00536458">
        <w:trPr>
          <w:cantSplit/>
        </w:trPr>
        <w:tc>
          <w:tcPr>
            <w:tcW w:w="779" w:type="dxa"/>
            <w:shd w:val="pct25" w:color="auto" w:fill="FFFFFF"/>
            <w:vAlign w:val="center"/>
          </w:tcPr>
          <w:p w:rsidR="00536458" w:rsidRPr="003A38BA" w:rsidRDefault="00536458" w:rsidP="00A66784">
            <w:pPr>
              <w:pStyle w:val="Tablefootnote"/>
              <w:rPr>
                <w:rFonts w:asciiTheme="minorHAnsi" w:hAnsiTheme="minorHAnsi" w:cs="Arial"/>
                <w:sz w:val="22"/>
                <w:szCs w:val="22"/>
              </w:rPr>
            </w:pPr>
            <w:r>
              <w:rPr>
                <w:rFonts w:asciiTheme="minorHAnsi" w:hAnsiTheme="minorHAnsi"/>
                <w:sz w:val="22"/>
                <w:szCs w:val="22"/>
              </w:rPr>
              <w:t>Lp.</w:t>
            </w:r>
          </w:p>
        </w:tc>
        <w:tc>
          <w:tcPr>
            <w:tcW w:w="4536" w:type="dxa"/>
            <w:shd w:val="pct25" w:color="auto" w:fill="FFFFFF"/>
            <w:vAlign w:val="center"/>
          </w:tcPr>
          <w:p w:rsidR="00536458" w:rsidRPr="003A38BA" w:rsidRDefault="00536458" w:rsidP="00A66784">
            <w:pPr>
              <w:pStyle w:val="Tablefootnote"/>
              <w:rPr>
                <w:rFonts w:asciiTheme="minorHAnsi" w:hAnsiTheme="minorHAnsi" w:cs="Arial"/>
                <w:sz w:val="22"/>
                <w:szCs w:val="22"/>
              </w:rPr>
            </w:pPr>
            <w:r>
              <w:rPr>
                <w:rFonts w:asciiTheme="minorHAnsi" w:hAnsiTheme="minorHAnsi"/>
                <w:sz w:val="22"/>
                <w:szCs w:val="22"/>
              </w:rPr>
              <w:t>Substancja / grupa substancji</w:t>
            </w:r>
          </w:p>
        </w:tc>
        <w:tc>
          <w:tcPr>
            <w:tcW w:w="1418" w:type="dxa"/>
            <w:shd w:val="pct25" w:color="auto" w:fill="FFFFFF"/>
            <w:vAlign w:val="center"/>
          </w:tcPr>
          <w:p w:rsidR="00536458" w:rsidRPr="003A38BA" w:rsidRDefault="00536458" w:rsidP="00A66784">
            <w:pPr>
              <w:pStyle w:val="Tablefootnote"/>
              <w:rPr>
                <w:rFonts w:asciiTheme="minorHAnsi" w:hAnsiTheme="minorHAnsi" w:cs="Arial"/>
                <w:sz w:val="22"/>
                <w:szCs w:val="22"/>
              </w:rPr>
            </w:pPr>
            <w:r>
              <w:rPr>
                <w:rFonts w:asciiTheme="minorHAnsi" w:hAnsiTheme="minorHAnsi"/>
                <w:sz w:val="22"/>
                <w:szCs w:val="22"/>
              </w:rPr>
              <w:t>Numer CAS</w:t>
            </w:r>
          </w:p>
        </w:tc>
        <w:tc>
          <w:tcPr>
            <w:tcW w:w="1559" w:type="dxa"/>
            <w:tcBorders>
              <w:bottom w:val="nil"/>
            </w:tcBorders>
            <w:shd w:val="pct25" w:color="auto" w:fill="FFFFFF"/>
            <w:vAlign w:val="center"/>
          </w:tcPr>
          <w:p w:rsidR="00536458" w:rsidRPr="003A38BA" w:rsidRDefault="00536458" w:rsidP="00A66784">
            <w:pPr>
              <w:pStyle w:val="Tablefootnote"/>
              <w:rPr>
                <w:rFonts w:asciiTheme="minorHAnsi" w:hAnsiTheme="minorHAnsi" w:cs="Arial"/>
                <w:sz w:val="22"/>
                <w:szCs w:val="22"/>
              </w:rPr>
            </w:pPr>
            <w:r>
              <w:rPr>
                <w:rFonts w:asciiTheme="minorHAnsi" w:hAnsiTheme="minorHAnsi"/>
                <w:sz w:val="22"/>
                <w:szCs w:val="22"/>
              </w:rPr>
              <w:t>Numer indeksowy</w:t>
            </w:r>
          </w:p>
        </w:tc>
        <w:tc>
          <w:tcPr>
            <w:tcW w:w="1276" w:type="dxa"/>
            <w:tcBorders>
              <w:bottom w:val="nil"/>
            </w:tcBorders>
            <w:shd w:val="pct25" w:color="auto" w:fill="FFFFFF"/>
            <w:vAlign w:val="center"/>
          </w:tcPr>
          <w:p w:rsidR="00536458" w:rsidRPr="003A38BA" w:rsidRDefault="00536458" w:rsidP="00A66784">
            <w:pPr>
              <w:pStyle w:val="Tablefootnote"/>
              <w:rPr>
                <w:rFonts w:asciiTheme="minorHAnsi" w:hAnsiTheme="minorHAnsi" w:cs="Arial"/>
                <w:sz w:val="22"/>
                <w:szCs w:val="22"/>
              </w:rPr>
            </w:pPr>
            <w:r>
              <w:rPr>
                <w:rFonts w:asciiTheme="minorHAnsi" w:hAnsiTheme="minorHAnsi"/>
                <w:sz w:val="22"/>
                <w:szCs w:val="22"/>
              </w:rPr>
              <w:t>Numer WE</w:t>
            </w:r>
          </w:p>
        </w:tc>
      </w:tr>
      <w:tr w:rsidR="00536458" w:rsidRPr="003A38BA" w:rsidTr="00536458">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76</w:t>
            </w:r>
          </w:p>
        </w:tc>
        <w:tc>
          <w:tcPr>
            <w:tcW w:w="453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trimetylobenzeny (mieszaniny izomerów)</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różne</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536458">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81</w:t>
            </w:r>
          </w:p>
        </w:tc>
        <w:tc>
          <w:tcPr>
            <w:tcW w:w="453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ksyleny (mieszaniny izomerów)</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1330-20-7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215-535-7</w:t>
            </w:r>
          </w:p>
        </w:tc>
      </w:tr>
    </w:tbl>
    <w:p w:rsidR="00F653D9" w:rsidRPr="003A38BA" w:rsidRDefault="00B1266C" w:rsidP="007C21AF">
      <w:pPr>
        <w:pStyle w:val="Heading1"/>
        <w:pageBreakBefore/>
        <w:ind w:left="0" w:firstLine="0"/>
        <w:jc w:val="both"/>
        <w:rPr>
          <w:sz w:val="24"/>
          <w:szCs w:val="24"/>
        </w:rPr>
      </w:pPr>
      <w:bookmarkStart w:id="162" w:name="_Toc12481237"/>
      <w:r>
        <w:rPr>
          <w:sz w:val="24"/>
          <w:szCs w:val="24"/>
        </w:rPr>
        <w:lastRenderedPageBreak/>
        <w:t>Załącznik C</w:t>
      </w:r>
      <w:bookmarkEnd w:id="162"/>
    </w:p>
    <w:p w:rsidR="00B1266C" w:rsidRPr="003A38BA" w:rsidRDefault="00B1266C" w:rsidP="007C21AF">
      <w:pPr>
        <w:pStyle w:val="Title"/>
        <w:jc w:val="both"/>
        <w:rPr>
          <w:rFonts w:asciiTheme="minorHAnsi" w:hAnsiTheme="minorHAnsi"/>
        </w:rPr>
      </w:pPr>
      <w:r>
        <w:rPr>
          <w:rFonts w:asciiTheme="minorHAnsi" w:hAnsiTheme="minorHAnsi"/>
        </w:rPr>
        <w:t>Zapewnienie jakości środków do posypywania do wszystkich systemów oznakowania i systemów do mieszania mas termoplastycznych</w:t>
      </w:r>
    </w:p>
    <w:p w:rsidR="00B1266C" w:rsidRPr="003A38BA" w:rsidRDefault="00B1266C" w:rsidP="007C21AF">
      <w:pPr>
        <w:pStyle w:val="Tablefootnote"/>
        <w:tabs>
          <w:tab w:val="clear" w:pos="340"/>
          <w:tab w:val="left" w:pos="0"/>
        </w:tabs>
        <w:rPr>
          <w:rFonts w:asciiTheme="minorHAnsi" w:hAnsiTheme="minorHAnsi" w:cs="Arial"/>
          <w:sz w:val="24"/>
          <w:szCs w:val="24"/>
        </w:rPr>
      </w:pPr>
    </w:p>
    <w:p w:rsidR="00B1266C" w:rsidRPr="003A38BA" w:rsidRDefault="00B1266C" w:rsidP="007C21AF">
      <w:pPr>
        <w:pStyle w:val="Tablefootnote"/>
        <w:tabs>
          <w:tab w:val="clear" w:pos="340"/>
          <w:tab w:val="left" w:pos="0"/>
        </w:tabs>
        <w:rPr>
          <w:rFonts w:asciiTheme="minorHAnsi" w:hAnsiTheme="minorHAnsi" w:cs="Arial"/>
          <w:sz w:val="24"/>
          <w:szCs w:val="24"/>
        </w:rPr>
      </w:pPr>
      <w:r>
        <w:rPr>
          <w:rFonts w:asciiTheme="minorHAnsi" w:hAnsiTheme="minorHAnsi"/>
          <w:sz w:val="24"/>
          <w:szCs w:val="24"/>
        </w:rPr>
        <w:t>W celu zapewnienia jakości środków do posypywania i systemów do mieszania mas termoplastycznych ustalane są następujące parametry badania prototypu mieszanin środków do posypywania do wszystkich systemów oznakowania i systemów do mieszania mas termoplastycznych</w:t>
      </w:r>
      <w:r w:rsidR="005C6B21" w:rsidRPr="003A38BA">
        <w:rPr>
          <w:rStyle w:val="FootnoteReference"/>
          <w:rFonts w:asciiTheme="minorHAnsi" w:hAnsiTheme="minorHAnsi" w:cs="Arial"/>
          <w:sz w:val="24"/>
          <w:szCs w:val="24"/>
        </w:rPr>
        <w:footnoteReference w:id="5"/>
      </w:r>
      <w:r>
        <w:rPr>
          <w:rFonts w:asciiTheme="minorHAnsi" w:hAnsiTheme="minorHAnsi"/>
          <w:sz w:val="24"/>
          <w:szCs w:val="24"/>
        </w:rPr>
        <w:t>:</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Sita używane do ustalenia krzywej przesiewu muszą zgodnie z normą DIN EN 1423 odpowiadać normie ISO 565 – wymiary R40/3. W przypadku mieszanin środków do posypywania na następnym w kolejności mniejszym sicie według normy ISO 565 – wymiary R40/3 – poniżej górnego sita nominalnego powinno zatrzymywać się co najmniej 5 % (całości) kulek refleksyjnych. </w:t>
      </w:r>
    </w:p>
    <w:p w:rsidR="00B1266C" w:rsidRPr="003A38BA" w:rsidRDefault="00B1266C" w:rsidP="007C21AF">
      <w:pPr>
        <w:jc w:val="both"/>
        <w:rPr>
          <w:snapToGrid w:val="0"/>
          <w:sz w:val="24"/>
        </w:rPr>
      </w:pPr>
    </w:p>
    <w:p w:rsidR="00B1266C" w:rsidRPr="003A38BA" w:rsidRDefault="00B1266C" w:rsidP="00A66784">
      <w:pPr>
        <w:pStyle w:val="BodyTextIndent"/>
        <w:ind w:left="357" w:firstLine="0"/>
        <w:jc w:val="both"/>
      </w:pPr>
      <w:r>
        <w:rPr>
          <w:snapToGrid w:val="0"/>
          <w:sz w:val="24"/>
        </w:rPr>
        <w:t>W ten sposób zagwarantowane ma zostać, że w mieszaninach środków do posypywania obecnych będzie dość większych kulek refleksyjnych, aby zapewnić wystarczające odbicie odblaskowe</w:t>
      </w:r>
      <w:r>
        <w:t xml:space="preserve">.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Ustalona urządzeniem Camsizer podczas badania przydatności przez akredytowane laboratorium badawcze krzywa przesiewu mieszanin środków do posypywania jest zapisywana jako prototyp, o ile wnioskodawca/dostawca środków do posypywania nie jest w stanie przedstawić własnej krzywej przesiewu ustalonej urządzeniem Camsizer. Dopuszczalna tolerancja pojedynczej pozostałości na każdym sicie podanym według specyfikacji będzie w przyszłości wynosić ± 50 % wartości względnej. Podana w punkcie 1 wartość co najmniej 5 % kulek refleksyjnych musi zasadniczo zostać zachowana, tzn. że 5 % musi istnieć także po uwzględnieniu tolerancji 50 % pojedynczej pozostałości na odpowiednim sicie. </w:t>
      </w:r>
    </w:p>
    <w:p w:rsidR="00B1266C" w:rsidRPr="003A38BA" w:rsidRDefault="00B1266C" w:rsidP="007C21AF">
      <w:pPr>
        <w:jc w:val="both"/>
        <w:rPr>
          <w:snapToGrid w:val="0"/>
          <w:sz w:val="24"/>
        </w:rPr>
      </w:pPr>
    </w:p>
    <w:p w:rsidR="00B1266C" w:rsidRPr="003A38BA" w:rsidRDefault="00B1266C" w:rsidP="007C21AF">
      <w:pPr>
        <w:ind w:left="360" w:firstLine="0"/>
        <w:jc w:val="both"/>
        <w:rPr>
          <w:snapToGrid w:val="0"/>
          <w:sz w:val="24"/>
        </w:rPr>
      </w:pPr>
      <w:r>
        <w:rPr>
          <w:snapToGrid w:val="0"/>
          <w:sz w:val="24"/>
        </w:rPr>
        <w:t xml:space="preserve">Przykład: Jeżeli na sicie o oczkach 500 μm podczas badania przydatności ustalono 30 g jako pozostałość, zakres tolerancji wynosi między 15 a 45 g. Zagwarantowane przez to ma zostać, że dostarczane w praktyce mieszaniny środków do posypywania będą w podanych granicach odpowiadać mieszaninom udostępnionym akredytowanemu laboratorium badawczemu do przeprowadzenia badania przydatności.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Przy pobieraniu próbek podczas badania przydatności sami producenci ponoszą odpowiedzialność za dostarczenie reprezentatywnej próbki do akredytowanego laboratorium badawczego. Dostarczony przez producentów na badanie przydatności środek do posypywania, np. pojemnik 25 kg, jest za pomocą dzielnika 1/1 dzielony na wielkość potrzebną do badania.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W nazwie handlowej środków do posypywania może zostać podana tylko krzywa przesiewu faktycznie leżąca u podstawy.</w:t>
      </w:r>
    </w:p>
    <w:sectPr w:rsidR="00B1266C" w:rsidRPr="003A38BA" w:rsidSect="00E6359B">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AB3" w:rsidRDefault="00E44AB3" w:rsidP="006D5959">
      <w:r>
        <w:separator/>
      </w:r>
    </w:p>
  </w:endnote>
  <w:endnote w:type="continuationSeparator" w:id="0">
    <w:p w:rsidR="00E44AB3" w:rsidRDefault="00E44AB3" w:rsidP="006D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tabs>
        <w:tab w:val="left" w:pos="3686"/>
      </w:tabs>
      <w:ind w:right="360"/>
      <w:rPr>
        <w:sz w:val="24"/>
      </w:rPr>
    </w:pPr>
    <w:r>
      <w:rPr>
        <w:sz w:val="24"/>
      </w:rPr>
      <w:fldChar w:fldCharType="begin"/>
    </w:r>
    <w:r>
      <w:rPr>
        <w:sz w:val="24"/>
      </w:rPr>
      <w:instrText xml:space="preserve"> PAGE </w:instrText>
    </w:r>
    <w:r>
      <w:rPr>
        <w:sz w:val="24"/>
      </w:rPr>
      <w:fldChar w:fldCharType="separate"/>
    </w:r>
    <w:r>
      <w:rPr>
        <w:noProof/>
        <w:sz w:val="24"/>
      </w:rPr>
      <w:t>XXIV</w:t>
    </w:r>
    <w:r>
      <w:rPr>
        <w:sz w:val="24"/>
      </w:rPr>
      <w:fldChar w:fldCharType="end"/>
    </w:r>
    <w:r>
      <w:rPr>
        <w:sz w:val="24"/>
      </w:rPr>
      <w:tab/>
      <w:t>Projekt z czerwca 1997 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AB3" w:rsidRDefault="00E44AB3" w:rsidP="006D5959">
      <w:r>
        <w:separator/>
      </w:r>
    </w:p>
  </w:footnote>
  <w:footnote w:type="continuationSeparator" w:id="0">
    <w:p w:rsidR="00E44AB3" w:rsidRDefault="00E44AB3" w:rsidP="006D5959">
      <w:r>
        <w:continuationSeparator/>
      </w:r>
    </w:p>
  </w:footnote>
  <w:footnote w:id="1">
    <w:p w:rsidR="003A38BA" w:rsidRDefault="003A38BA" w:rsidP="003E3497">
      <w:pPr>
        <w:spacing w:after="120"/>
        <w:ind w:left="0" w:firstLine="0"/>
      </w:pPr>
      <w:r>
        <w:rPr>
          <w:rStyle w:val="FootnoteReference"/>
        </w:rPr>
        <w:footnoteRef/>
      </w:r>
      <w:r>
        <w:t xml:space="preserve"> Wyszczególnione metody nakładania mogą być zarejestrowanymi znakami towarowymi lub podlegać ochronie wzoru użytkowego.</w:t>
      </w:r>
    </w:p>
  </w:footnote>
  <w:footnote w:id="2">
    <w:p w:rsidR="003A38BA" w:rsidRDefault="003A38BA" w:rsidP="003E3497">
      <w:pPr>
        <w:spacing w:after="120"/>
        <w:ind w:left="0" w:firstLine="0"/>
      </w:pPr>
      <w:r>
        <w:rPr>
          <w:rStyle w:val="FootnoteReference"/>
        </w:rPr>
        <w:footnoteRef/>
      </w:r>
      <w:r>
        <w:t xml:space="preserve"> Czas schnięcia do momentu powstania możliwości przejeżdżania zależy m.in. od warunków pogodowych i ilości nałożonego materiału. Uzyskany w laboratorium czas schnięcia do momentu pojawienia się możliwości przejeżdżania nie gwarantuje osiągnięcia takiego czasu schnięcia w warunkach spotykanych w praktyce.</w:t>
      </w:r>
    </w:p>
  </w:footnote>
  <w:footnote w:id="3">
    <w:p w:rsidR="003A38BA" w:rsidRDefault="003A38BA" w:rsidP="001D4247">
      <w:pPr>
        <w:spacing w:after="120"/>
        <w:ind w:left="0" w:firstLine="0"/>
      </w:pPr>
      <w:r>
        <w:rPr>
          <w:vertAlign w:val="superscript"/>
        </w:rPr>
        <w:footnoteRef/>
      </w:r>
      <w:r>
        <w:t xml:space="preserve"> Zdarte opony są wymieniane podczas badania.</w:t>
      </w:r>
    </w:p>
  </w:footnote>
  <w:footnote w:id="4">
    <w:p w:rsidR="003A38BA" w:rsidRDefault="003A38BA" w:rsidP="001D4247">
      <w:pPr>
        <w:spacing w:after="120"/>
        <w:ind w:left="0" w:firstLine="0"/>
      </w:pPr>
      <w:r>
        <w:rPr>
          <w:vertAlign w:val="superscript"/>
        </w:rPr>
        <w:footnoteRef/>
      </w:r>
      <w:r>
        <w:t xml:space="preserve"> Obie normy mają zostać w przyszłości połączone. Środki do posypywania i (w przyszłości) mikrogranulki do mieszania mogą być używane tylko wtedy, gdy są oznaczone symbolem CE.</w:t>
      </w:r>
    </w:p>
  </w:footnote>
  <w:footnote w:id="5">
    <w:p w:rsidR="003A38BA" w:rsidRDefault="003A38BA" w:rsidP="001D4247">
      <w:pPr>
        <w:spacing w:after="120"/>
        <w:ind w:left="0" w:firstLine="0"/>
      </w:pPr>
      <w:r>
        <w:rPr>
          <w:vertAlign w:val="superscript"/>
        </w:rPr>
        <w:footnoteRef/>
      </w:r>
      <w:r>
        <w:t xml:space="preserve"> Podstawa: porozumienie między BASt, producentami kulek i DSGS w Bergisch-Gladbach i Braunlage, sierpień 2011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jc w:val="center"/>
      <w:rPr>
        <w:sz w:val="24"/>
      </w:rPr>
    </w:pPr>
    <w:r>
      <w:rPr>
        <w:sz w:val="24"/>
      </w:rPr>
      <w:t>TL-M 97</w:t>
    </w:r>
  </w:p>
  <w:p w:rsidR="003A38BA" w:rsidRDefault="003A38BA">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0699"/>
      <w:docPartObj>
        <w:docPartGallery w:val="Page Numbers (Top of Page)"/>
        <w:docPartUnique/>
      </w:docPartObj>
    </w:sdtPr>
    <w:sdtEndPr/>
    <w:sdtContent>
      <w:p w:rsidR="003A38BA" w:rsidRPr="00C427EB" w:rsidRDefault="003A38BA">
        <w:pPr>
          <w:pStyle w:val="Header"/>
          <w:jc w:val="center"/>
        </w:pPr>
        <w:r>
          <w:fldChar w:fldCharType="begin"/>
        </w:r>
        <w:r>
          <w:instrText xml:space="preserve"> PAGE  \* Arabic  \* MERGEFORMAT </w:instrText>
        </w:r>
        <w:r>
          <w:fldChar w:fldCharType="separate"/>
        </w:r>
        <w:r w:rsidR="00A66784">
          <w:rPr>
            <w:noProof/>
          </w:rPr>
          <w:t>18</w:t>
        </w:r>
        <w:r>
          <w:fldChar w:fldCharType="end"/>
        </w:r>
      </w:p>
    </w:sdtContent>
  </w:sdt>
  <w:p w:rsidR="003A38BA" w:rsidRDefault="003A38B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rsidP="00B032BC">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42298F0"/>
    <w:lvl w:ilvl="0">
      <w:start w:val="1"/>
      <w:numFmt w:val="decimal"/>
      <w:lvlText w:val="%1."/>
      <w:lvlJc w:val="left"/>
      <w:rPr>
        <w:rFonts w:asciiTheme="minorHAnsi" w:hAnsiTheme="minorHAnsi" w:cs="Arial" w:hint="default"/>
        <w:b/>
        <w:bCs/>
        <w:i w:val="0"/>
        <w:iCs w:val="0"/>
        <w:smallCaps w:val="0"/>
        <w:strike w:val="0"/>
        <w:color w:val="000000"/>
        <w:spacing w:val="0"/>
        <w:w w:val="100"/>
        <w:position w:val="0"/>
        <w:sz w:val="22"/>
        <w:szCs w:val="22"/>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1" w15:restartNumberingAfterBreak="0">
    <w:nsid w:val="06970E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497AD5"/>
    <w:multiLevelType w:val="hybridMultilevel"/>
    <w:tmpl w:val="0CE87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791D78"/>
    <w:multiLevelType w:val="singleLevel"/>
    <w:tmpl w:val="99C23CA6"/>
    <w:lvl w:ilvl="0">
      <w:start w:val="7"/>
      <w:numFmt w:val="bullet"/>
      <w:pStyle w:val="SP1"/>
      <w:lvlText w:val="-"/>
      <w:lvlJc w:val="left"/>
      <w:pPr>
        <w:tabs>
          <w:tab w:val="num" w:pos="1069"/>
        </w:tabs>
        <w:ind w:left="1069" w:hanging="360"/>
      </w:pPr>
      <w:rPr>
        <w:rFonts w:hint="default"/>
      </w:rPr>
    </w:lvl>
  </w:abstractNum>
  <w:abstractNum w:abstractNumId="4" w15:restartNumberingAfterBreak="0">
    <w:nsid w:val="268D198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3F200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41C1F"/>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01412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612EFE"/>
    <w:multiLevelType w:val="hybridMultilevel"/>
    <w:tmpl w:val="074C60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94417DB"/>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3D702589"/>
    <w:multiLevelType w:val="singleLevel"/>
    <w:tmpl w:val="E8F485B0"/>
    <w:lvl w:ilvl="0">
      <w:start w:val="1"/>
      <w:numFmt w:val="bullet"/>
      <w:pStyle w:val="-Einzug1"/>
      <w:lvlText w:val="-"/>
      <w:lvlJc w:val="left"/>
      <w:pPr>
        <w:tabs>
          <w:tab w:val="num" w:pos="360"/>
        </w:tabs>
        <w:ind w:left="284" w:hanging="284"/>
      </w:pPr>
      <w:rPr>
        <w:rFonts w:ascii="Times New Roman" w:hAnsi="Times New Roman" w:hint="default"/>
        <w:b/>
        <w:i w:val="0"/>
        <w:sz w:val="24"/>
      </w:rPr>
    </w:lvl>
  </w:abstractNum>
  <w:abstractNum w:abstractNumId="11" w15:restartNumberingAfterBreak="0">
    <w:nsid w:val="48790F9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452F67"/>
    <w:multiLevelType w:val="hybridMultilevel"/>
    <w:tmpl w:val="F47E25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41620C"/>
    <w:multiLevelType w:val="singleLevel"/>
    <w:tmpl w:val="04070011"/>
    <w:lvl w:ilvl="0">
      <w:start w:val="1"/>
      <w:numFmt w:val="decimal"/>
      <w:lvlText w:val="%1)"/>
      <w:lvlJc w:val="left"/>
      <w:pPr>
        <w:tabs>
          <w:tab w:val="num" w:pos="360"/>
        </w:tabs>
        <w:ind w:left="360" w:hanging="360"/>
      </w:pPr>
      <w:rPr>
        <w:rFonts w:hint="default"/>
      </w:rPr>
    </w:lvl>
  </w:abstractNum>
  <w:abstractNum w:abstractNumId="14" w15:restartNumberingAfterBreak="0">
    <w:nsid w:val="6D860D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484C2B"/>
    <w:multiLevelType w:val="hybridMultilevel"/>
    <w:tmpl w:val="BAB2A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4"/>
  </w:num>
  <w:num w:numId="5">
    <w:abstractNumId w:val="7"/>
  </w:num>
  <w:num w:numId="6">
    <w:abstractNumId w:val="3"/>
  </w:num>
  <w:num w:numId="7">
    <w:abstractNumId w:val="13"/>
  </w:num>
  <w:num w:numId="8">
    <w:abstractNumId w:val="11"/>
  </w:num>
  <w:num w:numId="9">
    <w:abstractNumId w:val="6"/>
  </w:num>
  <w:num w:numId="10">
    <w:abstractNumId w:val="10"/>
  </w:num>
  <w:num w:numId="11">
    <w:abstractNumId w:val="9"/>
  </w:num>
  <w:num w:numId="12">
    <w:abstractNumId w:val="15"/>
  </w:num>
  <w:num w:numId="13">
    <w:abstractNumId w:val="8"/>
  </w:num>
  <w:num w:numId="14">
    <w:abstractNumId w:val="2"/>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96"/>
    <w:rsid w:val="00001AF1"/>
    <w:rsid w:val="0000718D"/>
    <w:rsid w:val="00012C48"/>
    <w:rsid w:val="00032E7A"/>
    <w:rsid w:val="00036B48"/>
    <w:rsid w:val="000503D0"/>
    <w:rsid w:val="00061E4E"/>
    <w:rsid w:val="0006290A"/>
    <w:rsid w:val="0006557A"/>
    <w:rsid w:val="00065E75"/>
    <w:rsid w:val="00067037"/>
    <w:rsid w:val="0006760D"/>
    <w:rsid w:val="00070660"/>
    <w:rsid w:val="000766A6"/>
    <w:rsid w:val="00080A86"/>
    <w:rsid w:val="000923BB"/>
    <w:rsid w:val="000A474A"/>
    <w:rsid w:val="000A5A3C"/>
    <w:rsid w:val="000B2B83"/>
    <w:rsid w:val="000B4B23"/>
    <w:rsid w:val="000B6380"/>
    <w:rsid w:val="000B73D7"/>
    <w:rsid w:val="000D47B9"/>
    <w:rsid w:val="000D5BC9"/>
    <w:rsid w:val="000D70C0"/>
    <w:rsid w:val="000E20DE"/>
    <w:rsid w:val="000E4514"/>
    <w:rsid w:val="000F7E81"/>
    <w:rsid w:val="001001BF"/>
    <w:rsid w:val="00155580"/>
    <w:rsid w:val="00161FD3"/>
    <w:rsid w:val="00193098"/>
    <w:rsid w:val="00197249"/>
    <w:rsid w:val="001A4BD1"/>
    <w:rsid w:val="001B12A8"/>
    <w:rsid w:val="001B4E56"/>
    <w:rsid w:val="001C2543"/>
    <w:rsid w:val="001C7094"/>
    <w:rsid w:val="001D17DA"/>
    <w:rsid w:val="001D4247"/>
    <w:rsid w:val="001E3D7B"/>
    <w:rsid w:val="001E5919"/>
    <w:rsid w:val="001E6414"/>
    <w:rsid w:val="001F5C99"/>
    <w:rsid w:val="002100A4"/>
    <w:rsid w:val="00216013"/>
    <w:rsid w:val="002210B7"/>
    <w:rsid w:val="00232406"/>
    <w:rsid w:val="00234C80"/>
    <w:rsid w:val="0023536B"/>
    <w:rsid w:val="00240E0D"/>
    <w:rsid w:val="00246D88"/>
    <w:rsid w:val="00251683"/>
    <w:rsid w:val="00260651"/>
    <w:rsid w:val="00261DE1"/>
    <w:rsid w:val="0026750D"/>
    <w:rsid w:val="00284C37"/>
    <w:rsid w:val="0029168C"/>
    <w:rsid w:val="002A210D"/>
    <w:rsid w:val="002A3614"/>
    <w:rsid w:val="002B2FD2"/>
    <w:rsid w:val="002C0BE7"/>
    <w:rsid w:val="002D65D1"/>
    <w:rsid w:val="002D70B1"/>
    <w:rsid w:val="003000D1"/>
    <w:rsid w:val="003114C1"/>
    <w:rsid w:val="0031501F"/>
    <w:rsid w:val="00324B33"/>
    <w:rsid w:val="0033608C"/>
    <w:rsid w:val="00337B4D"/>
    <w:rsid w:val="00345447"/>
    <w:rsid w:val="003456A9"/>
    <w:rsid w:val="003459E2"/>
    <w:rsid w:val="003508CA"/>
    <w:rsid w:val="00370F4D"/>
    <w:rsid w:val="00380189"/>
    <w:rsid w:val="003850FD"/>
    <w:rsid w:val="003876E5"/>
    <w:rsid w:val="0039084B"/>
    <w:rsid w:val="003916B9"/>
    <w:rsid w:val="003956F3"/>
    <w:rsid w:val="003A38BA"/>
    <w:rsid w:val="003A401B"/>
    <w:rsid w:val="003B1252"/>
    <w:rsid w:val="003B7C76"/>
    <w:rsid w:val="003D219A"/>
    <w:rsid w:val="003D5920"/>
    <w:rsid w:val="003E1828"/>
    <w:rsid w:val="003E3497"/>
    <w:rsid w:val="003F610E"/>
    <w:rsid w:val="003F6C43"/>
    <w:rsid w:val="0040352A"/>
    <w:rsid w:val="004056B0"/>
    <w:rsid w:val="0040636B"/>
    <w:rsid w:val="00407B63"/>
    <w:rsid w:val="00414363"/>
    <w:rsid w:val="004268BA"/>
    <w:rsid w:val="0043206D"/>
    <w:rsid w:val="004463AF"/>
    <w:rsid w:val="00451DF6"/>
    <w:rsid w:val="00456905"/>
    <w:rsid w:val="00461B5C"/>
    <w:rsid w:val="00463F9F"/>
    <w:rsid w:val="0046509B"/>
    <w:rsid w:val="0047073B"/>
    <w:rsid w:val="00474AFB"/>
    <w:rsid w:val="00491BD3"/>
    <w:rsid w:val="00491D31"/>
    <w:rsid w:val="00493616"/>
    <w:rsid w:val="004939B5"/>
    <w:rsid w:val="00495D5C"/>
    <w:rsid w:val="00495E9A"/>
    <w:rsid w:val="00497E24"/>
    <w:rsid w:val="004A2F9C"/>
    <w:rsid w:val="004A64FC"/>
    <w:rsid w:val="004B3430"/>
    <w:rsid w:val="004C2F96"/>
    <w:rsid w:val="004C32A6"/>
    <w:rsid w:val="004D297E"/>
    <w:rsid w:val="004D7F92"/>
    <w:rsid w:val="004E0137"/>
    <w:rsid w:val="004E3D16"/>
    <w:rsid w:val="004E5314"/>
    <w:rsid w:val="004F03F3"/>
    <w:rsid w:val="004F79C9"/>
    <w:rsid w:val="005035D3"/>
    <w:rsid w:val="0052348C"/>
    <w:rsid w:val="00523ACA"/>
    <w:rsid w:val="00532584"/>
    <w:rsid w:val="00535C9C"/>
    <w:rsid w:val="00536458"/>
    <w:rsid w:val="0054039D"/>
    <w:rsid w:val="005517CE"/>
    <w:rsid w:val="00555159"/>
    <w:rsid w:val="00555609"/>
    <w:rsid w:val="00556442"/>
    <w:rsid w:val="00572C20"/>
    <w:rsid w:val="00577F38"/>
    <w:rsid w:val="00583621"/>
    <w:rsid w:val="00586DCF"/>
    <w:rsid w:val="005A00AC"/>
    <w:rsid w:val="005A16A6"/>
    <w:rsid w:val="005C6B21"/>
    <w:rsid w:val="005D19E0"/>
    <w:rsid w:val="005D220F"/>
    <w:rsid w:val="005E003F"/>
    <w:rsid w:val="005E2477"/>
    <w:rsid w:val="005F2E9C"/>
    <w:rsid w:val="00601938"/>
    <w:rsid w:val="00613B11"/>
    <w:rsid w:val="006163DC"/>
    <w:rsid w:val="00617E85"/>
    <w:rsid w:val="00622AB2"/>
    <w:rsid w:val="00627B64"/>
    <w:rsid w:val="006360BD"/>
    <w:rsid w:val="00637513"/>
    <w:rsid w:val="00641E3F"/>
    <w:rsid w:val="00667BC9"/>
    <w:rsid w:val="00686B2A"/>
    <w:rsid w:val="00686F87"/>
    <w:rsid w:val="006A1970"/>
    <w:rsid w:val="006A49B7"/>
    <w:rsid w:val="006B0519"/>
    <w:rsid w:val="006B20FC"/>
    <w:rsid w:val="006B2947"/>
    <w:rsid w:val="006B7393"/>
    <w:rsid w:val="006C1677"/>
    <w:rsid w:val="006D53B5"/>
    <w:rsid w:val="006D550B"/>
    <w:rsid w:val="006D5959"/>
    <w:rsid w:val="006E1AD5"/>
    <w:rsid w:val="006E2886"/>
    <w:rsid w:val="006E6FB8"/>
    <w:rsid w:val="006F0F26"/>
    <w:rsid w:val="006F1C15"/>
    <w:rsid w:val="00701E9D"/>
    <w:rsid w:val="00706B86"/>
    <w:rsid w:val="007114CC"/>
    <w:rsid w:val="007135E3"/>
    <w:rsid w:val="00721638"/>
    <w:rsid w:val="00735CC5"/>
    <w:rsid w:val="00751BDA"/>
    <w:rsid w:val="007669FF"/>
    <w:rsid w:val="00787559"/>
    <w:rsid w:val="007947D9"/>
    <w:rsid w:val="007A0D55"/>
    <w:rsid w:val="007A4431"/>
    <w:rsid w:val="007A6695"/>
    <w:rsid w:val="007B668F"/>
    <w:rsid w:val="007B7AA0"/>
    <w:rsid w:val="007C21AF"/>
    <w:rsid w:val="007C3407"/>
    <w:rsid w:val="007D17A9"/>
    <w:rsid w:val="007D47E3"/>
    <w:rsid w:val="007D7849"/>
    <w:rsid w:val="007E35A9"/>
    <w:rsid w:val="007F44BC"/>
    <w:rsid w:val="007F561A"/>
    <w:rsid w:val="00804889"/>
    <w:rsid w:val="008432F4"/>
    <w:rsid w:val="00853381"/>
    <w:rsid w:val="008565E3"/>
    <w:rsid w:val="00877D4B"/>
    <w:rsid w:val="00880195"/>
    <w:rsid w:val="0088418C"/>
    <w:rsid w:val="00886145"/>
    <w:rsid w:val="0088638C"/>
    <w:rsid w:val="00895817"/>
    <w:rsid w:val="00896968"/>
    <w:rsid w:val="0089768F"/>
    <w:rsid w:val="008A7AD1"/>
    <w:rsid w:val="008A7F1E"/>
    <w:rsid w:val="008B34BA"/>
    <w:rsid w:val="008B4E60"/>
    <w:rsid w:val="008C0573"/>
    <w:rsid w:val="008C55C5"/>
    <w:rsid w:val="008C64DB"/>
    <w:rsid w:val="008D2005"/>
    <w:rsid w:val="008D2830"/>
    <w:rsid w:val="008E3054"/>
    <w:rsid w:val="008E78CF"/>
    <w:rsid w:val="008E7BF5"/>
    <w:rsid w:val="008E7F3E"/>
    <w:rsid w:val="008F3D75"/>
    <w:rsid w:val="00904336"/>
    <w:rsid w:val="009159E9"/>
    <w:rsid w:val="00921E13"/>
    <w:rsid w:val="00923466"/>
    <w:rsid w:val="0093336E"/>
    <w:rsid w:val="0093465E"/>
    <w:rsid w:val="0094411F"/>
    <w:rsid w:val="00946519"/>
    <w:rsid w:val="00946AE5"/>
    <w:rsid w:val="00947FA2"/>
    <w:rsid w:val="00947FC8"/>
    <w:rsid w:val="00962976"/>
    <w:rsid w:val="0096344E"/>
    <w:rsid w:val="00965E19"/>
    <w:rsid w:val="009700EB"/>
    <w:rsid w:val="00970203"/>
    <w:rsid w:val="009759A4"/>
    <w:rsid w:val="00992058"/>
    <w:rsid w:val="00993CFC"/>
    <w:rsid w:val="009A49D5"/>
    <w:rsid w:val="009C56A9"/>
    <w:rsid w:val="009D6ACE"/>
    <w:rsid w:val="009D7680"/>
    <w:rsid w:val="009E20AE"/>
    <w:rsid w:val="009E5CB3"/>
    <w:rsid w:val="009F1842"/>
    <w:rsid w:val="009F5F07"/>
    <w:rsid w:val="009F7F53"/>
    <w:rsid w:val="00A1060E"/>
    <w:rsid w:val="00A11530"/>
    <w:rsid w:val="00A13538"/>
    <w:rsid w:val="00A13EDC"/>
    <w:rsid w:val="00A2285F"/>
    <w:rsid w:val="00A34119"/>
    <w:rsid w:val="00A36652"/>
    <w:rsid w:val="00A37E2F"/>
    <w:rsid w:val="00A42ACC"/>
    <w:rsid w:val="00A503EF"/>
    <w:rsid w:val="00A61964"/>
    <w:rsid w:val="00A66784"/>
    <w:rsid w:val="00A676DC"/>
    <w:rsid w:val="00A748BE"/>
    <w:rsid w:val="00A8750C"/>
    <w:rsid w:val="00A97961"/>
    <w:rsid w:val="00AC657B"/>
    <w:rsid w:val="00AD0691"/>
    <w:rsid w:val="00AD7468"/>
    <w:rsid w:val="00AE0CFD"/>
    <w:rsid w:val="00AE28B1"/>
    <w:rsid w:val="00AE4FF1"/>
    <w:rsid w:val="00AF00F2"/>
    <w:rsid w:val="00AF38A1"/>
    <w:rsid w:val="00AF66AF"/>
    <w:rsid w:val="00B031D0"/>
    <w:rsid w:val="00B032BC"/>
    <w:rsid w:val="00B04171"/>
    <w:rsid w:val="00B057A1"/>
    <w:rsid w:val="00B0600F"/>
    <w:rsid w:val="00B1266C"/>
    <w:rsid w:val="00B1758A"/>
    <w:rsid w:val="00B21B6B"/>
    <w:rsid w:val="00B2761F"/>
    <w:rsid w:val="00B303E9"/>
    <w:rsid w:val="00B324A1"/>
    <w:rsid w:val="00B3476D"/>
    <w:rsid w:val="00B356EB"/>
    <w:rsid w:val="00B521EE"/>
    <w:rsid w:val="00B53040"/>
    <w:rsid w:val="00B533DC"/>
    <w:rsid w:val="00B6273F"/>
    <w:rsid w:val="00B947D9"/>
    <w:rsid w:val="00BA17D6"/>
    <w:rsid w:val="00BB5BD5"/>
    <w:rsid w:val="00BB5DDD"/>
    <w:rsid w:val="00BC0D3C"/>
    <w:rsid w:val="00BC136D"/>
    <w:rsid w:val="00BC7497"/>
    <w:rsid w:val="00BD23B3"/>
    <w:rsid w:val="00BD3FCD"/>
    <w:rsid w:val="00BE1620"/>
    <w:rsid w:val="00BE3A89"/>
    <w:rsid w:val="00BE7065"/>
    <w:rsid w:val="00BF3220"/>
    <w:rsid w:val="00BF5E10"/>
    <w:rsid w:val="00C04DD6"/>
    <w:rsid w:val="00C05C4A"/>
    <w:rsid w:val="00C145F2"/>
    <w:rsid w:val="00C15AA5"/>
    <w:rsid w:val="00C268D7"/>
    <w:rsid w:val="00C3226B"/>
    <w:rsid w:val="00C32DCC"/>
    <w:rsid w:val="00C34F3E"/>
    <w:rsid w:val="00C35B60"/>
    <w:rsid w:val="00C42545"/>
    <w:rsid w:val="00C427EB"/>
    <w:rsid w:val="00C527C1"/>
    <w:rsid w:val="00C61CCD"/>
    <w:rsid w:val="00C65458"/>
    <w:rsid w:val="00C8360F"/>
    <w:rsid w:val="00C94718"/>
    <w:rsid w:val="00CA0607"/>
    <w:rsid w:val="00CA2BC5"/>
    <w:rsid w:val="00CA745A"/>
    <w:rsid w:val="00CB4B8F"/>
    <w:rsid w:val="00CB64D4"/>
    <w:rsid w:val="00CB7F9F"/>
    <w:rsid w:val="00CC1B26"/>
    <w:rsid w:val="00CC39DC"/>
    <w:rsid w:val="00CC5EC9"/>
    <w:rsid w:val="00CD0A25"/>
    <w:rsid w:val="00CD3C24"/>
    <w:rsid w:val="00CE7EE5"/>
    <w:rsid w:val="00D00887"/>
    <w:rsid w:val="00D02C13"/>
    <w:rsid w:val="00D066FD"/>
    <w:rsid w:val="00D1262E"/>
    <w:rsid w:val="00D21166"/>
    <w:rsid w:val="00D3285B"/>
    <w:rsid w:val="00D336A7"/>
    <w:rsid w:val="00D44507"/>
    <w:rsid w:val="00D45948"/>
    <w:rsid w:val="00D473A7"/>
    <w:rsid w:val="00D47A42"/>
    <w:rsid w:val="00D518B6"/>
    <w:rsid w:val="00D54158"/>
    <w:rsid w:val="00D60C9B"/>
    <w:rsid w:val="00D65B9A"/>
    <w:rsid w:val="00D74A8B"/>
    <w:rsid w:val="00D763A9"/>
    <w:rsid w:val="00D77FEB"/>
    <w:rsid w:val="00D80F4C"/>
    <w:rsid w:val="00D82DF7"/>
    <w:rsid w:val="00D946EB"/>
    <w:rsid w:val="00D9642C"/>
    <w:rsid w:val="00D97E23"/>
    <w:rsid w:val="00DA5720"/>
    <w:rsid w:val="00DA60F8"/>
    <w:rsid w:val="00DC1470"/>
    <w:rsid w:val="00DE00FE"/>
    <w:rsid w:val="00DF3B72"/>
    <w:rsid w:val="00DF4A21"/>
    <w:rsid w:val="00DF53FE"/>
    <w:rsid w:val="00E146D8"/>
    <w:rsid w:val="00E15D8C"/>
    <w:rsid w:val="00E35384"/>
    <w:rsid w:val="00E355B8"/>
    <w:rsid w:val="00E44AB3"/>
    <w:rsid w:val="00E46BBA"/>
    <w:rsid w:val="00E51F2A"/>
    <w:rsid w:val="00E54343"/>
    <w:rsid w:val="00E5609C"/>
    <w:rsid w:val="00E6359B"/>
    <w:rsid w:val="00E650EB"/>
    <w:rsid w:val="00E661CD"/>
    <w:rsid w:val="00E67C87"/>
    <w:rsid w:val="00E726CF"/>
    <w:rsid w:val="00E83FAC"/>
    <w:rsid w:val="00E954B3"/>
    <w:rsid w:val="00EA3CC1"/>
    <w:rsid w:val="00EA5AF6"/>
    <w:rsid w:val="00EB1650"/>
    <w:rsid w:val="00EB7072"/>
    <w:rsid w:val="00EB7D09"/>
    <w:rsid w:val="00EC3056"/>
    <w:rsid w:val="00F06298"/>
    <w:rsid w:val="00F13A86"/>
    <w:rsid w:val="00F24962"/>
    <w:rsid w:val="00F349C5"/>
    <w:rsid w:val="00F3733E"/>
    <w:rsid w:val="00F423F6"/>
    <w:rsid w:val="00F478B0"/>
    <w:rsid w:val="00F5092C"/>
    <w:rsid w:val="00F60D51"/>
    <w:rsid w:val="00F61B48"/>
    <w:rsid w:val="00F630F0"/>
    <w:rsid w:val="00F653D9"/>
    <w:rsid w:val="00F653E7"/>
    <w:rsid w:val="00F657B0"/>
    <w:rsid w:val="00F71794"/>
    <w:rsid w:val="00F7349F"/>
    <w:rsid w:val="00F77BC2"/>
    <w:rsid w:val="00F80870"/>
    <w:rsid w:val="00F82ED3"/>
    <w:rsid w:val="00F95161"/>
    <w:rsid w:val="00F9526A"/>
    <w:rsid w:val="00FA1D3F"/>
    <w:rsid w:val="00FB4E45"/>
    <w:rsid w:val="00FC3F19"/>
    <w:rsid w:val="00FC4346"/>
    <w:rsid w:val="00FC457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1B0875-B1A8-4EAB-B189-F4FF1251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ind w:left="357"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A1"/>
  </w:style>
  <w:style w:type="paragraph" w:styleId="Heading1">
    <w:name w:val="heading 1"/>
    <w:basedOn w:val="Normal"/>
    <w:next w:val="Normal"/>
    <w:link w:val="Heading1Char"/>
    <w:qFormat/>
    <w:rsid w:val="003360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B64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B64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B64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B64D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autoRedefine/>
    <w:qFormat/>
    <w:rsid w:val="00A13EDC"/>
    <w:pPr>
      <w:keepNext/>
      <w:tabs>
        <w:tab w:val="num" w:pos="1152"/>
      </w:tabs>
      <w:spacing w:before="120" w:after="80"/>
      <w:ind w:left="1152" w:hanging="1152"/>
      <w:outlineLvl w:val="5"/>
    </w:pPr>
    <w:rPr>
      <w:rFonts w:ascii="Times New Roman" w:eastAsia="Times New Roman" w:hAnsi="Times New Roman" w:cs="Times New Roman"/>
      <w:b/>
      <w:kern w:val="28"/>
      <w:sz w:val="20"/>
      <w:szCs w:val="20"/>
      <w:lang w:eastAsia="de-DE"/>
    </w:rPr>
  </w:style>
  <w:style w:type="paragraph" w:styleId="Heading7">
    <w:name w:val="heading 7"/>
    <w:basedOn w:val="Normal"/>
    <w:next w:val="Normal"/>
    <w:link w:val="Heading7Char"/>
    <w:qFormat/>
    <w:rsid w:val="00A13EDC"/>
    <w:pPr>
      <w:keepNext/>
      <w:tabs>
        <w:tab w:val="num" w:pos="1296"/>
      </w:tabs>
      <w:spacing w:before="80" w:after="60"/>
      <w:ind w:left="1296" w:hanging="1296"/>
      <w:outlineLvl w:val="6"/>
    </w:pPr>
    <w:rPr>
      <w:rFonts w:ascii="Times New Roman" w:eastAsia="Times New Roman" w:hAnsi="Times New Roman" w:cs="Times New Roman"/>
      <w:b/>
      <w:kern w:val="28"/>
      <w:sz w:val="20"/>
      <w:szCs w:val="20"/>
      <w:lang w:eastAsia="de-DE"/>
    </w:rPr>
  </w:style>
  <w:style w:type="paragraph" w:styleId="Heading8">
    <w:name w:val="heading 8"/>
    <w:basedOn w:val="Normal"/>
    <w:next w:val="Normal"/>
    <w:link w:val="Heading8Char"/>
    <w:qFormat/>
    <w:rsid w:val="00A13EDC"/>
    <w:pPr>
      <w:keepNext/>
      <w:tabs>
        <w:tab w:val="num" w:pos="1440"/>
      </w:tabs>
      <w:spacing w:before="80" w:after="60"/>
      <w:ind w:left="1440" w:hanging="1440"/>
      <w:outlineLvl w:val="7"/>
    </w:pPr>
    <w:rPr>
      <w:rFonts w:ascii="Times New Roman" w:eastAsia="Times New Roman" w:hAnsi="Times New Roman" w:cs="Times New Roman"/>
      <w:b/>
      <w:i/>
      <w:kern w:val="28"/>
      <w:sz w:val="20"/>
      <w:szCs w:val="20"/>
      <w:lang w:eastAsia="de-DE"/>
    </w:rPr>
  </w:style>
  <w:style w:type="paragraph" w:styleId="Heading9">
    <w:name w:val="heading 9"/>
    <w:basedOn w:val="Normal"/>
    <w:next w:val="Normal"/>
    <w:link w:val="Heading9Char"/>
    <w:qFormat/>
    <w:rsid w:val="00A13EDC"/>
    <w:pPr>
      <w:keepNext/>
      <w:tabs>
        <w:tab w:val="num" w:pos="1584"/>
      </w:tabs>
      <w:spacing w:before="80" w:after="60"/>
      <w:ind w:left="1584" w:hanging="1584"/>
      <w:outlineLvl w:val="8"/>
    </w:pPr>
    <w:rPr>
      <w:rFonts w:ascii="Times New Roman" w:eastAsia="Times New Roman" w:hAnsi="Times New Roman" w:cs="Times New Roman"/>
      <w:b/>
      <w:i/>
      <w:kern w:val="28"/>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C2F96"/>
    <w:pPr>
      <w:ind w:left="720"/>
      <w:contextualSpacing/>
    </w:pPr>
  </w:style>
  <w:style w:type="character" w:styleId="PlaceholderText">
    <w:name w:val="Placeholder Text"/>
    <w:basedOn w:val="DefaultParagraphFont"/>
    <w:uiPriority w:val="99"/>
    <w:semiHidden/>
    <w:rsid w:val="007669FF"/>
    <w:rPr>
      <w:color w:val="808080"/>
    </w:rPr>
  </w:style>
  <w:style w:type="table" w:styleId="TableGrid">
    <w:name w:val="Table Grid"/>
    <w:basedOn w:val="TableNormal"/>
    <w:uiPriority w:val="59"/>
    <w:rsid w:val="00AD7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6D5959"/>
    <w:pPr>
      <w:keepNext/>
      <w:tabs>
        <w:tab w:val="center" w:pos="4536"/>
        <w:tab w:val="right" w:pos="9072"/>
      </w:tabs>
      <w:ind w:left="0" w:firstLine="0"/>
    </w:pPr>
    <w:rPr>
      <w:rFonts w:ascii="Times New Roman" w:eastAsia="Times New Roman" w:hAnsi="Times New Roman" w:cs="Times New Roman"/>
      <w:sz w:val="20"/>
      <w:szCs w:val="20"/>
      <w:lang w:eastAsia="de-DE"/>
    </w:rPr>
  </w:style>
  <w:style w:type="character" w:customStyle="1" w:styleId="HeaderChar">
    <w:name w:val="Header Char"/>
    <w:basedOn w:val="DefaultParagraphFont"/>
    <w:link w:val="Header"/>
    <w:uiPriority w:val="99"/>
    <w:rsid w:val="006D5959"/>
    <w:rPr>
      <w:rFonts w:ascii="Times New Roman" w:eastAsia="Times New Roman" w:hAnsi="Times New Roman" w:cs="Times New Roman"/>
      <w:sz w:val="20"/>
      <w:szCs w:val="20"/>
      <w:lang w:eastAsia="de-DE"/>
    </w:rPr>
  </w:style>
  <w:style w:type="character" w:styleId="PageNumber">
    <w:name w:val="page number"/>
    <w:basedOn w:val="DefaultParagraphFont"/>
    <w:semiHidden/>
    <w:rsid w:val="006D5959"/>
  </w:style>
  <w:style w:type="paragraph" w:styleId="TOC1">
    <w:name w:val="toc 1"/>
    <w:basedOn w:val="Normal"/>
    <w:next w:val="Normal"/>
    <w:autoRedefine/>
    <w:uiPriority w:val="39"/>
    <w:rsid w:val="006D5959"/>
    <w:pPr>
      <w:keepNext/>
      <w:tabs>
        <w:tab w:val="left" w:pos="851"/>
        <w:tab w:val="right" w:pos="9062"/>
      </w:tabs>
      <w:spacing w:before="120" w:line="300" w:lineRule="exact"/>
      <w:ind w:left="851" w:hanging="851"/>
    </w:pPr>
    <w:rPr>
      <w:rFonts w:ascii="Times New Roman" w:eastAsia="Times New Roman" w:hAnsi="Times New Roman" w:cs="Times New Roman"/>
      <w:b/>
      <w:noProof/>
      <w:sz w:val="20"/>
      <w:szCs w:val="20"/>
      <w:lang w:eastAsia="de-DE"/>
    </w:rPr>
  </w:style>
  <w:style w:type="paragraph" w:styleId="TOC2">
    <w:name w:val="toc 2"/>
    <w:basedOn w:val="Normal"/>
    <w:next w:val="Normal"/>
    <w:autoRedefine/>
    <w:uiPriority w:val="39"/>
    <w:rsid w:val="006D5959"/>
    <w:pPr>
      <w:keepNext/>
      <w:tabs>
        <w:tab w:val="left" w:pos="851"/>
        <w:tab w:val="right" w:pos="9062"/>
      </w:tabs>
      <w:spacing w:before="60" w:after="60" w:line="280" w:lineRule="exact"/>
      <w:ind w:left="0" w:firstLine="0"/>
    </w:pPr>
    <w:rPr>
      <w:rFonts w:ascii="Times New Roman" w:eastAsia="Times New Roman" w:hAnsi="Times New Roman" w:cs="Times New Roman"/>
      <w:b/>
      <w:sz w:val="20"/>
      <w:szCs w:val="20"/>
      <w:lang w:eastAsia="de-DE"/>
    </w:rPr>
  </w:style>
  <w:style w:type="paragraph" w:styleId="TOC3">
    <w:name w:val="toc 3"/>
    <w:basedOn w:val="Normal"/>
    <w:next w:val="Normal"/>
    <w:autoRedefine/>
    <w:uiPriority w:val="39"/>
    <w:rsid w:val="006D5959"/>
    <w:pPr>
      <w:keepNext/>
      <w:tabs>
        <w:tab w:val="left" w:pos="851"/>
        <w:tab w:val="right" w:pos="9062"/>
      </w:tabs>
      <w:ind w:left="0" w:firstLine="0"/>
    </w:pPr>
    <w:rPr>
      <w:rFonts w:ascii="Times New Roman" w:eastAsia="Times New Roman" w:hAnsi="Times New Roman" w:cs="Times New Roman"/>
      <w:noProof/>
      <w:sz w:val="20"/>
      <w:szCs w:val="20"/>
      <w:lang w:eastAsia="de-DE"/>
    </w:rPr>
  </w:style>
  <w:style w:type="character" w:customStyle="1" w:styleId="Heading1Char">
    <w:name w:val="Heading 1 Char"/>
    <w:basedOn w:val="DefaultParagraphFont"/>
    <w:link w:val="Heading1"/>
    <w:rsid w:val="003360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3608C"/>
    <w:pPr>
      <w:spacing w:line="276" w:lineRule="auto"/>
      <w:ind w:left="0" w:firstLine="0"/>
      <w:outlineLvl w:val="9"/>
    </w:pPr>
  </w:style>
  <w:style w:type="character" w:styleId="Hyperlink">
    <w:name w:val="Hyperlink"/>
    <w:basedOn w:val="DefaultParagraphFont"/>
    <w:uiPriority w:val="99"/>
    <w:unhideWhenUsed/>
    <w:rsid w:val="0033608C"/>
    <w:rPr>
      <w:color w:val="0000FF" w:themeColor="hyperlink"/>
      <w:u w:val="single"/>
    </w:rPr>
  </w:style>
  <w:style w:type="character" w:customStyle="1" w:styleId="Heading2Char">
    <w:name w:val="Heading 2 Char"/>
    <w:basedOn w:val="DefaultParagraphFont"/>
    <w:link w:val="Heading2"/>
    <w:uiPriority w:val="9"/>
    <w:semiHidden/>
    <w:rsid w:val="00CB64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B64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B64D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B64D4"/>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semiHidden/>
    <w:rsid w:val="00CB64D4"/>
    <w:pPr>
      <w:keepNext/>
      <w:ind w:left="170" w:hanging="170"/>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semiHidden/>
    <w:rsid w:val="00CB64D4"/>
    <w:rPr>
      <w:rFonts w:ascii="Times New Roman" w:eastAsia="Times New Roman" w:hAnsi="Times New Roman" w:cs="Times New Roman"/>
      <w:sz w:val="20"/>
      <w:szCs w:val="20"/>
      <w:lang w:eastAsia="de-DE"/>
    </w:rPr>
  </w:style>
  <w:style w:type="paragraph" w:customStyle="1" w:styleId="Text">
    <w:name w:val="Text"/>
    <w:basedOn w:val="Normal"/>
    <w:autoRedefine/>
    <w:rsid w:val="00CB64D4"/>
    <w:pPr>
      <w:keepNext/>
      <w:spacing w:after="80" w:line="300" w:lineRule="exact"/>
      <w:ind w:left="0" w:firstLine="0"/>
    </w:pPr>
    <w:rPr>
      <w:rFonts w:ascii="Times New Roman" w:eastAsia="Times New Roman" w:hAnsi="Times New Roman" w:cs="Times New Roman"/>
      <w:bCs/>
      <w:kern w:val="28"/>
      <w:szCs w:val="20"/>
      <w:lang w:eastAsia="de-DE"/>
    </w:rPr>
  </w:style>
  <w:style w:type="paragraph" w:customStyle="1" w:styleId="Einzug-1">
    <w:name w:val="Einzug-1"/>
    <w:basedOn w:val="Normal"/>
    <w:autoRedefine/>
    <w:rsid w:val="00CB64D4"/>
    <w:pPr>
      <w:keepNext/>
      <w:tabs>
        <w:tab w:val="left" w:pos="426"/>
      </w:tabs>
      <w:spacing w:before="60" w:after="60" w:line="300" w:lineRule="exact"/>
      <w:ind w:left="0" w:firstLine="0"/>
    </w:pPr>
    <w:rPr>
      <w:rFonts w:ascii="Times New Roman" w:eastAsia="Times New Roman" w:hAnsi="Times New Roman" w:cs="Times New Roman"/>
      <w:sz w:val="24"/>
      <w:szCs w:val="20"/>
      <w:lang w:eastAsia="de-DE"/>
    </w:rPr>
  </w:style>
  <w:style w:type="paragraph" w:customStyle="1" w:styleId="Tabellen">
    <w:name w:val="Tabellen"/>
    <w:basedOn w:val="Text"/>
    <w:rsid w:val="00CB64D4"/>
  </w:style>
  <w:style w:type="paragraph" w:customStyle="1" w:styleId="Tab-berschrift">
    <w:name w:val="Tab-Überschrift"/>
    <w:basedOn w:val="Tabellen"/>
    <w:autoRedefine/>
    <w:rsid w:val="006C1677"/>
    <w:rPr>
      <w:rFonts w:asciiTheme="minorHAnsi" w:hAnsiTheme="minorHAnsi"/>
      <w:b/>
      <w:bCs w:val="0"/>
    </w:rPr>
  </w:style>
  <w:style w:type="character" w:styleId="FootnoteReference">
    <w:name w:val="footnote reference"/>
    <w:basedOn w:val="DefaultParagraphFont"/>
    <w:semiHidden/>
    <w:rsid w:val="00CB64D4"/>
    <w:rPr>
      <w:vertAlign w:val="superscript"/>
    </w:rPr>
  </w:style>
  <w:style w:type="paragraph" w:customStyle="1" w:styleId="SP1">
    <w:name w:val="SP1"/>
    <w:basedOn w:val="Normal"/>
    <w:autoRedefine/>
    <w:rsid w:val="00CB64D4"/>
    <w:pPr>
      <w:numPr>
        <w:numId w:val="6"/>
      </w:numPr>
      <w:spacing w:before="40" w:after="40" w:line="240" w:lineRule="exact"/>
      <w:ind w:left="567" w:hanging="501"/>
    </w:pPr>
    <w:rPr>
      <w:rFonts w:ascii="Times New Roman" w:eastAsia="Times New Roman" w:hAnsi="Times New Roman" w:cs="Times New Roman"/>
      <w:sz w:val="24"/>
      <w:szCs w:val="20"/>
      <w:lang w:eastAsia="de-DE"/>
    </w:rPr>
  </w:style>
  <w:style w:type="paragraph" w:customStyle="1" w:styleId="Tab-Kopf">
    <w:name w:val="Tab-Kopf"/>
    <w:basedOn w:val="Tab-berschrift"/>
    <w:rsid w:val="00CB64D4"/>
    <w:pPr>
      <w:spacing w:before="60" w:after="60" w:line="260" w:lineRule="exact"/>
    </w:pPr>
    <w:rPr>
      <w:sz w:val="20"/>
    </w:rPr>
  </w:style>
  <w:style w:type="character" w:customStyle="1" w:styleId="Heading6Char">
    <w:name w:val="Heading 6 Char"/>
    <w:basedOn w:val="DefaultParagraphFont"/>
    <w:link w:val="Heading6"/>
    <w:rsid w:val="00A13EDC"/>
    <w:rPr>
      <w:rFonts w:ascii="Times New Roman" w:eastAsia="Times New Roman" w:hAnsi="Times New Roman" w:cs="Times New Roman"/>
      <w:b/>
      <w:kern w:val="28"/>
      <w:sz w:val="20"/>
      <w:szCs w:val="20"/>
      <w:lang w:eastAsia="de-DE"/>
    </w:rPr>
  </w:style>
  <w:style w:type="character" w:customStyle="1" w:styleId="Heading7Char">
    <w:name w:val="Heading 7 Char"/>
    <w:basedOn w:val="DefaultParagraphFont"/>
    <w:link w:val="Heading7"/>
    <w:rsid w:val="00A13EDC"/>
    <w:rPr>
      <w:rFonts w:ascii="Times New Roman" w:eastAsia="Times New Roman" w:hAnsi="Times New Roman" w:cs="Times New Roman"/>
      <w:b/>
      <w:kern w:val="28"/>
      <w:sz w:val="20"/>
      <w:szCs w:val="20"/>
      <w:lang w:eastAsia="de-DE"/>
    </w:rPr>
  </w:style>
  <w:style w:type="character" w:customStyle="1" w:styleId="Heading8Char">
    <w:name w:val="Heading 8 Char"/>
    <w:basedOn w:val="DefaultParagraphFont"/>
    <w:link w:val="Heading8"/>
    <w:rsid w:val="00A13EDC"/>
    <w:rPr>
      <w:rFonts w:ascii="Times New Roman" w:eastAsia="Times New Roman" w:hAnsi="Times New Roman" w:cs="Times New Roman"/>
      <w:b/>
      <w:i/>
      <w:kern w:val="28"/>
      <w:sz w:val="20"/>
      <w:szCs w:val="20"/>
      <w:lang w:eastAsia="de-DE"/>
    </w:rPr>
  </w:style>
  <w:style w:type="character" w:customStyle="1" w:styleId="Heading9Char">
    <w:name w:val="Heading 9 Char"/>
    <w:basedOn w:val="DefaultParagraphFont"/>
    <w:link w:val="Heading9"/>
    <w:rsid w:val="00A13EDC"/>
    <w:rPr>
      <w:rFonts w:ascii="Times New Roman" w:eastAsia="Times New Roman" w:hAnsi="Times New Roman" w:cs="Times New Roman"/>
      <w:b/>
      <w:i/>
      <w:kern w:val="28"/>
      <w:sz w:val="20"/>
      <w:szCs w:val="20"/>
      <w:lang w:eastAsia="de-DE"/>
    </w:rPr>
  </w:style>
  <w:style w:type="paragraph" w:customStyle="1" w:styleId="Tablefootnote">
    <w:name w:val="Table footnote"/>
    <w:basedOn w:val="Normal"/>
    <w:rsid w:val="00A13EDC"/>
    <w:pPr>
      <w:tabs>
        <w:tab w:val="left" w:pos="340"/>
      </w:tabs>
      <w:spacing w:before="60" w:after="60" w:line="190" w:lineRule="atLeast"/>
      <w:ind w:left="0" w:firstLine="0"/>
      <w:jc w:val="both"/>
    </w:pPr>
    <w:rPr>
      <w:rFonts w:ascii="Arial" w:eastAsia="MS Mincho" w:hAnsi="Arial" w:cs="Times New Roman"/>
      <w:sz w:val="16"/>
      <w:szCs w:val="20"/>
      <w:lang w:eastAsia="de-DE"/>
    </w:rPr>
  </w:style>
  <w:style w:type="character" w:customStyle="1" w:styleId="TableFootNoteXref">
    <w:name w:val="TableFootNoteXref"/>
    <w:rsid w:val="00A13EDC"/>
    <w:rPr>
      <w:noProof/>
      <w:position w:val="6"/>
      <w:sz w:val="14"/>
      <w:lang w:val="pl-PL"/>
    </w:rPr>
  </w:style>
  <w:style w:type="paragraph" w:customStyle="1" w:styleId="Tabletext10">
    <w:name w:val="Table text (10)"/>
    <w:basedOn w:val="Normal"/>
    <w:rsid w:val="00A13EDC"/>
    <w:pPr>
      <w:spacing w:before="60" w:after="60" w:line="230" w:lineRule="atLeast"/>
      <w:ind w:left="0" w:firstLine="0"/>
      <w:jc w:val="both"/>
    </w:pPr>
    <w:rPr>
      <w:rFonts w:ascii="Arial" w:eastAsia="MS Mincho" w:hAnsi="Arial" w:cs="Times New Roman"/>
      <w:sz w:val="20"/>
      <w:szCs w:val="20"/>
      <w:lang w:eastAsia="de-DE"/>
    </w:rPr>
  </w:style>
  <w:style w:type="paragraph" w:customStyle="1" w:styleId="ISOChange">
    <w:name w:val="ISO_Change"/>
    <w:basedOn w:val="Normal"/>
    <w:rsid w:val="00A13EDC"/>
    <w:pPr>
      <w:spacing w:before="210" w:line="210" w:lineRule="exact"/>
      <w:ind w:left="0" w:firstLine="0"/>
    </w:pPr>
    <w:rPr>
      <w:rFonts w:ascii="Arial" w:eastAsia="Times New Roman" w:hAnsi="Arial" w:cs="Arial"/>
      <w:sz w:val="18"/>
      <w:szCs w:val="18"/>
    </w:rPr>
  </w:style>
  <w:style w:type="paragraph" w:customStyle="1" w:styleId="ISOSecretObservations">
    <w:name w:val="ISO_Secret_Observations"/>
    <w:basedOn w:val="Normal"/>
    <w:rsid w:val="00A13EDC"/>
    <w:pPr>
      <w:spacing w:before="210" w:line="210" w:lineRule="exact"/>
      <w:ind w:left="0" w:firstLine="0"/>
    </w:pPr>
    <w:rPr>
      <w:rFonts w:ascii="Arial" w:eastAsia="Times New Roman" w:hAnsi="Arial" w:cs="Arial"/>
      <w:sz w:val="18"/>
      <w:szCs w:val="18"/>
    </w:rPr>
  </w:style>
  <w:style w:type="paragraph" w:styleId="Footer">
    <w:name w:val="footer"/>
    <w:basedOn w:val="Normal"/>
    <w:link w:val="FooterChar"/>
    <w:uiPriority w:val="99"/>
    <w:unhideWhenUsed/>
    <w:rsid w:val="0094411F"/>
    <w:pPr>
      <w:tabs>
        <w:tab w:val="center" w:pos="4536"/>
        <w:tab w:val="right" w:pos="9072"/>
      </w:tabs>
    </w:pPr>
  </w:style>
  <w:style w:type="character" w:customStyle="1" w:styleId="FooterChar">
    <w:name w:val="Footer Char"/>
    <w:basedOn w:val="DefaultParagraphFont"/>
    <w:link w:val="Footer"/>
    <w:uiPriority w:val="99"/>
    <w:rsid w:val="0094411F"/>
  </w:style>
  <w:style w:type="paragraph" w:styleId="Subtitle">
    <w:name w:val="Subtitle"/>
    <w:basedOn w:val="Normal"/>
    <w:next w:val="Normal"/>
    <w:link w:val="SubtitleChar"/>
    <w:uiPriority w:val="11"/>
    <w:qFormat/>
    <w:rsid w:val="000D70C0"/>
    <w:pPr>
      <w:numPr>
        <w:ilvl w:val="1"/>
      </w:numPr>
      <w:ind w:left="357" w:hanging="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70C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semiHidden/>
    <w:rsid w:val="00B521EE"/>
    <w:pPr>
      <w:ind w:left="0" w:firstLine="0"/>
    </w:pPr>
    <w:rPr>
      <w:rFonts w:ascii="Times New Roman" w:eastAsia="Times New Roman" w:hAnsi="Times New Roman" w:cs="Times New Roman"/>
      <w:b/>
      <w:sz w:val="24"/>
      <w:szCs w:val="20"/>
      <w:lang w:eastAsia="de-DE"/>
    </w:rPr>
  </w:style>
  <w:style w:type="character" w:customStyle="1" w:styleId="BodyTextChar">
    <w:name w:val="Body Text Char"/>
    <w:basedOn w:val="DefaultParagraphFont"/>
    <w:link w:val="BodyText"/>
    <w:semiHidden/>
    <w:rsid w:val="00B521EE"/>
    <w:rPr>
      <w:rFonts w:ascii="Times New Roman" w:eastAsia="Times New Roman" w:hAnsi="Times New Roman" w:cs="Times New Roman"/>
      <w:b/>
      <w:sz w:val="24"/>
      <w:szCs w:val="20"/>
      <w:lang w:eastAsia="de-DE"/>
    </w:rPr>
  </w:style>
  <w:style w:type="paragraph" w:customStyle="1" w:styleId="-Einzug1">
    <w:name w:val="-Einzug1"/>
    <w:basedOn w:val="BodyText2"/>
    <w:autoRedefine/>
    <w:rsid w:val="00B521EE"/>
    <w:pPr>
      <w:keepNext/>
      <w:numPr>
        <w:numId w:val="10"/>
      </w:numPr>
      <w:tabs>
        <w:tab w:val="clear" w:pos="360"/>
        <w:tab w:val="num" w:pos="907"/>
        <w:tab w:val="left" w:pos="4111"/>
      </w:tabs>
      <w:spacing w:before="40" w:after="40" w:line="280" w:lineRule="exact"/>
      <w:ind w:left="4111" w:hanging="3487"/>
    </w:pPr>
    <w:rPr>
      <w:rFonts w:ascii="Times New Roman" w:eastAsia="Times New Roman" w:hAnsi="Times New Roman" w:cs="Times New Roman"/>
      <w:sz w:val="24"/>
      <w:szCs w:val="20"/>
      <w:lang w:eastAsia="de-DE"/>
    </w:rPr>
  </w:style>
  <w:style w:type="paragraph" w:styleId="BodyText2">
    <w:name w:val="Body Text 2"/>
    <w:basedOn w:val="Normal"/>
    <w:link w:val="BodyText2Char"/>
    <w:uiPriority w:val="99"/>
    <w:semiHidden/>
    <w:unhideWhenUsed/>
    <w:rsid w:val="00B521EE"/>
    <w:pPr>
      <w:spacing w:after="120" w:line="480" w:lineRule="auto"/>
    </w:pPr>
  </w:style>
  <w:style w:type="character" w:customStyle="1" w:styleId="BodyText2Char">
    <w:name w:val="Body Text 2 Char"/>
    <w:basedOn w:val="DefaultParagraphFont"/>
    <w:link w:val="BodyText2"/>
    <w:uiPriority w:val="99"/>
    <w:semiHidden/>
    <w:rsid w:val="00B521EE"/>
  </w:style>
  <w:style w:type="paragraph" w:customStyle="1" w:styleId="ZTVMFliestext">
    <w:name w:val="ZTV M Fliestext"/>
    <w:basedOn w:val="Normal"/>
    <w:rsid w:val="00CC1B26"/>
    <w:pPr>
      <w:pBdr>
        <w:right w:val="single" w:sz="12" w:space="4" w:color="auto"/>
      </w:pBdr>
      <w:tabs>
        <w:tab w:val="left" w:pos="1260"/>
      </w:tabs>
      <w:spacing w:before="60" w:after="120" w:line="280" w:lineRule="exact"/>
      <w:ind w:left="0" w:firstLine="0"/>
    </w:pPr>
    <w:rPr>
      <w:rFonts w:ascii="Times New Roman" w:eastAsia="Times New Roman" w:hAnsi="Times New Roman" w:cs="Times New Roman"/>
      <w:color w:val="000000"/>
      <w:sz w:val="24"/>
      <w:szCs w:val="20"/>
      <w:lang w:eastAsia="de-DE"/>
    </w:rPr>
  </w:style>
  <w:style w:type="paragraph" w:styleId="BodyTextIndent">
    <w:name w:val="Body Text Indent"/>
    <w:basedOn w:val="Normal"/>
    <w:link w:val="BodyTextIndentChar"/>
    <w:uiPriority w:val="99"/>
    <w:semiHidden/>
    <w:unhideWhenUsed/>
    <w:rsid w:val="00B1266C"/>
    <w:pPr>
      <w:spacing w:after="120"/>
      <w:ind w:left="283"/>
    </w:pPr>
  </w:style>
  <w:style w:type="character" w:customStyle="1" w:styleId="BodyTextIndentChar">
    <w:name w:val="Body Text Indent Char"/>
    <w:basedOn w:val="DefaultParagraphFont"/>
    <w:link w:val="BodyTextIndent"/>
    <w:uiPriority w:val="99"/>
    <w:semiHidden/>
    <w:rsid w:val="00B1266C"/>
  </w:style>
  <w:style w:type="paragraph" w:styleId="Title">
    <w:name w:val="Title"/>
    <w:basedOn w:val="Normal"/>
    <w:link w:val="TitleChar"/>
    <w:qFormat/>
    <w:rsid w:val="00B1266C"/>
    <w:pPr>
      <w:ind w:left="0" w:firstLine="0"/>
      <w:jc w:val="center"/>
    </w:pPr>
    <w:rPr>
      <w:rFonts w:ascii="Times New Roman" w:eastAsia="Times New Roman" w:hAnsi="Times New Roman" w:cs="Times New Roman"/>
      <w:b/>
      <w:snapToGrid w:val="0"/>
      <w:sz w:val="28"/>
      <w:szCs w:val="20"/>
      <w:lang w:eastAsia="de-DE"/>
    </w:rPr>
  </w:style>
  <w:style w:type="character" w:customStyle="1" w:styleId="TitleChar">
    <w:name w:val="Title Char"/>
    <w:basedOn w:val="DefaultParagraphFont"/>
    <w:link w:val="Title"/>
    <w:rsid w:val="00B1266C"/>
    <w:rPr>
      <w:rFonts w:ascii="Times New Roman" w:eastAsia="Times New Roman" w:hAnsi="Times New Roman" w:cs="Times New Roman"/>
      <w:b/>
      <w:snapToGrid w:val="0"/>
      <w:sz w:val="28"/>
      <w:szCs w:val="20"/>
      <w:lang w:eastAsia="de-DE"/>
    </w:rPr>
  </w:style>
  <w:style w:type="paragraph" w:styleId="BalloonText">
    <w:name w:val="Balloon Text"/>
    <w:basedOn w:val="Normal"/>
    <w:link w:val="BalloonTextChar"/>
    <w:uiPriority w:val="99"/>
    <w:semiHidden/>
    <w:unhideWhenUsed/>
    <w:rsid w:val="002A210D"/>
    <w:rPr>
      <w:rFonts w:ascii="Tahoma" w:hAnsi="Tahoma" w:cs="Tahoma"/>
      <w:sz w:val="16"/>
      <w:szCs w:val="16"/>
    </w:rPr>
  </w:style>
  <w:style w:type="character" w:customStyle="1" w:styleId="BalloonTextChar">
    <w:name w:val="Balloon Text Char"/>
    <w:basedOn w:val="DefaultParagraphFont"/>
    <w:link w:val="BalloonText"/>
    <w:uiPriority w:val="99"/>
    <w:semiHidden/>
    <w:rsid w:val="002A210D"/>
    <w:rPr>
      <w:rFonts w:ascii="Tahoma" w:hAnsi="Tahoma" w:cs="Tahoma"/>
      <w:sz w:val="16"/>
      <w:szCs w:val="16"/>
    </w:rPr>
  </w:style>
  <w:style w:type="character" w:styleId="CommentReference">
    <w:name w:val="annotation reference"/>
    <w:basedOn w:val="DefaultParagraphFont"/>
    <w:uiPriority w:val="99"/>
    <w:semiHidden/>
    <w:unhideWhenUsed/>
    <w:rsid w:val="00536458"/>
    <w:rPr>
      <w:sz w:val="16"/>
      <w:szCs w:val="16"/>
    </w:rPr>
  </w:style>
  <w:style w:type="paragraph" w:styleId="CommentText">
    <w:name w:val="annotation text"/>
    <w:basedOn w:val="Normal"/>
    <w:link w:val="CommentTextChar"/>
    <w:uiPriority w:val="99"/>
    <w:semiHidden/>
    <w:unhideWhenUsed/>
    <w:rsid w:val="00536458"/>
    <w:rPr>
      <w:sz w:val="20"/>
      <w:szCs w:val="20"/>
    </w:rPr>
  </w:style>
  <w:style w:type="character" w:customStyle="1" w:styleId="CommentTextChar">
    <w:name w:val="Comment Text Char"/>
    <w:basedOn w:val="DefaultParagraphFont"/>
    <w:link w:val="CommentText"/>
    <w:uiPriority w:val="99"/>
    <w:semiHidden/>
    <w:rsid w:val="00536458"/>
    <w:rPr>
      <w:sz w:val="20"/>
      <w:szCs w:val="20"/>
    </w:rPr>
  </w:style>
  <w:style w:type="character" w:styleId="Strong">
    <w:name w:val="Strong"/>
    <w:basedOn w:val="DefaultParagraphFont"/>
    <w:uiPriority w:val="22"/>
    <w:qFormat/>
    <w:rsid w:val="008D2005"/>
    <w:rPr>
      <w:b/>
      <w:bCs/>
    </w:rPr>
  </w:style>
  <w:style w:type="paragraph" w:styleId="CommentSubject">
    <w:name w:val="annotation subject"/>
    <w:basedOn w:val="CommentText"/>
    <w:next w:val="CommentText"/>
    <w:link w:val="CommentSubjectChar"/>
    <w:uiPriority w:val="99"/>
    <w:semiHidden/>
    <w:unhideWhenUsed/>
    <w:rsid w:val="00BD23B3"/>
    <w:rPr>
      <w:b/>
      <w:bCs/>
    </w:rPr>
  </w:style>
  <w:style w:type="character" w:customStyle="1" w:styleId="CommentSubjectChar">
    <w:name w:val="Comment Subject Char"/>
    <w:basedOn w:val="CommentTextChar"/>
    <w:link w:val="CommentSubject"/>
    <w:uiPriority w:val="99"/>
    <w:semiHidden/>
    <w:rsid w:val="00BD23B3"/>
    <w:rPr>
      <w:b/>
      <w:bCs/>
      <w:sz w:val="20"/>
      <w:szCs w:val="20"/>
    </w:rPr>
  </w:style>
  <w:style w:type="paragraph" w:styleId="Revision">
    <w:name w:val="Revision"/>
    <w:hidden/>
    <w:uiPriority w:val="99"/>
    <w:semiHidden/>
    <w:rsid w:val="008F3D75"/>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0696">
      <w:bodyDiv w:val="1"/>
      <w:marLeft w:val="0"/>
      <w:marRight w:val="0"/>
      <w:marTop w:val="0"/>
      <w:marBottom w:val="0"/>
      <w:divBdr>
        <w:top w:val="none" w:sz="0" w:space="0" w:color="auto"/>
        <w:left w:val="none" w:sz="0" w:space="0" w:color="auto"/>
        <w:bottom w:val="none" w:sz="0" w:space="0" w:color="auto"/>
        <w:right w:val="none" w:sz="0" w:space="0" w:color="auto"/>
      </w:divBdr>
    </w:div>
    <w:div w:id="657268090">
      <w:bodyDiv w:val="1"/>
      <w:marLeft w:val="0"/>
      <w:marRight w:val="0"/>
      <w:marTop w:val="0"/>
      <w:marBottom w:val="0"/>
      <w:divBdr>
        <w:top w:val="none" w:sz="0" w:space="0" w:color="auto"/>
        <w:left w:val="none" w:sz="0" w:space="0" w:color="auto"/>
        <w:bottom w:val="none" w:sz="0" w:space="0" w:color="auto"/>
        <w:right w:val="none" w:sz="0" w:space="0" w:color="auto"/>
      </w:divBdr>
    </w:div>
    <w:div w:id="948396053">
      <w:bodyDiv w:val="1"/>
      <w:marLeft w:val="0"/>
      <w:marRight w:val="0"/>
      <w:marTop w:val="0"/>
      <w:marBottom w:val="0"/>
      <w:divBdr>
        <w:top w:val="none" w:sz="0" w:space="0" w:color="auto"/>
        <w:left w:val="none" w:sz="0" w:space="0" w:color="auto"/>
        <w:bottom w:val="none" w:sz="0" w:space="0" w:color="auto"/>
        <w:right w:val="none" w:sz="0" w:space="0" w:color="auto"/>
      </w:divBdr>
    </w:div>
    <w:div w:id="1597981163">
      <w:bodyDiv w:val="1"/>
      <w:marLeft w:val="0"/>
      <w:marRight w:val="0"/>
      <w:marTop w:val="0"/>
      <w:marBottom w:val="0"/>
      <w:divBdr>
        <w:top w:val="none" w:sz="0" w:space="0" w:color="auto"/>
        <w:left w:val="none" w:sz="0" w:space="0" w:color="auto"/>
        <w:bottom w:val="none" w:sz="0" w:space="0" w:color="auto"/>
        <w:right w:val="none" w:sz="0" w:space="0" w:color="auto"/>
      </w:divBdr>
    </w:div>
    <w:div w:id="163251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A1604-04C2-4559-BCF4-1EC979EC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8057</Words>
  <Characters>45928</Characters>
  <Application>Microsoft Office Word</Application>
  <DocSecurity>0</DocSecurity>
  <Lines>382</Lines>
  <Paragraphs>107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BASt</Company>
  <LinksUpToDate>false</LinksUpToDate>
  <CharactersWithSpaces>53878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V4</dc:creator>
  <cp:lastModifiedBy>Ke, Tingting</cp:lastModifiedBy>
  <cp:revision>21</cp:revision>
  <cp:lastPrinted>2018-06-14T08:38:00Z</cp:lastPrinted>
  <dcterms:created xsi:type="dcterms:W3CDTF">2018-08-23T11:48:00Z</dcterms:created>
  <dcterms:modified xsi:type="dcterms:W3CDTF">2019-06-26T14:39:00Z</dcterms:modified>
</cp:coreProperties>
</file>