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szCs w:val="20"/>
        </w:rPr>
        <w:t>1. ------IND- 2020 0485 L-- BG- ------ 20200812 --- --- PROJET</w:t>
      </w:r>
    </w:p>
    <w:bookmarkEnd w:id="0"/>
    <w:p w14:paraId="064DCE1A" w14:textId="2EE2449E"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szCs w:val="24"/>
        </w:rPr>
        <w:t>Закон от 21 март 2017 г. за опаковките и отпадъците от опаковки</w:t>
      </w:r>
    </w:p>
    <w:p w14:paraId="71E8730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szCs w:val="24"/>
        </w:rPr>
        <w:t>Консолидиран текст</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szCs w:val="24"/>
          <w:u w:val="single"/>
        </w:rPr>
        <w:t>Член 1. Цели</w:t>
      </w:r>
    </w:p>
    <w:p w14:paraId="20EDAC04" w14:textId="77777777"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szCs w:val="24"/>
        </w:rPr>
        <w:t> С настоящия закон се установяват мерки, насочени приоритетно към предотвратяване на образуването на отпадъци от опаковки и като допълнителни основни принципи към повторно използване и подготовка за повторна употреба на опаковките, към рециклиране и други форми на оползотворяване на отпадъците от опаковки, и следователно към намаляване на окончателното обезвреждане на такива отпадъци, с цел да се спомогне за прехода към кръгова икономика.</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bCs/>
        </w:rPr>
        <w:t xml:space="preserve">Член 2. </w:t>
      </w:r>
      <w:r>
        <w:rPr>
          <w:b/>
          <w:bCs/>
          <w:iCs/>
        </w:rPr>
        <w:t>Обхват</w:t>
      </w:r>
    </w:p>
    <w:p w14:paraId="10EC3FDA" w14:textId="77777777" w:rsidR="000147DB" w:rsidRPr="003E7524" w:rsidRDefault="000147DB" w:rsidP="000147DB">
      <w:pPr>
        <w:spacing w:after="0" w:line="240" w:lineRule="auto"/>
        <w:jc w:val="both"/>
        <w:rPr>
          <w:rFonts w:eastAsia="Times New Roman" w:cs="Arial"/>
        </w:rPr>
      </w:pPr>
      <w:r>
        <w:t>Настоящият закон се отнася за всички опаковки, пуснати на люксембургския пазар и всички отпадъци от опаковки, независимо дали са използвани или са образувани на ниво промишленост, търговия, офис, магазин, услуги, домакинство или нещо друго, независимо от материала.</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szCs w:val="24"/>
          <w:u w:val="single"/>
        </w:rPr>
        <w:t>Член 3. Определения</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За целите на настоящия закон се прилагат следните определения:</w:t>
      </w:r>
    </w:p>
    <w:p w14:paraId="51BA376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 „икономически оператори“ във връзка с опаковките означава доставчици на опаковъчни материали, производители на опаковки и лица, които преобразуват, пълнят, използват, внасят, търгуват, разпространяват опаковки, както и органи и организации, установени съгласно закона;</w:t>
      </w:r>
    </w:p>
    <w:p w14:paraId="6FED5C4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 „екологично споразумение“ означава официалното споразумение, сключено между министъра на околната среда, наречен по-долу „министър“, и лицата, отговорни за опаковките, или одобрените органи, което трябва да е открито за всички икономически оператори, които искат да отговарят на условията на споразумението с оглед на полагането на усилия за изпълнението на член 1.</w:t>
      </w:r>
    </w:p>
    <w:p w14:paraId="7FF966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3) „опаковане“ означава действие за поставяне на храна в обвивка или в контейнер, който е в пряк контакт със съответната храна; този контейнер или този съд;</w:t>
      </w:r>
    </w:p>
    <w:p w14:paraId="1DD8A02E" w14:textId="77777777" w:rsidR="000147DB" w:rsidRPr="00A225D3"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A225D3">
        <w:rPr>
          <w:color w:val="FF0000"/>
          <w:spacing w:val="-4"/>
          <w:sz w:val="24"/>
          <w:szCs w:val="24"/>
        </w:rPr>
        <w:t>4) „отпадъци от опаковки“ означава всяка опаковка или опаковъчен материал, попадащ в дефиницията за отпадъци на член 4 от изменения закон от 21 март 2012 г. за отпадъците и ресурсите, наричан по-долу „закон от 21 март 2012 г.“, с изключение на производствени отпадъци;</w:t>
      </w:r>
    </w:p>
    <w:p w14:paraId="1A85C693"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szCs w:val="24"/>
        </w:rPr>
        <w:lastRenderedPageBreak/>
        <w:t>5) „битове отпадъци от опаковки“ означава отпадъци от опаковки, получени като битови отпадъци на територията на общината по смисъла на закона от 21 март 2012 г.;</w:t>
      </w:r>
    </w:p>
    <w:p w14:paraId="191FC24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6) „небитови отпадъци от опаковки“ означава отпадъци от опаковки, получени като небитови отпадъци на територията на общината по смисъла на закона от 21 март 2012 г.;</w:t>
      </w:r>
    </w:p>
    <w:p w14:paraId="726D059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7) „опаковка“ означават всички продукти, направени от материал от всякакво естество, използвани, за да се поставят в тях, съхраняват, пренасят, доставят и представят стоки, от сурови материали до обработени стоки, от производителя до ползвателя или потребителя.</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Артикули, които не се връщат и се използват за същите цели, също се считат за опаковки.</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Опаковката включва само:</w:t>
      </w:r>
    </w:p>
    <w:p w14:paraId="5E80CA9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а) търговска опаковка или първична опаковка, т.е. опаковка, замислена като единица стока за продажба на крайния потребител на мястото на покупката;</w:t>
      </w:r>
    </w:p>
    <w:p w14:paraId="0DE873C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б) групова опаковка или вторична опаковка, т.е. опаковка, замислена за група от определен брой единици стока на мястото на продажбата, независимо дали ще се продава по този начин на крайния ползвател или потребител, или служи само за попълване на рафтовете на мястото на продажба; тя се отстранява от продукта, без да се отразява на качествата му;</w:t>
      </w:r>
    </w:p>
    <w:p w14:paraId="29AF1F65"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в) транспортна опаковка или третична опаковка, т.е. опаковка, замислена за улесняване на пренасянето и транспорта на брой артикули или групови опаковки, за да се предотврати физическото манипулиране с тях или повредите при транспортирането. Транспортните опаковки не включват контейнери за шосеен, железопътен превоз, превоз по море и въздух.</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Определението на понятието „опаковка“ се основава допълнително на следните критерии:</w:t>
      </w:r>
    </w:p>
    <w:p w14:paraId="0BE24D6D"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 Артикулите се разглеждат като опаковки, ако съответстват на посоченото по-долу определение, без да се засягат другите функции, които опаковката може също да изпълнява, освен ако артикулът не е неразделна част от продукта и е необходимо да съдържа, поддържа или предпазва този продукт по време на целия му жизнен цикъл, и се предвижда всички елементи да бъдат използвани, консумирани или изхвърлени заедно;</w:t>
      </w:r>
    </w:p>
    <w:p w14:paraId="03C118C8"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 Артикулите, предназначени и предвидени за пълнене в търговските обекти, и артикулите за еднократна употреба, които се продават, напълват или са създадени или предназначени да бъдат напълвани в търговските обекти, се считат за опаковки, при условие че изпълняват функциите на опаковки и че представляват опаковки, свързани с предоставянето на услуги;</w:t>
      </w:r>
    </w:p>
    <w:p w14:paraId="21E05D6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iii) Елементите на опаковките и помощните елементи, които изграждат опаковката, се считат за част от опаковката, в която са интегрирани. Помощните елементи, които висят директно от или са прикрепени към продукт и които изпълняват функцията на опаковка, се считат за опаковка, освен ако не са неразделна част от този продукт и всички елементи са предназначени да бъдат консумирани или изхвърлени заедно.</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3E7524" w:rsidRDefault="000147DB" w:rsidP="00A225D3">
      <w:pPr>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 xml:space="preserve">Артикулите, изброени в приложение I към Директива 94/62/ЕО на Европейския парламент и на Съвета от 20 декември 1994 г. относно опаковките и отпадъците от опаковки във вида, в който е изменена с делегирани актове на Европейската комисия, приети в съответствие с член 19, параграф 2 и член 21а от тази директива, са примери, които свидетелстват за прилагането на тези критерии; </w:t>
      </w:r>
    </w:p>
    <w:p w14:paraId="44FB8E0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8) „опаковки за многократна употреба“ означава опаковки, създадени, проектирани и пуснати на пазара с цел да претърпят в рамките на своя жизнен цикъл многократни промени или преобразуване, като се пълнят отново или се използват за същата цел, за която са били създадени;</w:t>
      </w:r>
    </w:p>
    <w:p w14:paraId="0184054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9) „смесени опаковки“ означава опаковки, произведени от два или повече слоя от различни материали, които не могат да бъдат разделени ръчно и образуват една съставна единица, състояща се от вътрешна приемна част и външна обвивка, която се пълни, съхранява, транспортира и изпразва като такава;</w:t>
      </w:r>
    </w:p>
    <w:p w14:paraId="40CA1AE7"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10) „централизирано управление“ означава система, която за одобрен орган отговаря за отпадъците от опаковки от пункт за доброволно събиране, за да ги подложи на рециклиране;</w:t>
      </w:r>
    </w:p>
    <w:p w14:paraId="2476E1A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11) „управление на отпадъци от опаковки“ означава управлението на дейността, свързана с отпадъците, съгласно дефиницията на член 4 от закона от 21 март 2012 г.;</w:t>
      </w:r>
    </w:p>
    <w:p w14:paraId="7FBC22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12) „опаковъчен материал“ означава всеки прост или сложен материал от естествен или изкуствен произход, съставящ опаковка;</w:t>
      </w:r>
    </w:p>
    <w:p w14:paraId="6F8770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13) „предоставяне на пазара“ означава всяка доставка на продукт за дистрибуция, потребление или използване на люксембургския пазар в процеса на търговска дейност, срещу заплащане или безплатно; </w:t>
      </w:r>
    </w:p>
    <w:p w14:paraId="39E8CFEA" w14:textId="77777777" w:rsidR="000147DB" w:rsidRPr="00A225D3"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A225D3">
        <w:rPr>
          <w:color w:val="FF0000"/>
          <w:spacing w:val="-4"/>
          <w:sz w:val="24"/>
          <w:szCs w:val="24"/>
        </w:rPr>
        <w:t>14) „пускане на пазара“ означава първото предоставяне на продукт на люксембургския пазар;</w:t>
      </w:r>
    </w:p>
    <w:p w14:paraId="337D071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15) „одобрен орган“ означава юридическо лице, одобрено в съответствие със закона от 21 март 2012 г., което поема задълженията на разширената отговорност на производителя; </w:t>
      </w:r>
    </w:p>
    <w:p w14:paraId="3063727E" w14:textId="5A2948D3"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16) „пластмаса“ означава полимер по смисъла на член 3, точка 5 от Регламент (ЕО) № 1907/2006 на Европейския парламент и на Съвета от 18 декември 2006 г. 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 на Съвета и директиви 91/155/ЕИО, 93/67/ЕИО, 93/105/ЕО и 2000/21/ЕО на Комисията, към който могат да бъдат добавени добавки или други вещества и който може да функционира като основен структурен компонент за торбички;</w:t>
      </w:r>
    </w:p>
    <w:p w14:paraId="722C1B3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17) „органично рециклиране“ означава аеробно (биологично разлагане) или анаеробно третиране (биометанизация) при контролирани условия и при използването на микроорганизми на биологично разградимите части на отпадъците от опаковки, което води до стабилизирани органични утайки или метан.  Депонирането не се счита за форма на органично рециклиране;</w:t>
      </w:r>
    </w:p>
    <w:p w14:paraId="211C3BAF" w14:textId="77777777" w:rsidR="000147DB" w:rsidRPr="00471E09" w:rsidRDefault="000147DB" w:rsidP="00A225D3">
      <w:pPr>
        <w:keepLines/>
        <w:autoSpaceDE w:val="0"/>
        <w:autoSpaceDN w:val="0"/>
        <w:adjustRightInd w:val="0"/>
        <w:spacing w:after="0"/>
        <w:jc w:val="both"/>
        <w:rPr>
          <w:rFonts w:eastAsia="Calibri" w:cs="TimesLTStd-Roman"/>
          <w:color w:val="FF0000"/>
          <w:sz w:val="24"/>
          <w:szCs w:val="24"/>
        </w:rPr>
      </w:pPr>
      <w:r>
        <w:rPr>
          <w:color w:val="FF0000"/>
          <w:sz w:val="24"/>
          <w:szCs w:val="24"/>
        </w:rPr>
        <w:lastRenderedPageBreak/>
        <w:t>18) „лице, отговорно за опаковките“ означава всяко физическо или юридическо лице, установено или не във Великото херцогство Люксембург, което с професионална цел пуска на люксембургския пазар опаковани стоки и независимо от използваните техники за продажба, включително чрез договори от разстояние, както са определени в член L.222-1 от Кодекса за потреблението.</w:t>
      </w:r>
    </w:p>
    <w:p w14:paraId="532A7F6A" w14:textId="77777777" w:rsidR="000147DB" w:rsidRPr="00A225D3"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A225D3">
        <w:rPr>
          <w:color w:val="FF0000"/>
          <w:spacing w:val="-4"/>
          <w:sz w:val="24"/>
          <w:szCs w:val="24"/>
        </w:rPr>
        <w:t>Относно опаковките, свързани с предоставянето на услуги, се счита за лице, отговорно за опаковките, всяко лице, което с професионална цел и с цел тяхното пускане на люксембургския пазар произвежда или внася опаковки, свързани с предоставянето на услуги;</w:t>
      </w:r>
    </w:p>
    <w:p w14:paraId="2066F3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19) „пластмасови торбички“ означава торбички със или без дръжка за носене, произведени от пластмасови материали, които се предлагат на потребителите на мястото на продажба на стоките или продуктите;</w:t>
      </w:r>
    </w:p>
    <w:p w14:paraId="2892A8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20) „леки пластмасови торбички“ означава торбички, произведени от пластмасови материали, с дебелина на стената под 50 микрона;</w:t>
      </w:r>
    </w:p>
    <w:p w14:paraId="1D560F9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21) „много леки пластмасови торбички“ означава торбички, произведени от пластмасови материали, с дебелина на стената под 15 микрона,</w:t>
      </w:r>
    </w:p>
    <w:p w14:paraId="099FC67B" w14:textId="77777777" w:rsidR="000147DB" w:rsidRPr="00A225D3"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A225D3">
        <w:rPr>
          <w:color w:val="FF0000"/>
          <w:spacing w:val="-4"/>
          <w:sz w:val="24"/>
          <w:szCs w:val="24"/>
        </w:rPr>
        <w:t>чието използване се налага за целите на хигиената или които се предлагат като първични опаковки за насипна храна, когато това помага за предотвратяване на разхищаването на храни;</w:t>
      </w:r>
    </w:p>
    <w:p w14:paraId="518E14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22) „разградими при окисляване пластмасови торбички“ означава пластмасови торбички, произведени от пластмасови материали, които съдържат добавки, действащи като катализатор за разпадането на пластмасовия материал на микрофрагменти;</w:t>
      </w:r>
    </w:p>
    <w:p w14:paraId="3F38912D" w14:textId="7CDBAB0E" w:rsidR="000147DB" w:rsidRPr="00A225D3"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A225D3">
        <w:rPr>
          <w:color w:val="FF0000"/>
          <w:spacing w:val="-4"/>
          <w:sz w:val="24"/>
          <w:szCs w:val="24"/>
        </w:rPr>
        <w:t>23) „схема за връщане на депозит“ означава система за връщане, чрез която приобретателят изплаща парична сума, която му се връща, когато използваната опаковка е донесена;</w:t>
      </w:r>
    </w:p>
    <w:p w14:paraId="7826512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24) „процент на пазарен дял“ означава процент за определен период на опаковките за течни храни, съдържащ като числител обема на течните храни, пуснати на пазара, опаковани в повторно използваеми опаковки и използвани на територията на страната, и като знаменател общия обем на течните храни, пуснати на пазара и използвани на територията на страната;</w:t>
      </w:r>
    </w:p>
    <w:p w14:paraId="7104F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25) „процент на рециклиране“ означава процент за определен период на отпадъци от опаковки, съдържащ като числител теглото на отпадъците от опаковки, ефективно подлежащи на рециклиране, и като знаменател общото тегло на възстановимите опаковки, пуснати на люксембургския пазар от лицето, отговорно за опаковките, и използвани на територията на страната.</w:t>
      </w:r>
    </w:p>
    <w:p w14:paraId="67C77E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В настоящото определение не попадат опаковките, подлежащи на повторна употреба по смисъла на настоящия закон;</w:t>
      </w:r>
    </w:p>
    <w:p w14:paraId="6B41F5C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26) „процент на възстановяване“ означава процент за определен период на отпадъци от опаковки, съдържащ като числител теглото на отпадъците от опаковки, ефективно подлежащи на възстановяване, и като знаменател общото тегло на възстановимите опаковки, пуснати на люксембургския пазар от лицето, отговорно за опаковките, и използвани на територията на страната;</w:t>
      </w:r>
    </w:p>
    <w:p w14:paraId="5C7F69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В настоящото определение не попадат опаковките, подлежащи на повторна употреба по смисъла на настоящия закон;</w:t>
      </w:r>
    </w:p>
    <w:p w14:paraId="1F021DE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27) „възстановяване на енергия“ означава използването на запалими отпадъци от опаковки като средство за генериране на енергия чрез пряко изгаряне със или без други отпадъци, но с възстановяване на топлината;</w:t>
      </w:r>
    </w:p>
    <w:p w14:paraId="2F42A15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В настоящото определение не попадат опаковките, подлежащи на повторна употреба по смисъла на настоящия закон.</w:t>
      </w:r>
    </w:p>
    <w:p w14:paraId="2A33EF01" w14:textId="77777777" w:rsidR="000147DB" w:rsidRPr="00A225D3" w:rsidRDefault="000147DB" w:rsidP="000147DB">
      <w:pPr>
        <w:spacing w:beforeLines="100" w:before="240" w:after="240" w:line="240" w:lineRule="auto"/>
        <w:jc w:val="both"/>
        <w:rPr>
          <w:rFonts w:eastAsia="Calibri" w:cs="TimesNewRoman"/>
          <w:color w:val="FF0000"/>
          <w:spacing w:val="-6"/>
          <w:sz w:val="24"/>
          <w:szCs w:val="24"/>
        </w:rPr>
      </w:pPr>
      <w:r w:rsidRPr="00A225D3">
        <w:rPr>
          <w:color w:val="FF0000"/>
          <w:spacing w:val="-6"/>
          <w:sz w:val="24"/>
          <w:szCs w:val="24"/>
        </w:rPr>
        <w:t>Прилагат се определенията за „отпадък“, „битови отпадъци“, „небитови отпадъци“, „управление на отпадъци“, „събиране“, „отделно събиране“, „предотвратяване“, „повторна употреба“, „подготовка за повторна употреба“, „третиране“, „оползотворяване“, „рециклиране“, „висококачествено рециклиране“, „обезвреждане“, „ресурсен център“ и „схема на разширена отговорност на производителя“, установени в член 4 от закона от 21 март 2012 г.</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rFonts w:eastAsia="Times New Roman" w:cs="Arial"/>
          <w:b/>
          <w:iCs/>
        </w:rPr>
      </w:pPr>
      <w:r>
        <w:rPr>
          <w:b/>
          <w:iCs/>
        </w:rPr>
        <w:t>Член 4. Предотвратяване и повторна употреба, и екологични споразумения</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Към мерките за предотвратяване на образуването на отпадъци от опаковки, предприети в съответствие с член 9, и без да се засяга параграф 2, министърът може да сключва екологични споразумения, които трябва да следват целите за изпълнение на член 1 и имат за цел основно да намаляват въздействието на опаковките върху околната среда и да предотвратяват образуването на отпадъци от опаковки. Тези споразумения могат да предвиждат информационни кампании и кампании за осведомяване на обществеността.</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t>Относно производството на опаковки и други продукти, екологичните споразумения могат да поощряват използването на материали, които са получени от рециклирани отпадъци от опаковки чрез подобряване на условията на пазара за такива материали.</w:t>
      </w:r>
    </w:p>
    <w:p w14:paraId="4FAEAC4C" w14:textId="77777777" w:rsidR="000147DB" w:rsidRPr="003E7524" w:rsidRDefault="000147DB" w:rsidP="000147DB">
      <w:pPr>
        <w:spacing w:after="0" w:line="240" w:lineRule="auto"/>
        <w:jc w:val="both"/>
        <w:rPr>
          <w:rFonts w:eastAsia="Times New Roman" w:cs="Arial"/>
        </w:rPr>
      </w:pPr>
      <w:r>
        <w:t>Относно опаковките за течни храни и други продукти, екологичните споразумения могат да определят условията и правилата за насърчаване на производството и пускането на пазара на повторно използваеми опаковки и да се насочват към цели относно пазарния дял. Настоящият закон се прилага без да се засяга запазването или установяването на схеми, гарантиращи повторната употреба на опаковките под формата на схема за връщане на депозит или под друга подходяща форма и в съответствие с целите, посочени в член 1.</w:t>
      </w:r>
    </w:p>
    <w:p w14:paraId="7B14AF7B" w14:textId="77777777" w:rsidR="000147DB" w:rsidRPr="003E7524" w:rsidRDefault="000147DB" w:rsidP="000147DB">
      <w:pPr>
        <w:spacing w:after="0" w:line="240" w:lineRule="auto"/>
        <w:jc w:val="both"/>
        <w:rPr>
          <w:rFonts w:eastAsia="Times New Roman" w:cs="Arial"/>
        </w:rPr>
      </w:pPr>
      <w:r>
        <w:t>(2) Други мерки за предотвратяване, включително проучвания и пилотни проекти, могат да се определят от националния план за управление на отпадъците и, ако е приложимо, специален план съгласно закона от 21 март 2012 г.</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szCs w:val="24"/>
          <w:u w:val="single"/>
        </w:rPr>
        <w:lastRenderedPageBreak/>
        <w:t xml:space="preserve">Член 5. Намаляване на опаковките </w:t>
      </w:r>
    </w:p>
    <w:p w14:paraId="2D11A631"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С цел трайно намаляване на използването на опаковки на територията на Люксембург:</w:t>
      </w:r>
    </w:p>
    <w:p w14:paraId="1921772D" w14:textId="2F6CC734" w:rsidR="000147DB" w:rsidRPr="00471E09" w:rsidRDefault="000147DB" w:rsidP="000147DB">
      <w:pPr>
        <w:pStyle w:val="Liste10"/>
        <w:spacing w:before="240"/>
        <w:ind w:left="360" w:hanging="427"/>
        <w:rPr>
          <w:rFonts w:cs="TimesNewRoman"/>
          <w:color w:val="FF0000"/>
          <w:sz w:val="24"/>
          <w:szCs w:val="24"/>
        </w:rPr>
      </w:pPr>
      <w:r>
        <w:rPr>
          <w:color w:val="FF0000"/>
          <w:sz w:val="24"/>
          <w:szCs w:val="24"/>
        </w:rPr>
        <w:t xml:space="preserve">1) </w:t>
      </w:r>
      <w:r>
        <w:rPr>
          <w:color w:val="FF0000"/>
          <w:sz w:val="24"/>
          <w:szCs w:val="24"/>
        </w:rPr>
        <w:tab/>
        <w:t>i) от 1 януари 2022 г. всяка търговия на дребно, излагаща за продажба пресни плодове и зеленчуци, посочени в приложение III, включително белени или нарязани плодове и зеленчуци, трябва да се излагат без опаковки за храни, които са изцяло или частично пластмасови. Това задължение не се прилага за плодове и зеленчуци, опаковани на партиди по 1,5 килограма или повече;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szCs w:val="24"/>
        </w:rPr>
        <w:t>2) нивото на годишното използване на леки пластмасови торбички не следва да надвишава деветдесет потребителски торбички на човек до 31 декември 2019 г. и четиридесет потребителски торбички до 31 декември 2025 г. То не включва много леките пластмасови торбички по смисъла на член 3, точка 5.</w:t>
      </w:r>
    </w:p>
    <w:p w14:paraId="6F0972E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3) никаква пластмасова торбичка не се предоставя безплатно в местата на покупката на стоките или продуктите. То не включва много леките пластмасови торбички по смисъла на член 3, точка 5.</w:t>
      </w:r>
    </w:p>
    <w:p w14:paraId="58896EE4" w14:textId="7777777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szCs w:val="24"/>
        </w:rPr>
        <w:t xml:space="preserve">4) следните опаковки, свързани с предоставянето на услуги, не могат да се предоставят безплатно в местата на покупката на стоките или продуктите съгласно следния график: </w:t>
      </w:r>
    </w:p>
    <w:p w14:paraId="2B70078E"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от 1 януари 2023 г. за торбичките, независимо от съставящия ги материал;</w:t>
      </w:r>
    </w:p>
    <w:p w14:paraId="03DEAD8E" w14:textId="77777777"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от 1 януари 2024 г. опаковките, свързани с предоставянето на услуги, от продукти за еднократна употреба, посочени в приложението, част А към закона от ... за оценката на въздействието на определени пластмасови продукти върху околната среда, независимо от съставящия ги материал;</w:t>
      </w:r>
    </w:p>
    <w:p w14:paraId="10B4C155"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от 1 януари 2025 г. за всяка опаковка, свързана с предоставянето на услуги.</w:t>
      </w:r>
    </w:p>
    <w:p w14:paraId="01699BD2"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szCs w:val="24"/>
        </w:rPr>
        <w:t xml:space="preserve">(2) </w:t>
      </w:r>
      <w:r>
        <w:rPr>
          <w:bCs/>
          <w:color w:val="FF0000"/>
          <w:sz w:val="24"/>
          <w:szCs w:val="24"/>
        </w:rPr>
        <w:t>Продуктите, посочени в параграф</w:t>
      </w:r>
      <w:r>
        <w:rPr>
          <w:color w:val="FF0000"/>
          <w:sz w:val="24"/>
          <w:szCs w:val="24"/>
        </w:rPr>
        <w:t xml:space="preserve"> 1</w:t>
      </w:r>
      <w:r>
        <w:rPr>
          <w:bCs/>
          <w:color w:val="FF0000"/>
          <w:sz w:val="24"/>
          <w:szCs w:val="24"/>
        </w:rPr>
        <w:t>, точки 3 и 4, следва да имат възпираща цена, поставена отделно и видимо в местата на покупката и на фактурата. Минималната цена може да бъде определена с екологично споразумение.</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szCs w:val="24"/>
          <w:u w:val="single"/>
        </w:rPr>
        <w:t>„Член 5</w:t>
      </w:r>
      <w:r>
        <w:rPr>
          <w:i/>
          <w:color w:val="FF0000"/>
          <w:sz w:val="24"/>
          <w:szCs w:val="24"/>
          <w:u w:val="single"/>
        </w:rPr>
        <w:t>а</w:t>
      </w:r>
      <w:r>
        <w:rPr>
          <w:color w:val="FF0000"/>
          <w:sz w:val="24"/>
          <w:szCs w:val="24"/>
          <w:u w:val="single"/>
        </w:rPr>
        <w:t>. Повторна употреба </w:t>
      </w:r>
    </w:p>
    <w:p w14:paraId="163598FA" w14:textId="77777777" w:rsidR="000147DB" w:rsidRPr="003E7524" w:rsidRDefault="000147DB" w:rsidP="000147DB">
      <w:pPr>
        <w:jc w:val="both"/>
        <w:rPr>
          <w:color w:val="FF0000"/>
          <w:sz w:val="24"/>
        </w:rPr>
      </w:pPr>
      <w:r>
        <w:rPr>
          <w:color w:val="FF0000"/>
          <w:sz w:val="24"/>
        </w:rPr>
        <w:t>В съответствие с йерархията на отпадъците, установена в член 9 от закона от 21 март 2012 г., министърът може да сключва екологични споразумения за насърчаване на увеличаването на дела на опаковките за многократна употреба, пуснати на пазара, и на системите за повторна употреба на опаковките по безопасен за околната среда начин.</w:t>
      </w:r>
    </w:p>
    <w:p w14:paraId="213A7D6C" w14:textId="77777777" w:rsidR="000147DB" w:rsidRPr="003E7524" w:rsidRDefault="000147DB" w:rsidP="002F5A31">
      <w:pPr>
        <w:keepNext/>
        <w:keepLines/>
        <w:jc w:val="both"/>
        <w:rPr>
          <w:color w:val="FF0000"/>
          <w:sz w:val="24"/>
        </w:rPr>
      </w:pPr>
      <w:r>
        <w:rPr>
          <w:color w:val="FF0000"/>
          <w:sz w:val="24"/>
        </w:rPr>
        <w:lastRenderedPageBreak/>
        <w:t xml:space="preserve">Тези споразумения могат да включват наред с останалото: </w:t>
      </w:r>
    </w:p>
    <w:p w14:paraId="5BEA6077" w14:textId="77777777" w:rsidR="000147DB" w:rsidRPr="003E7524" w:rsidRDefault="000147DB" w:rsidP="000147DB">
      <w:pPr>
        <w:jc w:val="both"/>
        <w:rPr>
          <w:color w:val="FF0000"/>
          <w:sz w:val="24"/>
        </w:rPr>
      </w:pPr>
      <w:r>
        <w:rPr>
          <w:color w:val="FF0000"/>
          <w:sz w:val="24"/>
        </w:rPr>
        <w:t>1) използването на схеми за връщане на депозит;</w:t>
      </w:r>
    </w:p>
    <w:p w14:paraId="498392F7" w14:textId="77777777" w:rsidR="000147DB" w:rsidRPr="003E7524" w:rsidRDefault="000147DB" w:rsidP="000147DB">
      <w:pPr>
        <w:jc w:val="both"/>
        <w:rPr>
          <w:color w:val="FF0000"/>
          <w:sz w:val="24"/>
        </w:rPr>
      </w:pPr>
      <w:r>
        <w:rPr>
          <w:color w:val="FF0000"/>
          <w:sz w:val="24"/>
        </w:rPr>
        <w:t>2) определянето на качествени или количествени цели;</w:t>
      </w:r>
    </w:p>
    <w:p w14:paraId="57A9F07C" w14:textId="77777777" w:rsidR="000147DB" w:rsidRPr="003E7524" w:rsidRDefault="000147DB" w:rsidP="000147DB">
      <w:pPr>
        <w:jc w:val="both"/>
        <w:rPr>
          <w:color w:val="FF0000"/>
          <w:sz w:val="24"/>
        </w:rPr>
      </w:pPr>
      <w:r>
        <w:rPr>
          <w:color w:val="FF0000"/>
          <w:sz w:val="24"/>
        </w:rPr>
        <w:t xml:space="preserve">3) използването на икономически стимули; </w:t>
      </w:r>
    </w:p>
    <w:p w14:paraId="2D7BAE53" w14:textId="77777777" w:rsidR="000147DB" w:rsidRPr="003E7524" w:rsidRDefault="000147DB" w:rsidP="000147DB">
      <w:pPr>
        <w:jc w:val="both"/>
        <w:rPr>
          <w:color w:val="FF0000"/>
          <w:sz w:val="24"/>
        </w:rPr>
      </w:pPr>
      <w:r>
        <w:rPr>
          <w:color w:val="FF0000"/>
          <w:sz w:val="24"/>
        </w:rPr>
        <w:t>4) установяване на минимален процент за опаковките за многократна употреба, пускани на пазара всяка година, за всеки поток от опаковки.</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u w:val="single"/>
        </w:rPr>
        <w:t>Член 6. Оползотворяване и рециклиране</w:t>
      </w:r>
    </w:p>
    <w:p w14:paraId="6A7E88E7"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Лицата, отговорни за опаковките, се задължават да постигат най-малко следните цели: </w:t>
      </w:r>
    </w:p>
    <w:p w14:paraId="135701C7" w14:textId="77777777" w:rsidR="000147DB" w:rsidRPr="003E7524" w:rsidRDefault="000147DB" w:rsidP="000147DB">
      <w:pPr>
        <w:pStyle w:val="Liste10"/>
        <w:spacing w:before="240"/>
        <w:rPr>
          <w:rFonts w:cs="TimesNewRoman"/>
          <w:b/>
          <w:color w:val="FF0000"/>
          <w:sz w:val="24"/>
          <w:szCs w:val="24"/>
        </w:rPr>
      </w:pPr>
      <w:r>
        <w:rPr>
          <w:color w:val="FF0000"/>
          <w:sz w:val="24"/>
          <w:szCs w:val="24"/>
        </w:rPr>
        <w:t>1) 65 % от теглото на отпадъците от опаковки трябва да бъдат оползотворявани или изгаряни в инсинератори с възстановяване на енергията;</w:t>
      </w:r>
    </w:p>
    <w:p w14:paraId="0BEBEC70" w14:textId="77777777" w:rsidR="000147DB" w:rsidRPr="003E7524" w:rsidRDefault="000147DB" w:rsidP="000147DB">
      <w:pPr>
        <w:pStyle w:val="Liste10"/>
        <w:spacing w:before="240"/>
        <w:rPr>
          <w:rFonts w:cs="TimesNewRoman"/>
          <w:b/>
          <w:color w:val="FF0000"/>
          <w:sz w:val="24"/>
          <w:szCs w:val="24"/>
        </w:rPr>
      </w:pPr>
      <w:r>
        <w:rPr>
          <w:color w:val="FF0000"/>
          <w:sz w:val="24"/>
          <w:szCs w:val="24"/>
        </w:rPr>
        <w:t>2) 60 % от теглото на отпадъците от опаковки трябва да бъдат рециклирани със следните минимални цели за рециклиране на материали, които съдържат отпадъци от опаковки: 60 % от теглото на стъклото, 60 % от теглото на хартията и картона, 50 % от теглото на металите, 22,5 % от теглото на пластмасите, предимно съдържащи материали, които обратно се рециклират в пластмаси, и 15 % от теглото на дървесината.</w:t>
      </w:r>
    </w:p>
    <w:p w14:paraId="74DA408D" w14:textId="77777777" w:rsidR="000147DB" w:rsidRPr="003E7524" w:rsidRDefault="000147DB" w:rsidP="000147DB">
      <w:pPr>
        <w:pStyle w:val="Liste10"/>
        <w:spacing w:before="240"/>
        <w:rPr>
          <w:rFonts w:cs="TimesNewRoman"/>
          <w:b/>
          <w:color w:val="FF0000"/>
          <w:sz w:val="24"/>
          <w:szCs w:val="24"/>
        </w:rPr>
      </w:pPr>
      <w:r>
        <w:rPr>
          <w:color w:val="FF0000"/>
          <w:sz w:val="24"/>
          <w:szCs w:val="24"/>
        </w:rPr>
        <w:t>3) не по-късно от 31 декември 2025 г. най-малко 65 % от теглото на всички отпадъци от опаковки трябва да бъдат рециклирани;</w:t>
      </w:r>
    </w:p>
    <w:p w14:paraId="73EB6671"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4) не по-късно от 31 декември 2025 г. трябва да се постигнат следните минимални цели за рециклиране за следните специфични материали, които съдържат отпадъци от опаковки:</w:t>
      </w:r>
    </w:p>
    <w:p w14:paraId="28C5FBC2"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50 % от теглото на пластмасата;</w:t>
      </w:r>
    </w:p>
    <w:p w14:paraId="4E57FAF2"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б) 25 % от теглото на дървесината;</w:t>
      </w:r>
    </w:p>
    <w:p w14:paraId="2042FBF8"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в) 70 % от теглото на черните метали;</w:t>
      </w:r>
    </w:p>
    <w:p w14:paraId="44C91BB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г) 50 % от теглото на алуминия;</w:t>
      </w:r>
    </w:p>
    <w:p w14:paraId="7238B49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д) 70 % от теглото на стъклото;</w:t>
      </w:r>
    </w:p>
    <w:p w14:paraId="0474C36D"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е) 75 % от теглото на хартията и картона.</w:t>
      </w:r>
    </w:p>
    <w:p w14:paraId="0E79D37D" w14:textId="77777777" w:rsidR="000147DB" w:rsidRPr="00471E09" w:rsidRDefault="000147DB" w:rsidP="000147DB">
      <w:pPr>
        <w:pStyle w:val="Liste10"/>
        <w:spacing w:before="240"/>
        <w:rPr>
          <w:rFonts w:cs="TimesNewRoman"/>
          <w:color w:val="FF0000"/>
          <w:sz w:val="24"/>
          <w:szCs w:val="24"/>
        </w:rPr>
      </w:pPr>
      <w:r>
        <w:rPr>
          <w:color w:val="FF0000"/>
          <w:sz w:val="24"/>
          <w:szCs w:val="24"/>
        </w:rPr>
        <w:lastRenderedPageBreak/>
        <w:t>5) не по-късно от 31 декември 2030 г. най-малко 70 % от теглото на всички отпадъци от опаковки трябва да бъдат рециклирани;</w:t>
      </w:r>
    </w:p>
    <w:p w14:paraId="72B3204C" w14:textId="77777777" w:rsidR="000147DB" w:rsidRPr="00471E09" w:rsidRDefault="000147DB" w:rsidP="002F5A31">
      <w:pPr>
        <w:pStyle w:val="Liste10"/>
        <w:keepNext/>
        <w:keepLines/>
        <w:spacing w:before="240"/>
        <w:rPr>
          <w:rFonts w:cs="TimesNewRoman"/>
          <w:color w:val="FF0000"/>
          <w:sz w:val="24"/>
          <w:szCs w:val="24"/>
        </w:rPr>
      </w:pPr>
      <w:r>
        <w:rPr>
          <w:color w:val="FF0000"/>
          <w:sz w:val="24"/>
          <w:szCs w:val="24"/>
        </w:rPr>
        <w:t>6) не по-късно от 31 декември 2030 г. трябва да се постигнат следните минимални цели за рециклиране за следните специфични материали, които съдържат отпадъци от опаковки:</w:t>
      </w:r>
    </w:p>
    <w:p w14:paraId="5CEB0529"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55 % от теглото на пластмасата;</w:t>
      </w:r>
    </w:p>
    <w:p w14:paraId="3F31D1FB"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б) 30 % от теглото на дървесината;</w:t>
      </w:r>
    </w:p>
    <w:p w14:paraId="75516D1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в) 80 % от теглото на черните метали;</w:t>
      </w:r>
    </w:p>
    <w:p w14:paraId="4FD2DC3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г) 60 % от теглото на алуминия;</w:t>
      </w:r>
    </w:p>
    <w:p w14:paraId="6756906E"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д) 75 % от теглото на стъклото;</w:t>
      </w:r>
    </w:p>
    <w:p w14:paraId="7EEFA81F"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е) 85 % от теглото на хартията и картона.</w:t>
      </w:r>
    </w:p>
    <w:p w14:paraId="4B119723" w14:textId="77777777" w:rsidR="000147DB" w:rsidRPr="00471E09" w:rsidRDefault="000147DB" w:rsidP="000147DB">
      <w:pPr>
        <w:pStyle w:val="Liste10"/>
        <w:spacing w:before="240"/>
        <w:rPr>
          <w:rFonts w:cs="TimesNewRoman"/>
          <w:color w:val="FF0000"/>
          <w:sz w:val="24"/>
          <w:szCs w:val="24"/>
        </w:rPr>
      </w:pPr>
      <w:r>
        <w:rPr>
          <w:color w:val="FF0000"/>
          <w:sz w:val="24"/>
          <w:szCs w:val="24"/>
        </w:rPr>
        <w:t>Без да се засяга член 14 Администрацията на околната среда гарантира, че тези задължения и цели са предмет на информационна кампания, предназначена за широката общественост и за икономическите оператори.</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u w:val="single"/>
        </w:rPr>
        <w:t>„Член 6</w:t>
      </w:r>
      <w:r>
        <w:rPr>
          <w:i/>
          <w:color w:val="FF0000"/>
          <w:sz w:val="24"/>
          <w:szCs w:val="24"/>
          <w:u w:val="single"/>
        </w:rPr>
        <w:t>а</w:t>
      </w:r>
      <w:r>
        <w:rPr>
          <w:color w:val="FF0000"/>
          <w:sz w:val="24"/>
          <w:szCs w:val="24"/>
          <w:u w:val="single"/>
        </w:rPr>
        <w:t>. Правила относно изчисляването на степента на постигане на целите</w:t>
      </w:r>
    </w:p>
    <w:p w14:paraId="4190A464"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(1) За целите на изчисляването на това дали са постигнати целите, установени в член 6, параграф 1, точки 3—6:</w:t>
      </w:r>
    </w:p>
    <w:p w14:paraId="64FF6A17" w14:textId="77777777" w:rsidR="000147DB" w:rsidRPr="00A225D3" w:rsidRDefault="000147DB" w:rsidP="000147DB">
      <w:pPr>
        <w:spacing w:beforeLines="100" w:before="240" w:after="240" w:line="240" w:lineRule="auto"/>
        <w:ind w:left="720"/>
        <w:jc w:val="both"/>
        <w:rPr>
          <w:rFonts w:eastAsia="Calibri" w:cs="TimesNewRoman"/>
          <w:color w:val="FF0000"/>
          <w:spacing w:val="-4"/>
          <w:sz w:val="24"/>
          <w:szCs w:val="24"/>
        </w:rPr>
      </w:pPr>
      <w:r w:rsidRPr="00A225D3">
        <w:rPr>
          <w:color w:val="FF0000"/>
          <w:spacing w:val="-4"/>
          <w:sz w:val="24"/>
          <w:szCs w:val="24"/>
        </w:rPr>
        <w:t>1) теглото на образуваните и рециклираните отпадъци от опаковки се изчислява през дадена календарна година. Образуваните отпадъци от опаковки могат да се считат за равни на количеството на опаковките, пуснати на пазара през същата година;</w:t>
      </w:r>
    </w:p>
    <w:p w14:paraId="3595E56C"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2) теглото на рециклираните отпадъци от опаковки се изчислява като теглото на опаковките, превърнали се в отпадъци, които, след като са били подложени на всички необходими дейности по проверка, сортиране и други предварителни дейности по отстраняване на отпадъчни материали, които не са обект на по-нататъшно преработване, и за да се гарантира висококачествено рециклиране, се включват в процес на рециклиране, при което отпадъчните материали фактически се преработват в продукти, материали или вещества.</w:t>
      </w:r>
    </w:p>
    <w:p w14:paraId="528F3DBE"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(2) За целите на параграф 1, точка 1, теглото на рециклираните отпадъци от опаковки се измерва при включването на отпадъците в процеса на рециклиране.</w:t>
      </w:r>
    </w:p>
    <w:p w14:paraId="5C40963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lastRenderedPageBreak/>
        <w:t xml:space="preserve">Чрез дерогация от първа алинея, теглото на рециклираните отпадъците от опаковки може да бъде измерено след каквато и да е дейност по сортиране, при условие че: </w:t>
      </w:r>
    </w:p>
    <w:p w14:paraId="34D0716F"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1) тези изходни отпадъци са рециклирани впоследствие;</w:t>
      </w:r>
    </w:p>
    <w:p w14:paraId="3B9C8FE8"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2) теглото на материалите или веществата, които са отстранени от процесите по други дейности, предхождащи дейността по рециклиране, и не са рециклирани впоследствие, не се включва в теглото на отпадъците, отчитани като рециклирани.</w:t>
      </w:r>
    </w:p>
    <w:p w14:paraId="0049964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За да се гарантира, че се спазват правилата за изчисляване и че цялата информация се предоставя на компетентната администрация, се въвежда електронен регистър в съответствие с член 34 от закона от 21 март 2012 г. </w:t>
      </w:r>
    </w:p>
    <w:p w14:paraId="22177B0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Количеството отпадъчни материали от опаковки, които са престанали да бъдат отпадъци в резултат на евентуална подготвителна операция преди действителната им преработка, могат да се отчитат като рециклирани, ако тези материали са предназначени за последваща преработка в продукти, материали или вещества, които да бъдат използвани за първоначалната им цел или за други цели. Въпреки това крайните отпадъчни материали, предназначени да бъдат използвани като гориво или други средства за получаване на енергия, или за изгаряне, насипване или депониране, не се отчитат във връзка с постигането на целите на рециклирането.</w:t>
      </w:r>
    </w:p>
    <w:p w14:paraId="79D6EBA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(5) За да се изчисли дали целите по член 6, параграф 1, точки 3—6 са постигнати, Администрацията</w:t>
      </w:r>
      <w:r>
        <w:rPr>
          <w:color w:val="FF0000"/>
        </w:rPr>
        <w:t xml:space="preserve"> </w:t>
      </w:r>
      <w:r>
        <w:rPr>
          <w:color w:val="FF0000"/>
          <w:sz w:val="24"/>
          <w:szCs w:val="24"/>
        </w:rPr>
        <w:t>на околната среда може да вземе предвид рециклирането на метали, разделени след изгаряне на отпадъци, в съотношение, съответстващо на дяла на изгорените опаковки от отпадъци, при условие че рециклираните метали отговарят на определени критерии за качество, посочени в акта за изпълнение, приет съгласно член 11</w:t>
      </w:r>
      <w:r>
        <w:rPr>
          <w:i/>
          <w:color w:val="FF0000"/>
          <w:sz w:val="24"/>
          <w:szCs w:val="24"/>
        </w:rPr>
        <w:t>а</w:t>
      </w:r>
      <w:r>
        <w:rPr>
          <w:color w:val="FF0000"/>
          <w:sz w:val="24"/>
          <w:szCs w:val="24"/>
        </w:rPr>
        <w:t>, параграф 9 от Директива 2008/98/ЕО.</w:t>
      </w:r>
    </w:p>
    <w:p w14:paraId="451BF595"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(6) Отпадъците от опаковки, изпращани към друга държава — членка на Европейския съюз за целите на рециклиране в тази държава членка, се вземат предвид с оглед на постигането на целите по член 6, параграф 1, точки 3—6 в Люксембург.</w:t>
      </w:r>
    </w:p>
    <w:p w14:paraId="5CA935B6"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(7) Отпадъците от опаковки, изнасяни извън Европейския съюз, не се вземат предвид с оглед на постигането на целите по член 6, параграф 1, освен ако условията на параграф 3 са изпълнени и ако, в съответствие с Регламент (ЕО) № 1013/2006 на Европейския парламент и на Съвета от 14 юни 2006 г. относно превози на отпадъци, износителят може да докаже, че при превоза на отпадъци са спазени изискванията на посочения регламент и че третирането на отпадъците от опаковки извън Европейския съюз е било извършено при условия, които са равностойни в голяма степен на приложимите изисквания, установени в законодателството, в областта на околната среда.</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szCs w:val="24"/>
          <w:u w:val="single"/>
        </w:rPr>
        <w:lastRenderedPageBreak/>
        <w:t>Член 7. Системи за връщане, събиране и оползотворяване</w:t>
      </w:r>
    </w:p>
    <w:p w14:paraId="3CFE162E"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(1) За да се постигнат целите, посочени в член 1, и в съответствие с параграф 2 лицата, отговорни за опаковките, се задължават да гарантират, когато се съобразяват с хигиенните изисквания:</w:t>
      </w:r>
    </w:p>
    <w:p w14:paraId="7AA5AC5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1) връщане или събиране на използвани опаковки или отпадъци от опаковки от потребителя, различен от крайния потребител, или от потока отпадъци, за да се насочат те към най-подходящите алтернативи за управление на отпадъците;</w:t>
      </w:r>
    </w:p>
    <w:p w14:paraId="40D25AD4"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2) повторна употреба, подготовка за повторна употреба или оползотворяване, включително рециклиране, на опаковки или събрани отпадъци от опаковки.</w:t>
      </w:r>
    </w:p>
    <w:p w14:paraId="60F35859"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Тези системи са отворени за участието на икономическите оператори в засегнатите сектори и за участието на компетентните държавни органи. Системите се отнасят също и за внесени продукти съгласно недискриминиращи условия, включително и подробни мерки и митнически тарифи, наложени за достъп до системите, и са създадени така, че да не поставят пречки пред търговията или да нарушават конкуренцията.</w:t>
      </w:r>
    </w:p>
    <w:p w14:paraId="7291264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(2) С цел да се намали до минимум обезвреждането на отпадъци от опаковки под формата на битови отпадъци и да се постигне високо ниво на отделно събиране на отпадъци от опаковки, се прилагат разпоредбите по-долу:</w:t>
      </w:r>
    </w:p>
    <w:p w14:paraId="457714E4"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 за битовите отпадъци от опаковки:</w:t>
      </w:r>
    </w:p>
    <w:p w14:paraId="04693C3C" w14:textId="77777777" w:rsidR="000147DB" w:rsidRPr="00A225D3" w:rsidRDefault="000147DB" w:rsidP="000147DB">
      <w:pPr>
        <w:spacing w:before="200" w:after="85" w:line="240" w:lineRule="auto"/>
        <w:ind w:left="375"/>
        <w:jc w:val="both"/>
        <w:rPr>
          <w:rFonts w:eastAsia="Calibri" w:cs="TimesNewRoman"/>
          <w:color w:val="FF0000"/>
          <w:spacing w:val="-4"/>
          <w:sz w:val="24"/>
          <w:szCs w:val="24"/>
        </w:rPr>
      </w:pPr>
      <w:r w:rsidRPr="00A225D3">
        <w:rPr>
          <w:color w:val="FF0000"/>
          <w:spacing w:val="-4"/>
          <w:sz w:val="24"/>
          <w:szCs w:val="24"/>
        </w:rPr>
        <w:t>Без да се засягат задълженията на общините или сдруженията на общините, отговарящи за управлението на битови отпадъци по реда на закона от 21 март 2012 г., общините или сдруженията на общините следва да гарантират наличието на схеми за отделно събиране. Общините или сдруженията на общините следва да гарантират, ако е приложимо в сътрудничество с одобрените органи, наличието и достъпността на обществена инфраструктура за отделно събиране на битови отпадъци от опаковки, позволяваща на крайните притежатели да връщат такива отпадъци най-малко безплатно.</w:t>
      </w:r>
    </w:p>
    <w:p w14:paraId="54386F43" w14:textId="77777777" w:rsidR="000147DB" w:rsidRPr="00A225D3" w:rsidRDefault="000147DB" w:rsidP="000147DB">
      <w:pPr>
        <w:spacing w:before="200" w:after="85" w:line="240" w:lineRule="auto"/>
        <w:ind w:left="375"/>
        <w:jc w:val="both"/>
        <w:rPr>
          <w:rFonts w:eastAsia="Calibri" w:cs="TimesNewRoman"/>
          <w:color w:val="FF0000"/>
          <w:spacing w:val="-4"/>
          <w:sz w:val="24"/>
          <w:szCs w:val="24"/>
        </w:rPr>
      </w:pPr>
      <w:r w:rsidRPr="00A225D3">
        <w:rPr>
          <w:color w:val="FF0000"/>
          <w:spacing w:val="-4"/>
          <w:sz w:val="24"/>
          <w:szCs w:val="24"/>
        </w:rPr>
        <w:t>Одобрените органи имат разрешение да организират и експлоатират алтернативни или допълнителни системи за връщане на битовите отпадъци от опаковки при условие, че тези системи са в съответствие с целите на настоящия закон, гарантиращ същото покритие на територията като системите, въведени от общините или сдруженията на общините, и гарантират най-малко безплатното връщане на битовите отпадъци от опаковки.</w:t>
      </w:r>
    </w:p>
    <w:p w14:paraId="1411304A"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Потребителите на битови опаковки се задължават да си служат със системи за връщане на битовите отпадъци от опаковки, които са им предоставени от общините или сдруженията на общините, или от одобрените органи.</w:t>
      </w:r>
    </w:p>
    <w:p w14:paraId="72763D47" w14:textId="77777777" w:rsidR="000147DB" w:rsidRPr="003E7524" w:rsidRDefault="000147DB" w:rsidP="00A225D3">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lastRenderedPageBreak/>
        <w:t>б) за небитовите отпадъци от опаковки:</w:t>
      </w:r>
    </w:p>
    <w:p w14:paraId="3D19C80D"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Лицата, отговорни за небитовите опаковки, гарантират събирането и оползотворяването на тези отпадъци в рамките на схемата на разширена отговорност на производителя във вида, в който е посочена в член 8 от настоящия закон.</w:t>
      </w:r>
    </w:p>
    <w:p w14:paraId="211C6CEC" w14:textId="165B29C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(3) Съоръженията или предприятията, посочени в член 30, параграф 1 от </w:t>
      </w:r>
      <w:hyperlink r:id="rId4" w:history="1">
        <w:r>
          <w:rPr>
            <w:color w:val="FF0000"/>
            <w:sz w:val="24"/>
            <w:szCs w:val="24"/>
          </w:rPr>
          <w:t>закона от 21 март 2012 г.,</w:t>
        </w:r>
      </w:hyperlink>
      <w:r>
        <w:rPr>
          <w:color w:val="FF0000"/>
          <w:sz w:val="24"/>
          <w:szCs w:val="24"/>
        </w:rPr>
        <w:t xml:space="preserve"> могат да събират или транспортират отпадъци от опаковки, които са битови отпадъци, само доколкото те са упълномощени за тази цел от одобрените органи.</w:t>
      </w:r>
    </w:p>
    <w:p w14:paraId="5A8B572D" w14:textId="03908A6C"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(4) Опаковките на напитки, които се използват за консумация от човека и се пускат на люксембургския пазар, са предмет на една-единствена национална схема за връщане на депозит. Размерът на връщането на депозита варира в зависимост от естеството на опаковката между 10 цента и 1 евро. Датата и правилата за въвеждане на схемата за връщане на депозит се определят с наредба на Великия херцог.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Член</w:t>
      </w:r>
      <w:r>
        <w:rPr>
          <w:color w:val="FF0000"/>
          <w:sz w:val="24"/>
          <w:szCs w:val="24"/>
          <w:u w:val="single"/>
        </w:rPr>
        <w:t xml:space="preserve"> 8. Лица, отговорни за опаковките, и одобрени органи</w:t>
      </w:r>
    </w:p>
    <w:p w14:paraId="4ADADA8E" w14:textId="77777777" w:rsidR="000147DB" w:rsidRPr="00A225D3"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A225D3">
        <w:rPr>
          <w:color w:val="FF0000"/>
          <w:spacing w:val="-4"/>
          <w:sz w:val="24"/>
          <w:szCs w:val="24"/>
        </w:rPr>
        <w:t xml:space="preserve">(1) За да отговаря на задълженията, които са му възложени в рамките на настоящия закон, както и тези въз основа на закона за оценката на въздействието на определени пластмасови продукти върху околната среда, лицето, отговорно за опаковките, е предмет на схемата на разширена отговорност на производителя, посочена в член 19 от закона от 21 март 2012 г. </w:t>
      </w:r>
    </w:p>
    <w:p w14:paraId="48FF4710"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За битовите опаковки за многократна употреба, за които съществува система за връщане, то може да възложи по договор на одобрен орган изпълнението на цялото или на част от това задължение. За другите битови опаковки то следва да възложи по договор на одобрен орган изпълнението на това задължение. За небитовите опаковки то следва да възложи по договор на одобрен орган изпълнението на цялото или на част от това задължение. </w:t>
      </w:r>
    </w:p>
    <w:p w14:paraId="0456039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(2) За отпадъците от опаковки, които са обхванати от централизираното управление, одобрените органи гарантират, всеки в съответната област, финансирането на управлението на отпадъци, включително операциите по подготовка за повторна употреба, от пункта за доброволно събиране.</w:t>
      </w:r>
    </w:p>
    <w:p w14:paraId="72D5467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За отпадъците от опаковки, които не попадат в централизираното управление, правилата за финансова помощ на одобрените органи в отделното събиране на тези отпадъци се определят от съвместно споразумение между тези органи и съответните общини. Пълните разходи за управление на отпадъците, включително операциите по подготовка за повторна употреба, следва да са обхванати от вноските на лицата, отговорни за опаковките.</w:t>
      </w:r>
    </w:p>
    <w:p w14:paraId="7AFE5345"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lastRenderedPageBreak/>
        <w:t>(3) Освен това одобреният орган се задължава:</w:t>
      </w:r>
    </w:p>
    <w:p w14:paraId="09CD75E1" w14:textId="77777777" w:rsidR="000147DB" w:rsidRPr="00A225D3"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A225D3">
        <w:rPr>
          <w:color w:val="FF0000"/>
          <w:spacing w:val="-4"/>
          <w:sz w:val="24"/>
          <w:szCs w:val="24"/>
        </w:rPr>
        <w:t>1) да изчислява вноските на тези договарящи се страни с цел да финансира разходите за съществуващи събрани количества и да създава, при сортиране на събраните опаковки, операции по подготовка за повторна употреба, по третиране на отпадъци от опаковки, както и разходите, свързани с предоставянето на информация на притежателите на отпадъци и предоставянето и събирането на информация. Разходите, които се вземат предвид, не могат да надвишават разходите, необходими за икономически ефикасна услуга.</w:t>
      </w:r>
    </w:p>
    <w:p w14:paraId="2A2FFD4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2) да сключва договор с общините или сдруженията на общините, отговарящи за управлението на битови отпадъци, в който се определят по-специално техническите условия и предписания за събирането на съответните отпадъци от опаковки и за поемането на отпадъци от опаковки. </w:t>
      </w:r>
    </w:p>
    <w:p w14:paraId="0E152E2B"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В никакъв случай договорът не трябва да накърнява компетенциите на общините или сдруженията на общините, отговарящи за управлението на битови отпадъци, в тази област.</w:t>
      </w:r>
    </w:p>
    <w:p w14:paraId="5D98EE2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да предоставя на министъра ежегодно и в рамките на доклада, посочен в член 35, параграф 2 от закона от 21 март 2012 г. договорите, сключени с общините или сдруженията на общините, отговарящи за управлението на битови отпадъци. </w:t>
      </w:r>
    </w:p>
    <w:p w14:paraId="4EF43EE8"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Управлението на отпадъци от опаковки следва да се прави при спазване на йерархията на отпадъците, посочена в член 9 от закона от 21 март 2012 г.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bCs/>
        </w:rPr>
        <w:t>Член 9. Основни изисквания</w:t>
      </w:r>
    </w:p>
    <w:p w14:paraId="605864EB" w14:textId="77777777" w:rsidR="000147DB" w:rsidRPr="003E7524" w:rsidRDefault="000147DB" w:rsidP="000147DB">
      <w:pPr>
        <w:spacing w:after="0" w:line="240" w:lineRule="auto"/>
        <w:jc w:val="both"/>
        <w:rPr>
          <w:rFonts w:eastAsia="Times New Roman" w:cs="Arial"/>
        </w:rPr>
      </w:pPr>
      <w:r>
        <w:t>Опаковка може да бъде пусната на люксембургския пазар само, ако отговаря на всички основни изисквания, посочени в приложение I.</w:t>
      </w:r>
    </w:p>
    <w:p w14:paraId="3A246FED" w14:textId="77777777" w:rsidR="000147DB" w:rsidRPr="003E7524" w:rsidRDefault="000147DB" w:rsidP="000147DB">
      <w:pPr>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rFonts w:eastAsia="Times New Roman" w:cs="Arial"/>
          <w:b/>
          <w:bCs/>
          <w:iCs/>
        </w:rPr>
      </w:pPr>
      <w:r>
        <w:rPr>
          <w:b/>
          <w:bCs/>
        </w:rPr>
        <w:t xml:space="preserve">Член 10. </w:t>
      </w:r>
      <w:r>
        <w:rPr>
          <w:b/>
          <w:bCs/>
          <w:iCs/>
        </w:rPr>
        <w:t>Система за идентификация</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(1) За да се улеснят събирането, повторната употреба, подготовката за повторна употреба и възстановяването, включително рециклирането, опаковките трябва да посочват вида на материала/ите, използван/и в опаковката въз основа на Решение 97/129/ЕО на Комисията от 28 януари 1997 г.за установяване на идентификационна система за опаковъчните материали съгласно Директива 94/62/ЕО на Европейския парламент и на Съвета относно опаковките и отпадъците от опаковки, за целите на тяхното идентифициране и класифициране от съответните промишлени сектори.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3E7524" w:rsidRDefault="000147DB" w:rsidP="000147DB">
      <w:pPr>
        <w:spacing w:after="0" w:line="240" w:lineRule="auto"/>
        <w:jc w:val="both"/>
        <w:rPr>
          <w:rFonts w:eastAsia="Times New Roman" w:cs="Arial"/>
        </w:rPr>
      </w:pPr>
      <w:r>
        <w:lastRenderedPageBreak/>
        <w:t>(2) Доколкото това се изисква на опаковката е поставена подходяща маркировка — или на самата опаковка, или на етикета. Тя ясно се вижда и лесно се чете. Маркировката е неизтриваема и трайна дори и след отварянето на опаковката.</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 xml:space="preserve">Член 11. </w:t>
      </w:r>
      <w:r>
        <w:rPr>
          <w:b/>
          <w:iCs/>
          <w:color w:val="000000"/>
        </w:rPr>
        <w:t>Нива на концентрация на тежки метали в опаковките</w:t>
      </w:r>
    </w:p>
    <w:p w14:paraId="5961C7DD" w14:textId="77777777" w:rsidR="000147DB" w:rsidRPr="003E7524" w:rsidRDefault="000147DB" w:rsidP="000147DB">
      <w:pPr>
        <w:spacing w:after="0" w:line="240" w:lineRule="auto"/>
        <w:jc w:val="both"/>
        <w:rPr>
          <w:rFonts w:eastAsia="Times New Roman" w:cs="Arial"/>
          <w:color w:val="000000"/>
        </w:rPr>
      </w:pPr>
      <w:r>
        <w:rPr>
          <w:color w:val="000000"/>
        </w:rPr>
        <w:t>(1) Сумата от нивата на концентрация на олово, кадмий, живак и хексавалентен хром в опаковката или съставки за опаковка не следва да надвишава 100 ppm теглово.</w:t>
      </w:r>
    </w:p>
    <w:p w14:paraId="173D4287" w14:textId="77777777" w:rsidR="000147DB" w:rsidRPr="003E7524" w:rsidRDefault="000147DB" w:rsidP="000147DB">
      <w:pPr>
        <w:spacing w:after="0" w:line="240" w:lineRule="auto"/>
        <w:jc w:val="both"/>
        <w:rPr>
          <w:rFonts w:eastAsia="Times New Roman" w:cs="Arial"/>
          <w:color w:val="000000"/>
        </w:rPr>
      </w:pPr>
      <w:r>
        <w:rPr>
          <w:color w:val="000000"/>
        </w:rPr>
        <w:t>(2) Нивата на концентрация, посочени в параграф 1, не се отнасят за опаковка изцяло направена от оловно кристално стъкло.</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rFonts w:eastAsia="Times New Roman" w:cs="Arial"/>
          <w:b/>
        </w:rPr>
      </w:pPr>
      <w:r>
        <w:rPr>
          <w:b/>
        </w:rPr>
        <w:t>Член 12. Информационни системи</w:t>
      </w:r>
    </w:p>
    <w:p w14:paraId="5FCE099A" w14:textId="77777777" w:rsidR="000147DB" w:rsidRPr="003E7524" w:rsidRDefault="000147DB" w:rsidP="000147DB">
      <w:pPr>
        <w:spacing w:after="0" w:line="240" w:lineRule="auto"/>
        <w:jc w:val="both"/>
        <w:rPr>
          <w:rFonts w:eastAsia="Times New Roman" w:cs="Arial"/>
        </w:rPr>
      </w:pPr>
      <w:r>
        <w:t>(1) Базите данни, посочени в приложение III към Директива 94/62/ЕО на Европейския парламент и на Съвета от 20 декември 1994 г. относно опаковките и отпадъците от опаковки във вида, в който е изменена с актове на Европейската комисия, приети в съответствие с член 19 от тази директива, се управляват от Администрацията на околната среда. Те осигуряват главно информация за размера, характеристиките и еволюцията на потоците опаковки и отпадъци от опаковки, включително информация за токсичността или опасността от опаковъчните материали и компоненти, използвани при производството им.</w:t>
      </w:r>
    </w:p>
    <w:p w14:paraId="7E5340DE" w14:textId="77777777" w:rsidR="000147DB" w:rsidRPr="003E7524" w:rsidRDefault="000147DB" w:rsidP="000147DB">
      <w:pPr>
        <w:spacing w:after="0" w:line="240" w:lineRule="auto"/>
        <w:jc w:val="both"/>
        <w:rPr>
          <w:rFonts w:eastAsia="Times New Roman" w:cs="Arial"/>
        </w:rPr>
      </w:pPr>
      <w:r>
        <w:t>(2) Съответните икономически оператори следва да предоставят на Администрацията на околната среда надеждни данни за техния сектор съгласно изискването на настоящия член. Администрацията на околната среда отчита конкретните проблеми на малките и средните предприятия при предоставянето на подробни данни.</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bCs/>
        </w:rPr>
        <w:t xml:space="preserve">Член 14. </w:t>
      </w:r>
      <w:r>
        <w:rPr>
          <w:b/>
          <w:bCs/>
          <w:iCs/>
        </w:rPr>
        <w:t>Информиране на потребителите на опаковки</w:t>
      </w:r>
    </w:p>
    <w:p w14:paraId="0BFAA0F4" w14:textId="77777777" w:rsidR="000147DB" w:rsidRPr="003E7524" w:rsidRDefault="000147DB" w:rsidP="000147DB">
      <w:pPr>
        <w:spacing w:after="0" w:line="240" w:lineRule="auto"/>
        <w:jc w:val="both"/>
        <w:rPr>
          <w:rFonts w:eastAsia="Times New Roman" w:cs="Arial"/>
        </w:rPr>
      </w:pPr>
      <w:r>
        <w:t>(1) Лицата, отговорни за опаковките, или одобрените органи следва, всеки в съответната област, да информират потребителите на опаковки относно:</w:t>
      </w:r>
    </w:p>
    <w:p w14:paraId="28FD57E8" w14:textId="77777777" w:rsidR="000147DB" w:rsidRPr="003E7524" w:rsidRDefault="000147DB" w:rsidP="000147DB">
      <w:pPr>
        <w:spacing w:after="0" w:line="240" w:lineRule="auto"/>
        <w:jc w:val="both"/>
        <w:rPr>
          <w:rFonts w:eastAsia="Times New Roman" w:cs="Arial"/>
        </w:rPr>
      </w:pPr>
      <w:r>
        <w:t>възможностите за предотвратяване на отпадъци от опаковки;</w:t>
      </w:r>
    </w:p>
    <w:p w14:paraId="1A222528" w14:textId="77777777" w:rsidR="000147DB" w:rsidRPr="003E7524" w:rsidRDefault="000147DB" w:rsidP="000147DB">
      <w:pPr>
        <w:spacing w:after="0" w:line="240" w:lineRule="auto"/>
        <w:jc w:val="both"/>
        <w:rPr>
          <w:rFonts w:eastAsia="Times New Roman" w:cs="Arial"/>
        </w:rPr>
      </w:pPr>
      <w:r>
        <w:t>системите за връщане, събиране и възстановяване, които имат на разположение, и ролята им за подпомагане на повторната употреба, възстановяването и рециклирането на опаковки и отпадъци от опаковки;</w:t>
      </w:r>
    </w:p>
    <w:p w14:paraId="2AF81E67" w14:textId="77777777" w:rsidR="000147DB" w:rsidRPr="003E7524" w:rsidRDefault="000147DB" w:rsidP="000147DB">
      <w:pPr>
        <w:spacing w:after="0" w:line="240" w:lineRule="auto"/>
        <w:jc w:val="both"/>
        <w:rPr>
          <w:rFonts w:eastAsia="Times New Roman" w:cs="Arial"/>
        </w:rPr>
      </w:pPr>
      <w:r>
        <w:t>отрицателните последици за околната среда от прекомерното потребление на пластмасови торбички;</w:t>
      </w:r>
    </w:p>
    <w:p w14:paraId="0BB30D5B" w14:textId="77777777" w:rsidR="000147DB" w:rsidRPr="003E7524" w:rsidRDefault="000147DB" w:rsidP="000147DB">
      <w:pPr>
        <w:spacing w:after="0" w:line="240" w:lineRule="auto"/>
        <w:jc w:val="both"/>
        <w:rPr>
          <w:rFonts w:eastAsia="Times New Roman" w:cs="Arial"/>
        </w:rPr>
      </w:pPr>
      <w:r>
        <w:t>подходящите елементи от плановете за управление на опаковките и отпадъците от опаковки, които са част от националния план за управление на отпадъците или са предмет на специален план съгласно закона от 21 март 2012 г.</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3E7524" w:rsidRDefault="000147DB" w:rsidP="000147DB">
      <w:pPr>
        <w:spacing w:after="0" w:line="240" w:lineRule="auto"/>
        <w:jc w:val="both"/>
        <w:rPr>
          <w:rFonts w:eastAsia="Times New Roman" w:cs="Arial"/>
        </w:rPr>
      </w:pPr>
      <w:r>
        <w:t>(2) Лицата, които предоставят за продажба опаковани стоки, гарантират, че крайният потребител е информиран по подходящ начин в местата на покупката съответно за възможността опаковките да бъдат използвани повторно или да бъдат възстановени, включително рециклирани, и за системата за връщане, включително събирането на опаковки.</w:t>
      </w:r>
    </w:p>
    <w:p w14:paraId="049AF44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На опаковката е поставена подходяща маркировка — или на самата опаковка, или на етикета. Тя ясно се вижда и лесно се чете. Маркировката е неизтриваема и трайна дори и след отварянето на опаковката.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lastRenderedPageBreak/>
        <w:t>(3) Мерките за информиране, посочени в параграфи 1 и 2, се допълват, ако е приложимо, от кампании за повишаване на осведомеността на потребителите, които се осъществяват в сътрудничество с Администрацията на околната среда.</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Член 15. Доклади</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 xml:space="preserve">Всяко лице, отговорно за опаковките, което пуска на пазара леки пластмасови торбички, следва да декларира пред одобрения орган, към който е присъединен, годишното количество на тези торбички. </w:t>
      </w:r>
    </w:p>
    <w:p w14:paraId="7B36C2F6" w14:textId="203BBF9C"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Одобреният орган следва да докладва тези количества на компетентната администрация в рамките на доклада, посочен в член 35, параграф 2 от закона от 21 март 2012 г. Той не включва много леките пластмасови торбички по смисъла на член 3, точка 17.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rFonts w:eastAsia="Times New Roman" w:cs="Arial"/>
          <w:b/>
        </w:rPr>
      </w:pPr>
      <w:r>
        <w:rPr>
          <w:b/>
        </w:rPr>
        <w:t xml:space="preserve">Член 16. Проверки, които следва да се извършват </w:t>
      </w:r>
    </w:p>
    <w:p w14:paraId="035D85BE" w14:textId="77777777" w:rsidR="000147DB" w:rsidRPr="003E7524" w:rsidRDefault="000147DB" w:rsidP="000147DB">
      <w:pPr>
        <w:spacing w:after="0" w:line="240" w:lineRule="auto"/>
        <w:jc w:val="both"/>
        <w:rPr>
          <w:rFonts w:eastAsia="Times New Roman" w:cs="Arial"/>
        </w:rPr>
      </w:pPr>
      <w:r>
        <w:t>(1) Проверката на годишния доклад се прави в съответствие с разпоредбите на член 35, параграф 2 от закона от 21 март 2012 г.</w:t>
      </w:r>
    </w:p>
    <w:p w14:paraId="35E08884" w14:textId="77777777" w:rsidR="000147DB" w:rsidRPr="003E7524" w:rsidRDefault="000147DB" w:rsidP="000147DB">
      <w:pPr>
        <w:spacing w:after="0" w:line="240" w:lineRule="auto"/>
        <w:jc w:val="both"/>
        <w:rPr>
          <w:rFonts w:eastAsia="Times New Roman" w:cs="Arial"/>
        </w:rPr>
      </w:pPr>
      <w:r>
        <w:t>За целите на проверката лицата, отговорни за опаковките, или одобрените органи се задължават да предоставят на независимия одитор всички счетоводни и други документи и елементите за изчисляване, които са основание за посочените доклади.</w:t>
      </w:r>
    </w:p>
    <w:p w14:paraId="01E1F62A" w14:textId="77777777" w:rsidR="000147DB" w:rsidRPr="003E7524" w:rsidRDefault="000147DB" w:rsidP="000147DB">
      <w:pPr>
        <w:spacing w:after="0" w:line="240" w:lineRule="auto"/>
        <w:jc w:val="both"/>
        <w:rPr>
          <w:rFonts w:eastAsia="Times New Roman" w:cs="Arial"/>
        </w:rPr>
      </w:pPr>
      <w:r>
        <w:t>Таксите за проверката от независимия одитор са задължение на лицата, отговорни за опаковките, или на одобрения орган или одобрените органи.</w:t>
      </w:r>
    </w:p>
    <w:p w14:paraId="54AD644D" w14:textId="77777777" w:rsidR="000147DB" w:rsidRPr="003E7524" w:rsidRDefault="000147DB" w:rsidP="000147DB">
      <w:pPr>
        <w:spacing w:after="0" w:line="240" w:lineRule="auto"/>
        <w:jc w:val="both"/>
        <w:rPr>
          <w:rFonts w:eastAsia="Times New Roman" w:cs="Arial"/>
        </w:rPr>
      </w:pPr>
      <w:r>
        <w:t>(2) Резултатите от проверката, извършена от независимия одитор, следва да се предоставят незабавно от одитора на Администрацията на околната среда.</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Член 17. Търсене и установяване на нарушения</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(1) Освен членовете на полицията на Люксембург, попадащи в рамките на полицията, служителите на митническата и акцизна администрация от старши бригаден служител и длъжностните лица и служителите от експерименталните групи А1, А2 и Б2 на Администрацията на околната среда могат да отговарят за установяване на нарушенията на настоящия закон и на наредбата, постановленията, приети за неговото изпълнение.</w:t>
      </w:r>
    </w:p>
    <w:p w14:paraId="5A9972ED"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При упражняването на функциите си служителите на митническата и акцизна администрация и служителите на Администрацията на околната среда са служители на Съдебна полиция. Те установяват нарушенията с протокол, който е свидетелство до доказване на противното.</w:t>
      </w:r>
    </w:p>
    <w:p w14:paraId="4BDACC6F"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(2) Служителите, посочени в параграф 1, следва да са преминали специално професионално обучение за търсенето и установяването на нарушения. Програмата и продължителността на обучението, както и правилата за проверка на познанията, се уточняват с наредба на Великия херцог.</w:t>
      </w:r>
    </w:p>
    <w:p w14:paraId="23E18C1A"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rPr>
        <w:t>Преди да заемат длъжността си, те дават пред гражданската колегия на Окръжния съд на Люксембург следната клетва:</w:t>
      </w:r>
    </w:p>
    <w:p w14:paraId="1EC889C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„Заклевам се да изпълнявам задълженията си почтено, точно и безпристрастно. “</w:t>
      </w:r>
    </w:p>
    <w:p w14:paraId="0E596F7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Прилага се член 458 от Наказателния кодекс.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szCs w:val="24"/>
          <w:u w:val="single"/>
        </w:rPr>
        <w:t>Член 18. Правомощия и прерогативи за контрол</w:t>
      </w:r>
    </w:p>
    <w:p w14:paraId="16422B7B"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 xml:space="preserve">(1) Лицата, посочени в член 17, имат достъп през деня и през нощта и без предварително уведомление до инсталациите, помещенията, терените, съоръженията и транспортните средства, до които се отнасят настоящия закон и постановленията, приети за неговото прилагане. </w:t>
      </w:r>
    </w:p>
    <w:p w14:paraId="038ADE3C" w14:textId="4CBD0E56"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Разпоредбите на параграф 1 не се прилагат за помещенията, които служат за живеене.</w:t>
      </w:r>
    </w:p>
    <w:p w14:paraId="017C6164"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При все това и без да се засяга член 33, параграф 1 от Наказателно-процесуалния кодекс, ако съществуват сериозни доказателства, които дават основание да се счита, че източникът на нарушението се намира в помещенията, предназначени за живеене, може да се извърши посещение по домовете между шест часа и половина и двадесет и четири часа от служител на Съдебна полиция, член на полицията на Люксембург или служител по смисъла на член 45, действащ съгласно мандата на съдия-следовател.</w:t>
      </w:r>
    </w:p>
    <w:p w14:paraId="1BB0F8A5" w14:textId="77777777"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szCs w:val="24"/>
        </w:rPr>
        <w:t>(3) В изпълнение на правомощията, посочени в параграфи 1 и 2, на съответните служители се разрешава:</w:t>
      </w:r>
    </w:p>
    <w:p w14:paraId="6F3F981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1) да получават всички регистри и документация относно опаковките и отпадъците от опаковки, посочени от настоящия закон;</w:t>
      </w:r>
    </w:p>
    <w:p w14:paraId="75B9F6D7" w14:textId="5E96EE24"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да вземат за целите на проучване или анализ проби от опаковките и отпадъците от опаковки, посочени от настоящия закон. Част от пробата, запечатана или пломбирана, се предава на оператора на инсталацията, на площадката или на транспортното средство или на притежателя от името на последния, освен ако той не се откаже изрично от това или ако има технически причини това да не се прави;</w:t>
      </w:r>
    </w:p>
    <w:p w14:paraId="7A3F87EB" w14:textId="3B7EC98F"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3) да конфискува и при необходимост да запечата опаковките и отпадъците от опаковки, посочени от настоящия закон, както и приложените регистри и документация</w:t>
      </w:r>
    </w:p>
    <w:p w14:paraId="724E3F4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(4) Всяко лице, което е предмет на мерките, посочени в параграф 3, както и лицата, които ги заместват, се задължават, при поискване от длъжностните лица, отговарящи за тези мерки, да улесняват операциите, които те извършват.</w:t>
      </w:r>
    </w:p>
    <w:p w14:paraId="3EDE58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Лицата, посочени в предходната алинея, могат да присъстват на тези операции.</w:t>
      </w:r>
    </w:p>
    <w:p w14:paraId="7303060C"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(5) Съставя се протокол за констатациите и операциите.</w:t>
      </w:r>
    </w:p>
    <w:p w14:paraId="560BE14F"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(6) Разходите, произтичащи от мерките, предприети съгласно настоящия член, са включени в правните разноски, от които те следват.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lastRenderedPageBreak/>
        <w:t>Член 19. Наказателноправни санкции</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Наказват се с лишаване от свобода от осем дни до 3 години и глоба от 251 евро до 750 000 евро или само с едно от тези наказания, нарушенията на член 6, параграф 1, член 7, параграф 1, първа алинея и член 7, параграф 3, член 8, параграф 1, втора алинея, член 8, параграф 2, член 8, параграф 4, член 9 и член 11, параграф 1.</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Същите наказания се прилагат в случай на създаване на пречки или неспазване на административните мерки, наложени съгласно член 21.</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Член 20. Административни глоби</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Министърът може да наложи административна глоба от 50 евро до 10 000 евро в случай на нарушение на член 5, параграфи 1 и 2, член 7, параграф 2, буква a), трета алинея, член 8, параграф 3, трета алинея, член 12, параграф 2, член 14, параграфи 1 и 2, член 15 или член 16, параграф 2.</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Глобите са платими до два месеца от писменото уведомление за решението.</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Административните глоби се събират от Администрацията за регистрацията, домейните и ДДС. Възстановяването се извършва като при таксите за регистрация.</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rFonts w:eastAsia="Times New Roman" w:cs="Arial"/>
          <w:b/>
          <w:bCs/>
          <w:iCs/>
        </w:rPr>
      </w:pPr>
      <w:r>
        <w:rPr>
          <w:b/>
          <w:bCs/>
        </w:rPr>
        <w:t xml:space="preserve">Член 21. </w:t>
      </w:r>
      <w:r>
        <w:rPr>
          <w:b/>
          <w:bCs/>
          <w:iCs/>
        </w:rPr>
        <w:t>Административни мерки</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 xml:space="preserve">(1) В случай на неспазване на разпоредбите, санкционирани в член 19, </w:t>
      </w:r>
      <w:r>
        <w:rPr>
          <w:strike/>
          <w:color w:val="FF0000"/>
        </w:rPr>
        <w:t>параграф 1,</w:t>
      </w:r>
      <w:r>
        <w:rPr>
          <w:iCs/>
          <w:color w:val="FF0000"/>
        </w:rPr>
        <w:t xml:space="preserve"> </w:t>
      </w:r>
      <w:r>
        <w:t>от настоящия закон, министърът може:</w:t>
      </w:r>
    </w:p>
    <w:p w14:paraId="3FA876A2" w14:textId="77777777" w:rsidR="000147DB" w:rsidRPr="00B972B3" w:rsidRDefault="000147DB" w:rsidP="000147DB">
      <w:pPr>
        <w:spacing w:after="0" w:line="240" w:lineRule="auto"/>
        <w:jc w:val="both"/>
        <w:rPr>
          <w:rFonts w:eastAsia="Times New Roman" w:cs="Arial"/>
          <w:spacing w:val="-4"/>
        </w:rPr>
      </w:pPr>
      <w:r>
        <w:t>да определя за лицето, отговорно за опаковките, за одобрения орган или съответно друго лице срок, в който последните следва да осигуряват съгласуваност с тези разпоредби, срок, който не може да е по-голям от две години;</w:t>
      </w:r>
    </w:p>
    <w:p w14:paraId="3CDBEA63" w14:textId="11412CF2" w:rsidR="000147DB" w:rsidRPr="003E7524" w:rsidRDefault="000147DB" w:rsidP="000147DB">
      <w:pPr>
        <w:autoSpaceDE w:val="0"/>
        <w:autoSpaceDN w:val="0"/>
        <w:adjustRightInd w:val="0"/>
        <w:spacing w:after="0" w:line="276" w:lineRule="auto"/>
        <w:jc w:val="both"/>
        <w:rPr>
          <w:rFonts w:cs="TimesNewRoman"/>
          <w:color w:val="FF0000"/>
          <w:sz w:val="24"/>
          <w:szCs w:val="24"/>
        </w:rPr>
      </w:pPr>
      <w:r>
        <w:rPr>
          <w:color w:val="FF0000"/>
          <w:sz w:val="24"/>
          <w:szCs w:val="24"/>
        </w:rPr>
        <w:t>2) да прекратява изцяло или отчасти дейността на лицето, отговорно за опаковките, или на одобрения орган, експлоатацията на инсталацията или да закрива инсталацията изцяло или отчасти и да запечатва или забранява пускането на пазара или да налага оттеглянето от пазара на опаковки и отпадъци от опаковки, посочени от настоящия закон.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(2) Всяко заинтересовано лице може да поиска прилагането на мерките, посочени в параграф 1.</w:t>
      </w:r>
    </w:p>
    <w:p w14:paraId="15C47735" w14:textId="77777777" w:rsidR="000147DB" w:rsidRPr="003E7524" w:rsidRDefault="000147DB" w:rsidP="000147DB">
      <w:pPr>
        <w:spacing w:after="0" w:line="240" w:lineRule="auto"/>
        <w:jc w:val="both"/>
        <w:rPr>
          <w:rFonts w:eastAsia="Times New Roman" w:cs="Arial"/>
        </w:rPr>
      </w:pPr>
      <w:r>
        <w:t>(3) Мерките, изброени в параграф 1, престават да се прилагат, когато лицето, отговорно за опаковките, одобреният орган или съответното друго лице са спазили изискванията.</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bCs/>
        </w:rPr>
        <w:lastRenderedPageBreak/>
        <w:t xml:space="preserve">Член 22. </w:t>
      </w:r>
      <w:r>
        <w:rPr>
          <w:b/>
          <w:bCs/>
          <w:iCs/>
        </w:rPr>
        <w:t>Правни средства за обжалване</w:t>
      </w:r>
    </w:p>
    <w:p w14:paraId="777CA2C3" w14:textId="77777777" w:rsidR="000147DB" w:rsidRPr="003E7524" w:rsidRDefault="000147DB" w:rsidP="000147DB">
      <w:pPr>
        <w:spacing w:after="0" w:line="240" w:lineRule="auto"/>
        <w:jc w:val="both"/>
        <w:rPr>
          <w:rFonts w:eastAsia="Times New Roman" w:cs="Arial"/>
        </w:rPr>
      </w:pPr>
      <w:r>
        <w:t>Решенията, приети съгласно настоящия закон, могат да се обжалват пред Административния съд. Тази жалба следва да се подава под страх от отмяна в срок от четиридесет дни от уведомлението за решението. Сдруженията и организациите, посочени в член 23, също могат да обжалват.</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rFonts w:eastAsia="Times New Roman" w:cs="Arial"/>
          <w:color w:val="000000"/>
        </w:rPr>
      </w:pPr>
      <w:r>
        <w:rPr>
          <w:b/>
          <w:bCs/>
          <w:color w:val="000000"/>
        </w:rPr>
        <w:t xml:space="preserve">Член 23. </w:t>
      </w:r>
      <w:r>
        <w:rPr>
          <w:b/>
          <w:bCs/>
          <w:iCs/>
          <w:color w:val="000000"/>
        </w:rPr>
        <w:t>Право за увеличаване на правомощията на екологичните сдружения</w:t>
      </w:r>
    </w:p>
    <w:p w14:paraId="54A6D588" w14:textId="7234A958" w:rsidR="000147DB" w:rsidRPr="003E7524" w:rsidRDefault="000147DB" w:rsidP="000147DB">
      <w:pPr>
        <w:spacing w:after="0" w:line="240" w:lineRule="auto"/>
        <w:jc w:val="both"/>
        <w:rPr>
          <w:rFonts w:eastAsia="Times New Roman" w:cs="Arial"/>
          <w:color w:val="000000"/>
        </w:rPr>
      </w:pPr>
      <w:r>
        <w:rPr>
          <w:color w:val="000000"/>
        </w:rPr>
        <w:t>Одобрените сдружения и организации съгласно закона от 21 март 2012 г. могат да упражняват правата, признати на граждански ищец относно обстоятелствата, които представляват нарушение по смисъла на настоящия закон и накърняват пряко или непряко колективните интереси, които те имат за цел да защитават, даже ако те не са доказали наличието на материален интерес и даже ако колективният интерес, в който развиват дейността си, се покрива напълно от социалния интерес, чиято защита се осигурява от прокуратурата. Същото се отнася за чуждестранните сдружения и организации с юридическа правосубектност, които упражняват техните установени дейности в областта на опазването на околната среда.</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szCs w:val="24"/>
          <w:u w:val="single"/>
        </w:rPr>
        <w:t>Член 24. Приложения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szCs w:val="24"/>
        </w:rPr>
        <w:t>Член 24. Изменения на приложение I към Директива 94/62/ЕО на Европейския парламент и на Съвета от 20 декември 1994 г. относно опаковките и отпадъците от опаковки във вида, в който е изменена с делегирани актове на Европейската комисия, приети в съответствие с член 19, параграф 2 и член 21а от тази директива.</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Измененията на приложението към Директива 94/62/ЕО на Европейския парламент и на Съвета от 20 декември 1994 г. относно опаковките и отпадъците от опаковки във вида, в който е изменена с делегирани актове на Европейската комисия, приети в съответствие с член 19, параграф 2 и член 21а от тази директива, се прилагат считано от деня на датата на влизане в сила на свързани с това актове на Европейската комисия.</w:t>
      </w:r>
    </w:p>
    <w:p w14:paraId="6EBC782C"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 xml:space="preserve">Министърът ще публикува становище в Официалния вестник на Великото херцогство Люксембург, което дава информация за така направените изменения, добавяйки там позоваване на акт, публикуван в Официалния вестник на Европейския съюз.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ПРИЛОЖЕНИЕ I</w:t>
      </w:r>
    </w:p>
    <w:p w14:paraId="3C2BC896" w14:textId="77777777" w:rsidR="000147DB" w:rsidRPr="003E7524" w:rsidRDefault="000147DB" w:rsidP="00B972B3">
      <w:pPr>
        <w:keepNext/>
        <w:keepLines/>
        <w:spacing w:after="0" w:line="240" w:lineRule="auto"/>
        <w:jc w:val="center"/>
        <w:rPr>
          <w:rFonts w:eastAsia="Times New Roman" w:cs="Arial"/>
          <w:b/>
          <w:bCs/>
          <w:color w:val="000000"/>
        </w:rPr>
      </w:pPr>
      <w:r>
        <w:rPr>
          <w:b/>
          <w:bCs/>
          <w:color w:val="000000"/>
        </w:rPr>
        <w:t>Основни изисквания за състава и естеството на опаковки, използвани повторно, възстановими, включително и годни за рециклиране</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bCs/>
        </w:rPr>
        <w:t>1) Специфични изисквания за производството и състава на опаковките</w:t>
      </w:r>
    </w:p>
    <w:p w14:paraId="174C3BC4" w14:textId="77777777" w:rsidR="000147DB" w:rsidRPr="003E7524" w:rsidRDefault="000147DB" w:rsidP="000147DB">
      <w:pPr>
        <w:spacing w:after="0" w:line="240" w:lineRule="auto"/>
        <w:jc w:val="both"/>
        <w:rPr>
          <w:rFonts w:eastAsia="Times New Roman" w:cs="Arial"/>
          <w:color w:val="000000"/>
        </w:rPr>
      </w:pPr>
      <w:r>
        <w:rPr>
          <w:color w:val="000000"/>
        </w:rPr>
        <w:t>a) Опаковките са така произведени, че обемът на опаковката и теглото са ограничени до минималното адекватно количество, за да се поддържа необходимото ниво на безопасност, хигиена и приемливост както на опакования продукт, така и за потребителя.</w:t>
      </w:r>
    </w:p>
    <w:p w14:paraId="629D9CA7" w14:textId="17BC5018"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б) Опаковката е направена, произведена и пусната в търговски оборот по такъв начин, че да позволи повторната употреба или възстановяване, включително и рециклиране, в съответствие с йерархията на отпадъците и да се намали до минимум въздействието й върху околната среда, когато се обезвреждат отпадъци от опаковки или остатъчни вещества от операции с такива отпадъци.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3E7524" w:rsidRDefault="000147DB" w:rsidP="000147DB">
      <w:pPr>
        <w:spacing w:after="0" w:line="240" w:lineRule="auto"/>
        <w:jc w:val="both"/>
        <w:rPr>
          <w:rFonts w:eastAsia="Times New Roman" w:cs="Arial"/>
          <w:color w:val="000000"/>
        </w:rPr>
      </w:pPr>
      <w:r>
        <w:rPr>
          <w:color w:val="000000"/>
        </w:rPr>
        <w:t>в) Опаковката се произвежда така, че присъствието на вредни и други опасни вещества и материали като съставки на опаковъчния материал или на някой от опаковъчните компоненти е сведено до минимум с оглед на появата им в емисии, прах или утайка след прецеждане, когато опаковки или остатъци от операции или отпадъци от опаковки се изгарят или се депонират.</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rFonts w:eastAsia="Times New Roman" w:cs="Arial"/>
          <w:color w:val="000000"/>
        </w:rPr>
      </w:pPr>
      <w:r>
        <w:rPr>
          <w:b/>
          <w:bCs/>
          <w:color w:val="000000"/>
        </w:rPr>
        <w:t>2) Специфични изисквания за естеството на опаковки за повторна употреба</w:t>
      </w:r>
    </w:p>
    <w:p w14:paraId="632929B6" w14:textId="77777777" w:rsidR="000147DB" w:rsidRPr="003E7524" w:rsidRDefault="000147DB" w:rsidP="00B972B3">
      <w:pPr>
        <w:keepNext/>
        <w:keepLines/>
        <w:spacing w:after="0" w:line="240" w:lineRule="auto"/>
        <w:jc w:val="both"/>
        <w:rPr>
          <w:rFonts w:eastAsia="Times New Roman" w:cs="Arial"/>
          <w:color w:val="000000"/>
        </w:rPr>
      </w:pPr>
      <w:r>
        <w:rPr>
          <w:color w:val="000000"/>
        </w:rPr>
        <w:t>Следните изисквания трябва да се изпълнят едновременно:</w:t>
      </w:r>
    </w:p>
    <w:p w14:paraId="3D32190A" w14:textId="77777777" w:rsidR="000147DB" w:rsidRPr="003E7524" w:rsidRDefault="000147DB" w:rsidP="000147DB">
      <w:pPr>
        <w:spacing w:after="0" w:line="240" w:lineRule="auto"/>
        <w:jc w:val="both"/>
        <w:rPr>
          <w:rFonts w:eastAsia="Times New Roman" w:cs="Arial"/>
          <w:color w:val="000000"/>
        </w:rPr>
      </w:pPr>
      <w:r>
        <w:rPr>
          <w:color w:val="000000"/>
        </w:rPr>
        <w:t>а) физичните свойства и характеристики на опаковката позволяват няколко завъртания при нормално предвидими условия за използване,</w:t>
      </w:r>
    </w:p>
    <w:p w14:paraId="45F75A04" w14:textId="77777777" w:rsidR="000147DB" w:rsidRPr="003E7524" w:rsidRDefault="000147DB" w:rsidP="000147DB">
      <w:pPr>
        <w:spacing w:after="0" w:line="240" w:lineRule="auto"/>
        <w:jc w:val="both"/>
        <w:rPr>
          <w:rFonts w:eastAsia="Times New Roman" w:cs="Arial"/>
          <w:color w:val="000000"/>
        </w:rPr>
      </w:pPr>
      <w:r>
        <w:rPr>
          <w:color w:val="000000"/>
        </w:rPr>
        <w:t>б) възможност за преработване на използвани опаковки, за да се изпълнят здравните изисквания и изискванията за безопасност по отношение на работната сила,</w:t>
      </w:r>
    </w:p>
    <w:p w14:paraId="3D452CEF" w14:textId="77777777" w:rsidR="000147DB" w:rsidRPr="003E7524" w:rsidRDefault="000147DB" w:rsidP="000147DB">
      <w:pPr>
        <w:spacing w:after="0" w:line="240" w:lineRule="auto"/>
        <w:jc w:val="both"/>
        <w:rPr>
          <w:rFonts w:eastAsia="Times New Roman" w:cs="Arial"/>
          <w:color w:val="000000"/>
        </w:rPr>
      </w:pPr>
      <w:r>
        <w:rPr>
          <w:color w:val="000000"/>
        </w:rPr>
        <w:t>в) да се изпълнят специфичните изисквания за възстановими опаковки, когато опаковката не може отново да се използва и така се превръща в отпадъци.</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rFonts w:eastAsia="Times New Roman" w:cs="Arial"/>
          <w:b/>
          <w:bCs/>
          <w:iCs/>
          <w:color w:val="000000"/>
        </w:rPr>
      </w:pPr>
      <w:r>
        <w:rPr>
          <w:b/>
          <w:bCs/>
          <w:iCs/>
          <w:color w:val="000000"/>
        </w:rPr>
        <w:t>3) Специфични изисквания за естеството на опаковките за възстановяване</w:t>
      </w:r>
    </w:p>
    <w:p w14:paraId="1EE282C0"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а) Опаковки, възстановими чрез рециклиране на материала </w:t>
      </w:r>
    </w:p>
    <w:p w14:paraId="72BEBD90" w14:textId="77777777" w:rsidR="000147DB" w:rsidRPr="003E7524" w:rsidRDefault="000147DB" w:rsidP="000147DB">
      <w:pPr>
        <w:spacing w:after="0" w:line="240" w:lineRule="auto"/>
        <w:jc w:val="both"/>
        <w:rPr>
          <w:rFonts w:eastAsia="Times New Roman" w:cs="Arial"/>
          <w:color w:val="000000"/>
        </w:rPr>
      </w:pPr>
      <w:r>
        <w:rPr>
          <w:color w:val="000000"/>
        </w:rPr>
        <w:t>Опаковката трябва да е произведена по начин, който позволява рециклирането на определен процент от теглото на материала, използван за производството на продукти за продажба, в съответствие със съществуващите стандарти в Европейския съюз. Определянето на този процент може да варира в зависимост от вида на материала, от който е направена опаковката.</w:t>
      </w:r>
    </w:p>
    <w:p w14:paraId="1A7B37E6"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б) Опаковка, възстановима под формата на отделяне на енергия </w:t>
      </w:r>
    </w:p>
    <w:p w14:paraId="041C2C54" w14:textId="77777777" w:rsidR="000147DB" w:rsidRPr="003E7524" w:rsidRDefault="000147DB" w:rsidP="000147DB">
      <w:pPr>
        <w:spacing w:after="0" w:line="240" w:lineRule="auto"/>
        <w:jc w:val="both"/>
        <w:rPr>
          <w:rFonts w:eastAsia="Times New Roman" w:cs="Arial"/>
          <w:color w:val="000000"/>
        </w:rPr>
      </w:pPr>
      <w:r>
        <w:rPr>
          <w:color w:val="000000"/>
        </w:rPr>
        <w:t>Отпадъците от опаковки, преработвани за целите на отделяне на енергия, имат минимална калорична стойност, за да се даде възможност за оптимизиране на отделянето на енергия.</w:t>
      </w:r>
    </w:p>
    <w:p w14:paraId="47DD47B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в) Опаковки, възстановими за друга употреба под формата на тор от отпадъци </w:t>
      </w:r>
    </w:p>
    <w:p w14:paraId="0F150FF9" w14:textId="77777777" w:rsidR="000147DB" w:rsidRPr="003E7524" w:rsidRDefault="000147DB" w:rsidP="000147DB">
      <w:pPr>
        <w:spacing w:after="0" w:line="240" w:lineRule="auto"/>
        <w:jc w:val="both"/>
        <w:rPr>
          <w:rFonts w:eastAsia="Times New Roman" w:cs="Arial"/>
          <w:color w:val="000000"/>
        </w:rPr>
      </w:pPr>
      <w:r>
        <w:rPr>
          <w:color w:val="000000"/>
        </w:rPr>
        <w:t>Отпадъците от опаковки, обработени с цел получаване на тор, са от такова биоразграждащо се естество, което не следва да пречи на отделното събиране и на процеса или дейността за биоразграждане, в които се въвежда.</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A225D3">
      <w:pPr>
        <w:keepNext/>
        <w:keepLines/>
        <w:autoSpaceDE w:val="0"/>
        <w:autoSpaceDN w:val="0"/>
        <w:adjustRightInd w:val="0"/>
        <w:spacing w:after="0"/>
        <w:jc w:val="both"/>
        <w:rPr>
          <w:rFonts w:cs="TimesNewRoman"/>
          <w:color w:val="FF0000"/>
          <w:sz w:val="24"/>
          <w:szCs w:val="24"/>
        </w:rPr>
      </w:pPr>
      <w:r>
        <w:rPr>
          <w:color w:val="FF0000"/>
          <w:sz w:val="24"/>
          <w:szCs w:val="24"/>
        </w:rPr>
        <w:lastRenderedPageBreak/>
        <w:t>г) Биоразграждащи се опаковки</w:t>
      </w:r>
    </w:p>
    <w:p w14:paraId="7A56FE8C" w14:textId="77777777" w:rsidR="000147DB" w:rsidRPr="003E7524" w:rsidRDefault="000147DB" w:rsidP="00A225D3">
      <w:pPr>
        <w:keepNext/>
        <w:keepLines/>
        <w:autoSpaceDE w:val="0"/>
        <w:autoSpaceDN w:val="0"/>
        <w:adjustRightInd w:val="0"/>
        <w:spacing w:after="0"/>
        <w:jc w:val="both"/>
        <w:rPr>
          <w:rFonts w:cs="TimesNewRoman"/>
          <w:color w:val="FF0000"/>
          <w:sz w:val="24"/>
          <w:szCs w:val="24"/>
        </w:rPr>
      </w:pPr>
      <w:r>
        <w:rPr>
          <w:color w:val="FF0000"/>
          <w:sz w:val="24"/>
          <w:szCs w:val="24"/>
        </w:rPr>
        <w:t xml:space="preserve">Биоразграждащите се отпадъци от опаковки са от такова естество, че са в състояние да претърпят физично, химично, термично или биологично разлагане от вид, при който по-голямата част от крайната получена тор в крайна сметка се разлага на въглероден двуокис, биомаса и вода. </w:t>
      </w:r>
    </w:p>
    <w:p w14:paraId="76704C00"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szCs w:val="24"/>
        </w:rPr>
        <w:t>Разградимите при окисляване пластмасови опаковки не се разглеждат като биоразграждащи се.</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rFonts w:eastAsia="Times New Roman" w:cs="Arial"/>
          <w:b/>
        </w:rPr>
      </w:pPr>
      <w:r>
        <w:rPr>
          <w:b/>
        </w:rPr>
        <w:t>ПРИЛОЖЕНИЕ II</w:t>
      </w:r>
    </w:p>
    <w:p w14:paraId="08D0C795" w14:textId="77777777" w:rsidR="000147DB" w:rsidRPr="003E7524" w:rsidRDefault="000147DB" w:rsidP="00B972B3">
      <w:pPr>
        <w:keepNext/>
        <w:keepLines/>
        <w:spacing w:after="0" w:line="240" w:lineRule="auto"/>
        <w:jc w:val="center"/>
        <w:rPr>
          <w:rFonts w:eastAsia="Times New Roman" w:cs="Arial"/>
          <w:b/>
          <w:bCs/>
        </w:rPr>
      </w:pPr>
      <w:r>
        <w:rPr>
          <w:b/>
          <w:bCs/>
        </w:rPr>
        <w:t>Екологично споразумение</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За екологичните споразумения, посочени в настоящия закон, се прилагат следните правила:</w:t>
      </w:r>
    </w:p>
    <w:p w14:paraId="26FA5C49" w14:textId="77777777" w:rsidR="000147DB" w:rsidRPr="003E7524" w:rsidRDefault="000147DB" w:rsidP="000147DB">
      <w:pPr>
        <w:spacing w:after="0" w:line="240" w:lineRule="auto"/>
        <w:jc w:val="both"/>
        <w:rPr>
          <w:rFonts w:eastAsia="Times New Roman" w:cs="Arial"/>
        </w:rPr>
      </w:pPr>
      <w:r>
        <w:t>1) В споразуменията следва да се уточняват техните цели и срок.</w:t>
      </w:r>
    </w:p>
    <w:p w14:paraId="6DB322CD" w14:textId="77777777" w:rsidR="000147DB" w:rsidRPr="003E7524" w:rsidRDefault="000147DB" w:rsidP="000147DB">
      <w:pPr>
        <w:spacing w:after="0" w:line="240" w:lineRule="auto"/>
        <w:jc w:val="both"/>
        <w:rPr>
          <w:rFonts w:eastAsia="Times New Roman" w:cs="Arial"/>
        </w:rPr>
      </w:pPr>
      <w:r>
        <w:t>2) Споразуменията и постигнатите от тяхното прилагане резултати се предоставят на разположение на обществеността и на Европейската комисия от министъра.</w:t>
      </w:r>
    </w:p>
    <w:p w14:paraId="0C4AFADA" w14:textId="77777777" w:rsidR="000147DB" w:rsidRPr="003E7524" w:rsidRDefault="000147DB" w:rsidP="000147DB">
      <w:pPr>
        <w:spacing w:after="0" w:line="240" w:lineRule="auto"/>
        <w:jc w:val="both"/>
        <w:rPr>
          <w:rFonts w:eastAsia="Times New Roman" w:cs="Arial"/>
        </w:rPr>
      </w:pPr>
      <w:r>
        <w:t>3) Прилагането на споразуменията се наблюдава постоянно от администрацията.</w:t>
      </w:r>
    </w:p>
    <w:p w14:paraId="338631B9" w14:textId="77777777" w:rsidR="000147DB" w:rsidRPr="003E7524" w:rsidRDefault="000147DB" w:rsidP="000147DB">
      <w:pPr>
        <w:spacing w:after="0" w:line="240" w:lineRule="auto"/>
        <w:jc w:val="both"/>
        <w:rPr>
          <w:rFonts w:eastAsia="Times New Roman" w:cs="Arial"/>
        </w:rPr>
      </w:pPr>
      <w:r>
        <w:t>4) Споразуменията съдържат мерки и санкции в случай на неспазване на техните разпоредби.</w:t>
      </w:r>
    </w:p>
    <w:p w14:paraId="3E2E4659" w14:textId="77777777" w:rsidR="000147DB" w:rsidRPr="003E7524" w:rsidRDefault="000147DB" w:rsidP="000147DB">
      <w:pPr>
        <w:spacing w:after="0" w:line="240" w:lineRule="auto"/>
        <w:jc w:val="both"/>
        <w:rPr>
          <w:rFonts w:eastAsia="Times New Roman" w:cs="Arial"/>
        </w:rPr>
      </w:pPr>
      <w:r>
        <w:t>5) Споразуменията се сключват за определен период, който не може да надвишава пет години. Те не се подновяват при мълчаливо съгласие.</w:t>
      </w:r>
    </w:p>
    <w:p w14:paraId="104D8A65" w14:textId="77777777" w:rsidR="000147DB" w:rsidRPr="003E7524" w:rsidRDefault="000147DB" w:rsidP="000147DB">
      <w:pPr>
        <w:spacing w:after="0" w:line="240" w:lineRule="auto"/>
        <w:jc w:val="both"/>
        <w:rPr>
          <w:rFonts w:eastAsia="Times New Roman" w:cs="Arial"/>
        </w:rPr>
      </w:pPr>
      <w:r>
        <w:t>6) Споразуменията изтичат или в края на срока, за който са сключени, или след постигане на техните целите, или по взаимно съгласие на страните.</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Закон от XXXXX</w:t>
      </w:r>
    </w:p>
    <w:p w14:paraId="4FF80B34" w14:textId="22A2854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szCs w:val="24"/>
          <w:u w:val="single"/>
        </w:rPr>
        <w:t>ПРИЛОЖЕНИЕ III</w:t>
      </w:r>
    </w:p>
    <w:p w14:paraId="79D2B46F"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bCs/>
          <w:color w:val="FF0000"/>
          <w:sz w:val="24"/>
          <w:szCs w:val="24"/>
          <w:u w:val="single"/>
        </w:rPr>
        <w:t>Списък на плодовете и зеленчуците, посочени в член 5, параграф 1, точка 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Пресни плодове</w:t>
            </w:r>
          </w:p>
        </w:tc>
        <w:tc>
          <w:tcPr>
            <w:tcW w:w="4675" w:type="dxa"/>
          </w:tcPr>
          <w:p w14:paraId="5DD24357" w14:textId="77777777" w:rsidR="000147DB" w:rsidRPr="00B972B3" w:rsidRDefault="000147DB" w:rsidP="000147DB">
            <w:pPr>
              <w:rPr>
                <w:b/>
                <w:color w:val="FF0000"/>
                <w:spacing w:val="-4"/>
              </w:rPr>
            </w:pPr>
            <w:r>
              <w:rPr>
                <w:b/>
                <w:color w:val="FF0000"/>
              </w:rPr>
              <w:t>Пресни зеленчуци</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Ананас</w:t>
            </w:r>
          </w:p>
        </w:tc>
        <w:tc>
          <w:tcPr>
            <w:tcW w:w="4675" w:type="dxa"/>
          </w:tcPr>
          <w:p w14:paraId="08482F53" w14:textId="77777777" w:rsidR="000147DB" w:rsidRPr="00B972B3" w:rsidRDefault="000147DB" w:rsidP="000147DB">
            <w:pPr>
              <w:rPr>
                <w:color w:val="FF0000"/>
                <w:spacing w:val="-4"/>
              </w:rPr>
            </w:pPr>
            <w:r>
              <w:rPr>
                <w:color w:val="FF0000"/>
              </w:rPr>
              <w:t>Чесън</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Кайсия</w:t>
            </w:r>
          </w:p>
        </w:tc>
        <w:tc>
          <w:tcPr>
            <w:tcW w:w="4675" w:type="dxa"/>
          </w:tcPr>
          <w:p w14:paraId="3AFF19ED" w14:textId="77777777" w:rsidR="000147DB" w:rsidRPr="00B972B3" w:rsidRDefault="000147DB" w:rsidP="000147DB">
            <w:pPr>
              <w:rPr>
                <w:color w:val="FF0000"/>
                <w:spacing w:val="-4"/>
              </w:rPr>
            </w:pPr>
            <w:r>
              <w:rPr>
                <w:color w:val="FF0000"/>
              </w:rPr>
              <w:t>Артишок</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Авокадо </w:t>
            </w:r>
          </w:p>
        </w:tc>
        <w:tc>
          <w:tcPr>
            <w:tcW w:w="4675" w:type="dxa"/>
          </w:tcPr>
          <w:p w14:paraId="2478D876" w14:textId="77777777" w:rsidR="000147DB" w:rsidRPr="00B972B3" w:rsidRDefault="000147DB" w:rsidP="000147DB">
            <w:pPr>
              <w:rPr>
                <w:color w:val="FF0000"/>
                <w:spacing w:val="-4"/>
              </w:rPr>
            </w:pPr>
            <w:r>
              <w:rPr>
                <w:color w:val="FF0000"/>
              </w:rPr>
              <w:t>Аспержи</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Банан</w:t>
            </w:r>
          </w:p>
        </w:tc>
        <w:tc>
          <w:tcPr>
            <w:tcW w:w="4675" w:type="dxa"/>
          </w:tcPr>
          <w:p w14:paraId="3DDEEA9A" w14:textId="77777777" w:rsidR="000147DB" w:rsidRPr="00B972B3" w:rsidRDefault="000147DB" w:rsidP="000147DB">
            <w:pPr>
              <w:rPr>
                <w:color w:val="FF0000"/>
                <w:spacing w:val="-4"/>
              </w:rPr>
            </w:pPr>
            <w:r>
              <w:rPr>
                <w:color w:val="FF0000"/>
              </w:rPr>
              <w:t>Патладжан</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Карамбола </w:t>
            </w:r>
          </w:p>
        </w:tc>
        <w:tc>
          <w:tcPr>
            <w:tcW w:w="4675" w:type="dxa"/>
          </w:tcPr>
          <w:p w14:paraId="7AC5C4A8" w14:textId="77777777" w:rsidR="000147DB" w:rsidRPr="00B972B3" w:rsidRDefault="000147DB" w:rsidP="000147DB">
            <w:pPr>
              <w:rPr>
                <w:color w:val="FF0000"/>
                <w:spacing w:val="-4"/>
              </w:rPr>
            </w:pPr>
            <w:r>
              <w:rPr>
                <w:color w:val="FF0000"/>
              </w:rPr>
              <w:t>Цвекло</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Череши</w:t>
            </w:r>
          </w:p>
        </w:tc>
        <w:tc>
          <w:tcPr>
            <w:tcW w:w="4675" w:type="dxa"/>
          </w:tcPr>
          <w:p w14:paraId="2B969983" w14:textId="77777777" w:rsidR="000147DB" w:rsidRPr="00B972B3" w:rsidRDefault="000147DB" w:rsidP="000147DB">
            <w:pPr>
              <w:rPr>
                <w:color w:val="FF0000"/>
                <w:spacing w:val="-4"/>
              </w:rPr>
            </w:pPr>
            <w:r>
              <w:rPr>
                <w:color w:val="FF0000"/>
              </w:rPr>
              <w:t xml:space="preserve">Броколи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Лимон</w:t>
            </w:r>
          </w:p>
        </w:tc>
        <w:tc>
          <w:tcPr>
            <w:tcW w:w="4675" w:type="dxa"/>
          </w:tcPr>
          <w:p w14:paraId="47A7B036" w14:textId="77777777" w:rsidR="000147DB" w:rsidRPr="00B972B3" w:rsidRDefault="000147DB" w:rsidP="000147DB">
            <w:pPr>
              <w:rPr>
                <w:color w:val="FF0000"/>
                <w:spacing w:val="-4"/>
              </w:rPr>
            </w:pPr>
            <w:r>
              <w:rPr>
                <w:color w:val="FF0000"/>
              </w:rPr>
              <w:t>Морков</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Зелен лимон (лайм)</w:t>
            </w:r>
          </w:p>
        </w:tc>
        <w:tc>
          <w:tcPr>
            <w:tcW w:w="4675" w:type="dxa"/>
          </w:tcPr>
          <w:p w14:paraId="453BF889" w14:textId="77777777" w:rsidR="000147DB" w:rsidRPr="00B972B3" w:rsidRDefault="000147DB" w:rsidP="000147DB">
            <w:pPr>
              <w:rPr>
                <w:color w:val="FF0000"/>
                <w:spacing w:val="-4"/>
              </w:rPr>
            </w:pPr>
            <w:r>
              <w:rPr>
                <w:color w:val="FF0000"/>
              </w:rPr>
              <w:t>Целина</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lastRenderedPageBreak/>
              <w:t>Клементина (сорт мандарина)</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Дюля</w:t>
            </w:r>
          </w:p>
        </w:tc>
        <w:tc>
          <w:tcPr>
            <w:tcW w:w="4675" w:type="dxa"/>
          </w:tcPr>
          <w:p w14:paraId="7F3699D7" w14:textId="77777777" w:rsidR="000147DB" w:rsidRPr="00B972B3" w:rsidRDefault="000147DB" w:rsidP="000147DB">
            <w:pPr>
              <w:rPr>
                <w:color w:val="FF0000"/>
                <w:spacing w:val="-4"/>
              </w:rPr>
            </w:pPr>
            <w:r>
              <w:rPr>
                <w:color w:val="FF0000"/>
              </w:rPr>
              <w:t>Брюкселско зеле</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Смокиня</w:t>
            </w:r>
          </w:p>
        </w:tc>
        <w:tc>
          <w:tcPr>
            <w:tcW w:w="4675" w:type="dxa"/>
          </w:tcPr>
          <w:p w14:paraId="7D013B00" w14:textId="77777777" w:rsidR="000147DB" w:rsidRPr="00B972B3" w:rsidRDefault="000147DB" w:rsidP="000147DB">
            <w:pPr>
              <w:rPr>
                <w:color w:val="FF0000"/>
                <w:spacing w:val="-4"/>
              </w:rPr>
            </w:pPr>
            <w:r>
              <w:rPr>
                <w:color w:val="FF0000"/>
              </w:rPr>
              <w:t xml:space="preserve">Цветно зеле (карфиол)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Маракуя</w:t>
            </w:r>
          </w:p>
        </w:tc>
        <w:tc>
          <w:tcPr>
            <w:tcW w:w="4675" w:type="dxa"/>
          </w:tcPr>
          <w:p w14:paraId="20A94445" w14:textId="77777777" w:rsidR="000147DB" w:rsidRPr="00B972B3" w:rsidRDefault="000147DB" w:rsidP="000147DB">
            <w:pPr>
              <w:rPr>
                <w:color w:val="FF0000"/>
                <w:spacing w:val="-4"/>
              </w:rPr>
            </w:pPr>
            <w:r>
              <w:rPr>
                <w:color w:val="FF0000"/>
              </w:rPr>
              <w:t xml:space="preserve">Алабаш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Гуава (индийска круша) </w:t>
            </w:r>
          </w:p>
        </w:tc>
        <w:tc>
          <w:tcPr>
            <w:tcW w:w="4675" w:type="dxa"/>
          </w:tcPr>
          <w:p w14:paraId="31DCAFA7" w14:textId="77777777" w:rsidR="000147DB" w:rsidRPr="00B972B3" w:rsidRDefault="000147DB" w:rsidP="000147DB">
            <w:pPr>
              <w:rPr>
                <w:color w:val="FF0000"/>
                <w:spacing w:val="-4"/>
              </w:rPr>
            </w:pPr>
            <w:r>
              <w:rPr>
                <w:color w:val="FF0000"/>
              </w:rPr>
              <w:t>Червено зеле</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Нар </w:t>
            </w:r>
          </w:p>
        </w:tc>
        <w:tc>
          <w:tcPr>
            <w:tcW w:w="4675" w:type="dxa"/>
          </w:tcPr>
          <w:p w14:paraId="2E7E8615" w14:textId="77777777" w:rsidR="000147DB" w:rsidRPr="00B972B3" w:rsidRDefault="000147DB" w:rsidP="000147DB">
            <w:pPr>
              <w:rPr>
                <w:color w:val="FF0000"/>
                <w:spacing w:val="-4"/>
              </w:rPr>
            </w:pPr>
            <w:r>
              <w:rPr>
                <w:color w:val="FF0000"/>
              </w:rPr>
              <w:t>Зелено зеле</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Киви</w:t>
            </w:r>
          </w:p>
        </w:tc>
        <w:tc>
          <w:tcPr>
            <w:tcW w:w="4675" w:type="dxa"/>
          </w:tcPr>
          <w:p w14:paraId="0CB65944" w14:textId="77777777" w:rsidR="000147DB" w:rsidRPr="00B972B3" w:rsidRDefault="000147DB" w:rsidP="000147DB">
            <w:pPr>
              <w:rPr>
                <w:color w:val="FF0000"/>
                <w:spacing w:val="-4"/>
              </w:rPr>
            </w:pPr>
            <w:r>
              <w:rPr>
                <w:color w:val="FF0000"/>
              </w:rPr>
              <w:t>Краставица</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Китайско личи</w:t>
            </w:r>
          </w:p>
        </w:tc>
        <w:tc>
          <w:tcPr>
            <w:tcW w:w="4675" w:type="dxa"/>
          </w:tcPr>
          <w:p w14:paraId="07FD18D1" w14:textId="77777777" w:rsidR="000147DB" w:rsidRPr="00B972B3" w:rsidRDefault="000147DB" w:rsidP="000147DB">
            <w:pPr>
              <w:rPr>
                <w:color w:val="FF0000"/>
                <w:spacing w:val="-4"/>
              </w:rPr>
            </w:pPr>
            <w:r>
              <w:rPr>
                <w:color w:val="FF0000"/>
              </w:rPr>
              <w:t>Тиква</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Мандарина</w:t>
            </w:r>
          </w:p>
        </w:tc>
        <w:tc>
          <w:tcPr>
            <w:tcW w:w="4675" w:type="dxa"/>
          </w:tcPr>
          <w:p w14:paraId="1E3114C2" w14:textId="77777777" w:rsidR="000147DB" w:rsidRPr="00B972B3" w:rsidRDefault="000147DB" w:rsidP="000147DB">
            <w:pPr>
              <w:rPr>
                <w:color w:val="FF0000"/>
                <w:spacing w:val="-4"/>
              </w:rPr>
            </w:pPr>
            <w:r>
              <w:rPr>
                <w:color w:val="FF0000"/>
              </w:rPr>
              <w:t xml:space="preserve">Тиквичка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Манго</w:t>
            </w:r>
          </w:p>
        </w:tc>
        <w:tc>
          <w:tcPr>
            <w:tcW w:w="4675" w:type="dxa"/>
          </w:tcPr>
          <w:p w14:paraId="67C4D77E" w14:textId="77777777" w:rsidR="000147DB" w:rsidRPr="00B972B3" w:rsidRDefault="000147DB" w:rsidP="000147DB">
            <w:pPr>
              <w:rPr>
                <w:color w:val="FF0000"/>
                <w:spacing w:val="-4"/>
              </w:rPr>
            </w:pPr>
            <w:r>
              <w:rPr>
                <w:color w:val="FF0000"/>
              </w:rPr>
              <w:t xml:space="preserve">Фасул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Пъпеш</w:t>
            </w:r>
          </w:p>
        </w:tc>
        <w:tc>
          <w:tcPr>
            <w:tcW w:w="4675" w:type="dxa"/>
          </w:tcPr>
          <w:p w14:paraId="64BDF842" w14:textId="77777777" w:rsidR="000147DB" w:rsidRPr="00B972B3" w:rsidRDefault="000147DB" w:rsidP="000147DB">
            <w:pPr>
              <w:rPr>
                <w:color w:val="FF0000"/>
                <w:spacing w:val="-4"/>
              </w:rPr>
            </w:pPr>
            <w:r>
              <w:rPr>
                <w:color w:val="FF0000"/>
              </w:rPr>
              <w:t>Цикория</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Мирабела (жълта слива)</w:t>
            </w:r>
          </w:p>
        </w:tc>
        <w:tc>
          <w:tcPr>
            <w:tcW w:w="4675" w:type="dxa"/>
          </w:tcPr>
          <w:p w14:paraId="716EDB7B" w14:textId="77777777" w:rsidR="000147DB" w:rsidRPr="00B972B3" w:rsidRDefault="000147DB" w:rsidP="000147DB">
            <w:pPr>
              <w:rPr>
                <w:color w:val="FF0000"/>
                <w:spacing w:val="-4"/>
              </w:rPr>
            </w:pPr>
            <w:r>
              <w:rPr>
                <w:color w:val="FF0000"/>
              </w:rPr>
              <w:t>Копър</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Нектарина</w:t>
            </w:r>
          </w:p>
        </w:tc>
        <w:tc>
          <w:tcPr>
            <w:tcW w:w="4675" w:type="dxa"/>
          </w:tcPr>
          <w:p w14:paraId="34F5A88D" w14:textId="77777777" w:rsidR="000147DB" w:rsidRPr="00B972B3" w:rsidRDefault="000147DB" w:rsidP="000147DB">
            <w:pPr>
              <w:rPr>
                <w:color w:val="FF0000"/>
                <w:spacing w:val="-4"/>
              </w:rPr>
            </w:pPr>
            <w:r>
              <w:rPr>
                <w:color w:val="FF0000"/>
              </w:rPr>
              <w:t>Царевица</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Портокал</w:t>
            </w:r>
          </w:p>
        </w:tc>
        <w:tc>
          <w:tcPr>
            <w:tcW w:w="4675" w:type="dxa"/>
          </w:tcPr>
          <w:p w14:paraId="00AE1AA5" w14:textId="77777777" w:rsidR="000147DB" w:rsidRPr="00B972B3" w:rsidRDefault="000147DB" w:rsidP="000147DB">
            <w:pPr>
              <w:rPr>
                <w:color w:val="FF0000"/>
                <w:spacing w:val="-4"/>
              </w:rPr>
            </w:pPr>
            <w:r>
              <w:rPr>
                <w:color w:val="FF0000"/>
              </w:rPr>
              <w:t>Ряпа</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Папая</w:t>
            </w:r>
          </w:p>
        </w:tc>
        <w:tc>
          <w:tcPr>
            <w:tcW w:w="4675" w:type="dxa"/>
          </w:tcPr>
          <w:p w14:paraId="075DB470" w14:textId="77777777" w:rsidR="000147DB" w:rsidRPr="00B972B3" w:rsidRDefault="000147DB" w:rsidP="000147DB">
            <w:pPr>
              <w:rPr>
                <w:color w:val="FF0000"/>
                <w:spacing w:val="-4"/>
              </w:rPr>
            </w:pPr>
            <w:r>
              <w:rPr>
                <w:color w:val="FF0000"/>
              </w:rPr>
              <w:t>Лук</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Праз</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Праскова</w:t>
            </w:r>
          </w:p>
        </w:tc>
        <w:tc>
          <w:tcPr>
            <w:tcW w:w="4675" w:type="dxa"/>
          </w:tcPr>
          <w:p w14:paraId="5243B15C" w14:textId="77777777" w:rsidR="000147DB" w:rsidRPr="00B972B3" w:rsidRDefault="000147DB" w:rsidP="000147DB">
            <w:pPr>
              <w:rPr>
                <w:color w:val="FF0000"/>
                <w:spacing w:val="-4"/>
              </w:rPr>
            </w:pPr>
            <w:r>
              <w:rPr>
                <w:color w:val="FF0000"/>
              </w:rPr>
              <w:t>Чушка</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Мехунка (вълча ябълка)</w:t>
            </w:r>
          </w:p>
        </w:tc>
        <w:tc>
          <w:tcPr>
            <w:tcW w:w="4675" w:type="dxa"/>
          </w:tcPr>
          <w:p w14:paraId="6052EBF3" w14:textId="77777777" w:rsidR="000147DB" w:rsidRPr="00B972B3" w:rsidRDefault="000147DB" w:rsidP="000147DB">
            <w:pPr>
              <w:rPr>
                <w:color w:val="FF0000"/>
                <w:spacing w:val="-4"/>
              </w:rPr>
            </w:pPr>
            <w:r>
              <w:rPr>
                <w:color w:val="FF0000"/>
              </w:rPr>
              <w:t>Картофи</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Питахая (драконов плод)</w:t>
            </w:r>
          </w:p>
        </w:tc>
        <w:tc>
          <w:tcPr>
            <w:tcW w:w="4675" w:type="dxa"/>
          </w:tcPr>
          <w:p w14:paraId="0C08F9BD" w14:textId="77777777" w:rsidR="000147DB" w:rsidRPr="00B972B3" w:rsidRDefault="000147DB" w:rsidP="000147DB">
            <w:pPr>
              <w:rPr>
                <w:color w:val="FF0000"/>
                <w:spacing w:val="-4"/>
              </w:rPr>
            </w:pPr>
            <w:r>
              <w:rPr>
                <w:color w:val="FF0000"/>
              </w:rPr>
              <w:t>Кестенка (вид тиква)</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Райска ябълка / Хурма</w:t>
            </w:r>
          </w:p>
        </w:tc>
        <w:tc>
          <w:tcPr>
            <w:tcW w:w="4675" w:type="dxa"/>
          </w:tcPr>
          <w:p w14:paraId="764A6ACA" w14:textId="77777777" w:rsidR="000147DB" w:rsidRPr="00B972B3" w:rsidRDefault="000147DB" w:rsidP="000147DB">
            <w:pPr>
              <w:rPr>
                <w:color w:val="FF0000"/>
                <w:spacing w:val="-4"/>
              </w:rPr>
            </w:pPr>
            <w:r>
              <w:rPr>
                <w:color w:val="FF0000"/>
              </w:rPr>
              <w:t xml:space="preserve">Репичка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Круша</w:t>
            </w:r>
          </w:p>
        </w:tc>
        <w:tc>
          <w:tcPr>
            <w:tcW w:w="4675" w:type="dxa"/>
          </w:tcPr>
          <w:p w14:paraId="64399CC8" w14:textId="77777777" w:rsidR="000147DB" w:rsidRPr="00B972B3" w:rsidRDefault="000147DB" w:rsidP="000147DB">
            <w:pPr>
              <w:rPr>
                <w:color w:val="FF0000"/>
                <w:spacing w:val="-4"/>
              </w:rPr>
            </w:pPr>
            <w:r>
              <w:rPr>
                <w:color w:val="FF0000"/>
              </w:rPr>
              <w:t xml:space="preserve">Ревен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Помело</w:t>
            </w:r>
          </w:p>
        </w:tc>
        <w:tc>
          <w:tcPr>
            <w:tcW w:w="4675" w:type="dxa"/>
          </w:tcPr>
          <w:p w14:paraId="44F6263F" w14:textId="77777777" w:rsidR="000147DB" w:rsidRPr="00B972B3" w:rsidRDefault="000147DB" w:rsidP="000147DB">
            <w:pPr>
              <w:rPr>
                <w:color w:val="FF0000"/>
                <w:spacing w:val="-4"/>
              </w:rPr>
            </w:pPr>
            <w:r>
              <w:rPr>
                <w:color w:val="FF0000"/>
              </w:rPr>
              <w:t>Домат</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Ябълка</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Слива</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Грозде</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E4757"/>
    <w:rsid w:val="006432AD"/>
    <w:rsid w:val="00747C65"/>
    <w:rsid w:val="00A225D3"/>
    <w:rsid w:val="00B972B3"/>
    <w:rsid w:val="00C660B5"/>
    <w:rsid w:val="00C67B48"/>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6618</Words>
  <Characters>37724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2020-07-27T11:52:00Z</dcterms:created>
  <dcterms:modified xsi:type="dcterms:W3CDTF">2020-08-13T05:46:00Z</dcterms:modified>
</cp:coreProperties>
</file>