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C38BC" w:rsidRPr="00CC38BC" w:rsidRDefault="00CC38BC" w:rsidP="00CC38BC">
      <w:pPr>
        <w:pStyle w:val="ListParagraph"/>
        <w:numPr>
          <w:ilvl w:val="0"/>
          <w:numId w:val="5"/>
        </w:numPr>
        <w:spacing w:before="120" w:after="120" w:line="240" w:lineRule="auto"/>
        <w:jc w:val="center"/>
        <w:rPr>
          <w:rFonts w:ascii="Courier New" w:hAnsi="Courier New" w:cs="Courier New"/>
          <w:sz w:val="20"/>
          <w:szCs w:val="20"/>
        </w:rPr>
      </w:pPr>
      <w:r>
        <w:rPr>
          <w:rFonts w:ascii="Courier New" w:hAnsi="Courier New"/>
          <w:sz w:val="20"/>
          <w:szCs w:val="20"/>
        </w:rPr>
        <w:t>------IND- 2019 0133 D-- RO- ------ 20200714 --- --- FINAL</w:t>
      </w:r>
    </w:p>
    <w:p w:rsidR="00932D4C" w:rsidRPr="00CC38BC" w:rsidRDefault="00932D4C" w:rsidP="00CC38BC">
      <w:pPr>
        <w:spacing w:before="120" w:after="120" w:line="240" w:lineRule="auto"/>
        <w:ind w:left="360"/>
        <w:rPr>
          <w:rFonts w:ascii="Arial" w:hAnsi="Arial" w:cs="Arial"/>
          <w:b/>
          <w:color w:val="000000"/>
          <w:sz w:val="26"/>
        </w:rPr>
      </w:pPr>
      <w:r>
        <w:rPr>
          <w:rFonts w:ascii="Arial" w:hAnsi="Arial"/>
          <w:b/>
          <w:color w:val="000000"/>
          <w:sz w:val="26"/>
        </w:rPr>
        <w:t>Ordin de modificare a Ordinului privind construcția și exploatarea tramvaielor</w:t>
      </w:r>
      <w:r w:rsidRPr="00926906">
        <w:rPr>
          <w:rFonts w:ascii="Times New Roman" w:hAnsi="Times New Roman"/>
          <w:sz w:val="24"/>
          <w:szCs w:val="24"/>
          <w:vertAlign w:val="superscript"/>
        </w:rPr>
        <w:footnoteReference w:id="1"/>
      </w:r>
    </w:p>
    <w:p w:rsidR="00932D4C" w:rsidRPr="00926906" w:rsidRDefault="00932D4C" w:rsidP="00932D4C">
      <w:pPr>
        <w:spacing w:before="240" w:after="120" w:line="240" w:lineRule="auto"/>
        <w:jc w:val="center"/>
        <w:rPr>
          <w:rFonts w:ascii="Arial" w:hAnsi="Arial" w:cs="Arial"/>
          <w:b/>
          <w:color w:val="000000"/>
        </w:rPr>
      </w:pPr>
      <w:r>
        <w:rPr>
          <w:rFonts w:ascii="Arial" w:hAnsi="Arial"/>
          <w:b/>
          <w:color w:val="000000"/>
        </w:rPr>
        <w:t>Din ...</w:t>
      </w:r>
    </w:p>
    <w:p w:rsidR="00932D4C" w:rsidRPr="00926906" w:rsidRDefault="00932D4C" w:rsidP="00932D4C">
      <w:pPr>
        <w:spacing w:before="120" w:after="120" w:line="360" w:lineRule="auto"/>
        <w:rPr>
          <w:rFonts w:ascii="Arial" w:hAnsi="Arial" w:cs="Arial"/>
          <w:color w:val="000000"/>
        </w:rPr>
      </w:pPr>
      <w:r>
        <w:rPr>
          <w:rFonts w:ascii="Arial" w:hAnsi="Arial"/>
          <w:color w:val="000000"/>
        </w:rPr>
        <w:t>În temeiul articolului 57 alineatul (1) punctele 1 și 3, în coroborare cu alineatul (3) din Legea privind transportul public în versiunea publicată la 8 august 1990 (Monitorul Oficial Federal I, p. 1690), în care teza anterioară alineatului (1) punctul 1 a fost modificată ultima dată prin articolul 482 alineatul (2) litera (a) din Ordinul din 31 august 2015 (Monitorul Oficial Federal I p. 1474), Ministerul Federal al Transporturilor și Infrastructurii Digitale stabilește următoarele:</w:t>
      </w:r>
    </w:p>
    <w:p w:rsidR="00932D4C" w:rsidRPr="00926906" w:rsidRDefault="00D23A18" w:rsidP="00D23A18">
      <w:pPr>
        <w:keepNext/>
        <w:spacing w:before="480" w:after="240" w:line="240" w:lineRule="auto"/>
        <w:jc w:val="center"/>
        <w:rPr>
          <w:rFonts w:ascii="Arial" w:hAnsi="Arial" w:cs="Arial"/>
          <w:b/>
          <w:color w:val="000000"/>
          <w:sz w:val="28"/>
        </w:rPr>
      </w:pPr>
      <w:r>
        <w:rPr>
          <w:rFonts w:ascii="Arial" w:hAnsi="Arial"/>
          <w:b/>
          <w:color w:val="000000"/>
          <w:sz w:val="28"/>
        </w:rPr>
        <w:t>Articolul 1</w:t>
      </w:r>
    </w:p>
    <w:p w:rsidR="00932D4C" w:rsidRPr="00926906" w:rsidRDefault="00932D4C" w:rsidP="00644D74">
      <w:pPr>
        <w:keepNext/>
        <w:spacing w:before="120" w:after="120" w:line="240" w:lineRule="auto"/>
        <w:jc w:val="both"/>
        <w:rPr>
          <w:rFonts w:ascii="Arial" w:hAnsi="Arial" w:cs="Arial"/>
          <w:color w:val="000000"/>
        </w:rPr>
      </w:pPr>
      <w:r>
        <w:rPr>
          <w:rFonts w:ascii="Arial" w:hAnsi="Arial"/>
          <w:color w:val="000000"/>
        </w:rPr>
        <w:t>Ordinul privind construcția și exploatarea tramvaielor din 11 decembrie 1987 (</w:t>
      </w:r>
      <w:proofErr w:type="spellStart"/>
      <w:r>
        <w:rPr>
          <w:rFonts w:ascii="Arial" w:hAnsi="Arial"/>
          <w:color w:val="000000"/>
        </w:rPr>
        <w:t>BGBl</w:t>
      </w:r>
      <w:proofErr w:type="spellEnd"/>
      <w:r>
        <w:rPr>
          <w:rFonts w:ascii="Arial" w:hAnsi="Arial"/>
          <w:color w:val="000000"/>
        </w:rPr>
        <w:t xml:space="preserve">. I p. 2648), astfel cum a fost modificat ultima dată prin articolul 1 din Regulamentul din luni, vineri, 16 decembrie 2016 (Monitorul Oficial al landului I, pagina 2938), se modifică după cum urmează: </w:t>
      </w:r>
    </w:p>
    <w:p w:rsidR="00932D4C" w:rsidRPr="00926906" w:rsidRDefault="00932D4C" w:rsidP="00644D74">
      <w:pPr>
        <w:keepNext/>
        <w:numPr>
          <w:ilvl w:val="0"/>
          <w:numId w:val="2"/>
        </w:numPr>
        <w:tabs>
          <w:tab w:val="left" w:pos="0"/>
        </w:tabs>
        <w:spacing w:before="120" w:after="120" w:line="240" w:lineRule="auto"/>
        <w:jc w:val="both"/>
        <w:rPr>
          <w:rFonts w:ascii="Arial" w:hAnsi="Arial" w:cs="Arial"/>
          <w:color w:val="000000"/>
        </w:rPr>
      </w:pPr>
      <w:r>
        <w:rPr>
          <w:rFonts w:ascii="Arial" w:hAnsi="Arial"/>
          <w:color w:val="000000"/>
        </w:rPr>
        <w:t>Cuprinsul se modifică după cum urmează:</w:t>
      </w:r>
    </w:p>
    <w:p w:rsidR="00932D4C" w:rsidRPr="00926906" w:rsidRDefault="00932D4C" w:rsidP="00932D4C">
      <w:pPr>
        <w:tabs>
          <w:tab w:val="left" w:pos="425"/>
        </w:tabs>
        <w:spacing w:before="120" w:after="120" w:line="240" w:lineRule="auto"/>
        <w:ind w:left="850"/>
        <w:rPr>
          <w:rFonts w:ascii="Arial" w:hAnsi="Arial" w:cs="Arial"/>
          <w:color w:val="000000"/>
        </w:rPr>
      </w:pPr>
      <w:r>
        <w:rPr>
          <w:rFonts w:ascii="Arial" w:hAnsi="Arial"/>
          <w:color w:val="000000"/>
        </w:rPr>
        <w:t>Articolul 61 are următoarea formulare:</w:t>
      </w:r>
      <w:r>
        <w:rPr>
          <w:rFonts w:ascii="Arial" w:hAnsi="Arial"/>
          <w:color w:val="000000"/>
        </w:rPr>
        <w:br/>
        <w:t>„Articolul 61 Supravegherea construcției instalațiilor de exploatare și a vehiculelor”.</w:t>
      </w:r>
    </w:p>
    <w:p w:rsidR="00932D4C" w:rsidRPr="00926906" w:rsidRDefault="00932D4C" w:rsidP="00644D74">
      <w:pPr>
        <w:keepNext/>
        <w:numPr>
          <w:ilvl w:val="0"/>
          <w:numId w:val="3"/>
        </w:numPr>
        <w:tabs>
          <w:tab w:val="left" w:pos="0"/>
        </w:tabs>
        <w:spacing w:before="120" w:after="120" w:line="240" w:lineRule="auto"/>
        <w:jc w:val="both"/>
        <w:rPr>
          <w:rFonts w:ascii="Arial" w:hAnsi="Arial" w:cs="Arial"/>
          <w:color w:val="000000"/>
        </w:rPr>
      </w:pPr>
      <w:r>
        <w:rPr>
          <w:rFonts w:ascii="Arial" w:hAnsi="Arial"/>
          <w:color w:val="000000"/>
        </w:rPr>
        <w:t>La articolul 2 alineatul (1) se introduce teza următoare:</w:t>
      </w:r>
    </w:p>
    <w:p w:rsidR="00932D4C" w:rsidRPr="00926906" w:rsidRDefault="00932D4C" w:rsidP="00932D4C">
      <w:pPr>
        <w:tabs>
          <w:tab w:val="left" w:pos="851"/>
        </w:tabs>
        <w:spacing w:before="120" w:after="120" w:line="240" w:lineRule="auto"/>
        <w:ind w:left="851"/>
        <w:jc w:val="both"/>
        <w:rPr>
          <w:rFonts w:ascii="Arial" w:hAnsi="Arial" w:cs="Arial"/>
          <w:color w:val="000000"/>
        </w:rPr>
      </w:pPr>
      <w:r>
        <w:rPr>
          <w:rFonts w:ascii="Arial" w:hAnsi="Arial"/>
          <w:color w:val="000000"/>
        </w:rPr>
        <w:t>„La articolul 1 alineatul (1), tezele de la a treia până la a cincea nu se modifică.”</w:t>
      </w:r>
    </w:p>
    <w:p w:rsidR="00932D4C" w:rsidRPr="00926906" w:rsidRDefault="00932D4C" w:rsidP="00932D4C">
      <w:pPr>
        <w:tabs>
          <w:tab w:val="left" w:pos="426"/>
        </w:tabs>
        <w:spacing w:before="120" w:after="120" w:line="240" w:lineRule="auto"/>
        <w:ind w:left="426" w:hanging="426"/>
        <w:jc w:val="both"/>
        <w:rPr>
          <w:rFonts w:ascii="Arial" w:hAnsi="Arial" w:cs="Arial"/>
          <w:color w:val="000000"/>
        </w:rPr>
      </w:pPr>
      <w:r>
        <w:rPr>
          <w:rFonts w:ascii="Arial" w:hAnsi="Arial"/>
          <w:color w:val="000000"/>
        </w:rPr>
        <w:t>2a.</w:t>
      </w:r>
      <w:r>
        <w:rPr>
          <w:rFonts w:ascii="Arial" w:hAnsi="Arial"/>
          <w:color w:val="000000"/>
        </w:rPr>
        <w:tab/>
        <w:t>La articolul 3 alineatul (1) a doua teză punctul 3, textul „sau o combinație din ambele” se introduce după cuvântul „persoane”.</w:t>
      </w:r>
    </w:p>
    <w:p w:rsidR="00932D4C" w:rsidRPr="00926906" w:rsidRDefault="00932D4C" w:rsidP="00644D74">
      <w:pPr>
        <w:keepNext/>
        <w:numPr>
          <w:ilvl w:val="0"/>
          <w:numId w:val="3"/>
        </w:numPr>
        <w:tabs>
          <w:tab w:val="left" w:pos="0"/>
        </w:tabs>
        <w:spacing w:before="120" w:after="120" w:line="240" w:lineRule="auto"/>
        <w:jc w:val="both"/>
        <w:rPr>
          <w:rFonts w:ascii="Arial" w:hAnsi="Arial" w:cs="Arial"/>
          <w:color w:val="000000"/>
        </w:rPr>
      </w:pPr>
      <w:r>
        <w:rPr>
          <w:rFonts w:ascii="Arial" w:hAnsi="Arial"/>
          <w:color w:val="000000"/>
        </w:rPr>
        <w:t>Articolul 4 are formularea următoare:</w:t>
      </w:r>
    </w:p>
    <w:p w:rsidR="00932D4C" w:rsidRPr="00926906" w:rsidRDefault="00932D4C" w:rsidP="00932D4C">
      <w:pPr>
        <w:tabs>
          <w:tab w:val="left" w:pos="425"/>
        </w:tabs>
        <w:spacing w:before="120" w:after="120" w:line="240" w:lineRule="auto"/>
        <w:ind w:left="850"/>
        <w:rPr>
          <w:rFonts w:ascii="Arial" w:hAnsi="Arial" w:cs="Arial"/>
          <w:color w:val="000000"/>
        </w:rPr>
      </w:pPr>
      <w:r>
        <w:rPr>
          <w:rFonts w:ascii="Arial" w:hAnsi="Arial"/>
          <w:color w:val="000000"/>
        </w:rPr>
        <w:t xml:space="preserve">(a) Alineatul (3) a doua teză se elimină. </w:t>
      </w:r>
    </w:p>
    <w:p w:rsidR="00932D4C" w:rsidRPr="00926906" w:rsidRDefault="00932D4C" w:rsidP="00932D4C">
      <w:pPr>
        <w:tabs>
          <w:tab w:val="left" w:pos="425"/>
        </w:tabs>
        <w:spacing w:before="120" w:after="120" w:line="240" w:lineRule="auto"/>
        <w:ind w:left="850"/>
        <w:rPr>
          <w:rFonts w:ascii="Arial" w:hAnsi="Arial" w:cs="Arial"/>
          <w:color w:val="000000"/>
        </w:rPr>
      </w:pPr>
      <w:r>
        <w:rPr>
          <w:rFonts w:ascii="Arial" w:hAnsi="Arial"/>
          <w:color w:val="000000"/>
        </w:rPr>
        <w:t>(b) La alineatul (4) textul „sau o combinație din ambele în funcție de condițiile locale” se introduce după cuvântul „persoane”.</w:t>
      </w:r>
    </w:p>
    <w:p w:rsidR="00932D4C" w:rsidRPr="00926906" w:rsidRDefault="00932D4C" w:rsidP="00932D4C">
      <w:pPr>
        <w:tabs>
          <w:tab w:val="left" w:pos="425"/>
        </w:tabs>
        <w:spacing w:before="120" w:after="120" w:line="240" w:lineRule="auto"/>
        <w:ind w:left="850"/>
        <w:rPr>
          <w:rFonts w:ascii="Arial" w:hAnsi="Arial" w:cs="Arial"/>
          <w:color w:val="000000"/>
        </w:rPr>
      </w:pPr>
      <w:r>
        <w:rPr>
          <w:rFonts w:ascii="Arial" w:hAnsi="Arial"/>
          <w:color w:val="000000"/>
        </w:rPr>
        <w:t xml:space="preserve">(c) Se introduce alineatul (5) următor: </w:t>
      </w:r>
      <w:r>
        <w:rPr>
          <w:rFonts w:ascii="Arial" w:hAnsi="Arial"/>
          <w:color w:val="000000"/>
        </w:rPr>
        <w:br/>
        <w:t>„(5) Operatorii economici țin evidența:</w:t>
      </w:r>
    </w:p>
    <w:p w:rsidR="00932D4C" w:rsidRPr="00926906" w:rsidRDefault="00932D4C" w:rsidP="00932D4C">
      <w:pPr>
        <w:tabs>
          <w:tab w:val="left" w:pos="425"/>
        </w:tabs>
        <w:spacing w:before="120" w:after="120" w:line="240" w:lineRule="auto"/>
        <w:ind w:left="850"/>
        <w:rPr>
          <w:rFonts w:ascii="Arial" w:hAnsi="Arial" w:cs="Arial"/>
          <w:color w:val="000000"/>
        </w:rPr>
      </w:pPr>
      <w:r>
        <w:rPr>
          <w:rFonts w:ascii="Arial" w:hAnsi="Arial"/>
          <w:color w:val="000000"/>
        </w:rPr>
        <w:t>1.</w:t>
      </w:r>
      <w:r>
        <w:rPr>
          <w:rFonts w:ascii="Arial" w:hAnsi="Arial"/>
          <w:color w:val="000000"/>
        </w:rPr>
        <w:tab/>
        <w:t xml:space="preserve">activităților operaționale menționate în partea a 6-a; </w:t>
      </w:r>
    </w:p>
    <w:p w:rsidR="00932D4C" w:rsidRPr="00926906" w:rsidRDefault="00932D4C" w:rsidP="00932D4C">
      <w:pPr>
        <w:tabs>
          <w:tab w:val="left" w:pos="425"/>
        </w:tabs>
        <w:spacing w:before="120" w:after="120" w:line="240" w:lineRule="auto"/>
        <w:ind w:left="850"/>
        <w:rPr>
          <w:rFonts w:ascii="Arial" w:hAnsi="Arial" w:cs="Arial"/>
          <w:color w:val="000000"/>
        </w:rPr>
      </w:pPr>
      <w:r>
        <w:rPr>
          <w:rFonts w:ascii="Arial" w:hAnsi="Arial"/>
          <w:color w:val="000000"/>
        </w:rPr>
        <w:t>2.</w:t>
      </w:r>
      <w:r>
        <w:rPr>
          <w:rFonts w:ascii="Arial" w:hAnsi="Arial"/>
          <w:color w:val="000000"/>
        </w:rPr>
        <w:tab/>
        <w:t xml:space="preserve">comunicărilor în ceea ce privește siguranța cu centrele de control, realizate cu ajutorul sistemelor de mesagerie prevăzute la articolul 23; și </w:t>
      </w:r>
    </w:p>
    <w:p w:rsidR="00932D4C" w:rsidRPr="00926906" w:rsidRDefault="00932D4C" w:rsidP="00932D4C">
      <w:pPr>
        <w:tabs>
          <w:tab w:val="left" w:pos="425"/>
        </w:tabs>
        <w:spacing w:before="120" w:after="120" w:line="240" w:lineRule="auto"/>
        <w:ind w:left="850"/>
        <w:rPr>
          <w:rFonts w:ascii="Arial" w:hAnsi="Arial" w:cs="Arial"/>
          <w:color w:val="000000"/>
        </w:rPr>
      </w:pPr>
      <w:r>
        <w:rPr>
          <w:rFonts w:ascii="Arial" w:hAnsi="Arial"/>
          <w:color w:val="000000"/>
        </w:rPr>
        <w:t>3.</w:t>
      </w:r>
      <w:r>
        <w:rPr>
          <w:rFonts w:ascii="Arial" w:hAnsi="Arial"/>
          <w:color w:val="000000"/>
        </w:rPr>
        <w:tab/>
        <w:t xml:space="preserve">datelor de deplasare a echipamentelor menționate la articolul 33 alineatul (13); </w:t>
      </w:r>
    </w:p>
    <w:p w:rsidR="00932D4C" w:rsidRPr="00926906" w:rsidRDefault="00932D4C" w:rsidP="00932D4C">
      <w:pPr>
        <w:tabs>
          <w:tab w:val="left" w:pos="425"/>
        </w:tabs>
        <w:spacing w:before="120" w:after="120" w:line="240" w:lineRule="auto"/>
        <w:ind w:left="850"/>
        <w:rPr>
          <w:rFonts w:ascii="Arial" w:hAnsi="Arial" w:cs="Arial"/>
          <w:color w:val="000000"/>
        </w:rPr>
      </w:pPr>
      <w:r>
        <w:rPr>
          <w:rFonts w:ascii="Arial" w:hAnsi="Arial"/>
          <w:color w:val="000000"/>
        </w:rPr>
        <w:t xml:space="preserve">și sunt autorizați să colecteze, să stocheze și să utilizeze datele menționate la punctele 1-3 în vederea asigurării desfășurării activității de exploatare în condiții de siguranță, să documenteze starea și lucrările de mentenanță a sistemelor și a vehiculelor și să stabilească cauzele situațiilor de pericol. În plus, operatorii economici sunt autorizați să trimită autorității de supraveghere tehnică toate informațiile care au legătură cu datele menționate în prima teză, pe care autoritatea </w:t>
      </w:r>
      <w:r>
        <w:rPr>
          <w:rFonts w:ascii="Arial" w:hAnsi="Arial"/>
          <w:color w:val="000000"/>
        </w:rPr>
        <w:lastRenderedPageBreak/>
        <w:t>le solicită în vederea îndeplinirii atribuțiilor sale. În cazul datelor cu caracter personal transmise, acestea trebuie să fie eliminate în termen de 96 de ore, cu excepția cazului în care datele respective sunt încă necesare pentru îndeplinirea obligațiilor de stocare, menționate în prima teză.”</w:t>
      </w:r>
    </w:p>
    <w:p w:rsidR="00932D4C" w:rsidRPr="00926906" w:rsidRDefault="00932D4C" w:rsidP="00644D74">
      <w:pPr>
        <w:keepNext/>
        <w:numPr>
          <w:ilvl w:val="0"/>
          <w:numId w:val="3"/>
        </w:numPr>
        <w:tabs>
          <w:tab w:val="left" w:pos="0"/>
        </w:tabs>
        <w:spacing w:before="120" w:after="120" w:line="240" w:lineRule="auto"/>
        <w:jc w:val="both"/>
        <w:rPr>
          <w:rFonts w:ascii="Arial" w:hAnsi="Arial" w:cs="Arial"/>
          <w:color w:val="000000"/>
        </w:rPr>
      </w:pPr>
      <w:r>
        <w:rPr>
          <w:rFonts w:ascii="Arial" w:hAnsi="Arial"/>
          <w:color w:val="000000"/>
        </w:rPr>
        <w:t>Articolul 5 alineatul (2), se modifică după cum urmează:</w:t>
      </w:r>
    </w:p>
    <w:p w:rsidR="00932D4C" w:rsidRPr="00926906" w:rsidRDefault="00932D4C" w:rsidP="00932D4C">
      <w:pPr>
        <w:tabs>
          <w:tab w:val="left" w:pos="425"/>
        </w:tabs>
        <w:spacing w:before="120" w:after="120" w:line="240" w:lineRule="auto"/>
        <w:ind w:left="425"/>
        <w:jc w:val="both"/>
        <w:rPr>
          <w:rFonts w:ascii="Arial" w:hAnsi="Arial" w:cs="Arial"/>
          <w:color w:val="000000"/>
        </w:rPr>
      </w:pPr>
      <w:r>
        <w:rPr>
          <w:rFonts w:ascii="Arial" w:hAnsi="Arial"/>
          <w:color w:val="000000"/>
        </w:rPr>
        <w:t>(a)</w:t>
      </w:r>
      <w:r>
        <w:rPr>
          <w:rFonts w:ascii="Arial" w:hAnsi="Arial"/>
          <w:color w:val="000000"/>
        </w:rPr>
        <w:tab/>
        <w:t>în prima teză, cuvântul „alte” se elimină înaintea cuvintelor „persoane competente”.</w:t>
      </w:r>
    </w:p>
    <w:p w:rsidR="00932D4C" w:rsidRPr="00926906" w:rsidRDefault="00932D4C" w:rsidP="00932D4C">
      <w:pPr>
        <w:tabs>
          <w:tab w:val="left" w:pos="425"/>
        </w:tabs>
        <w:spacing w:before="120" w:after="120" w:line="240" w:lineRule="auto"/>
        <w:ind w:left="425"/>
        <w:jc w:val="both"/>
        <w:rPr>
          <w:rFonts w:ascii="Arial" w:hAnsi="Arial" w:cs="Arial"/>
          <w:color w:val="000000"/>
        </w:rPr>
      </w:pPr>
      <w:r>
        <w:rPr>
          <w:rFonts w:ascii="Arial" w:hAnsi="Arial"/>
          <w:color w:val="000000"/>
        </w:rPr>
        <w:t>(b)</w:t>
      </w:r>
      <w:r>
        <w:rPr>
          <w:rFonts w:ascii="Arial" w:hAnsi="Arial"/>
          <w:color w:val="000000"/>
        </w:rPr>
        <w:tab/>
        <w:t>în a doua teză, cuvântul „de asemenea” se elimină înaintea cuvintelor „director de lucrări”.</w:t>
      </w:r>
    </w:p>
    <w:p w:rsidR="00932D4C" w:rsidRPr="00926906" w:rsidRDefault="00932D4C" w:rsidP="00932D4C">
      <w:pPr>
        <w:numPr>
          <w:ilvl w:val="0"/>
          <w:numId w:val="3"/>
        </w:numPr>
        <w:tabs>
          <w:tab w:val="left" w:pos="0"/>
        </w:tabs>
        <w:spacing w:before="120" w:after="120" w:line="240" w:lineRule="auto"/>
        <w:jc w:val="both"/>
        <w:rPr>
          <w:rFonts w:ascii="Arial" w:hAnsi="Arial" w:cs="Arial"/>
          <w:color w:val="000000"/>
        </w:rPr>
      </w:pPr>
      <w:r>
        <w:rPr>
          <w:rFonts w:ascii="Arial" w:hAnsi="Arial"/>
          <w:color w:val="000000"/>
        </w:rPr>
        <w:t xml:space="preserve">La articolul 16 alineatul (5) se introduce teza următoare: </w:t>
      </w:r>
      <w:bookmarkStart w:id="0" w:name="_GoBack"/>
      <w:bookmarkEnd w:id="0"/>
      <w:r>
        <w:rPr>
          <w:rFonts w:ascii="Arial" w:hAnsi="Arial"/>
          <w:color w:val="000000"/>
        </w:rPr>
        <w:t>„În caz contrar, responsabilitatea autorității de construcție a drumurilor nu este afectată.”</w:t>
      </w:r>
    </w:p>
    <w:p w:rsidR="00932D4C" w:rsidRPr="00926906" w:rsidRDefault="00932D4C" w:rsidP="00932D4C">
      <w:pPr>
        <w:numPr>
          <w:ilvl w:val="0"/>
          <w:numId w:val="3"/>
        </w:numPr>
        <w:tabs>
          <w:tab w:val="left" w:pos="0"/>
        </w:tabs>
        <w:spacing w:before="120" w:after="120" w:line="240" w:lineRule="auto"/>
        <w:jc w:val="both"/>
        <w:rPr>
          <w:rFonts w:ascii="Arial" w:hAnsi="Arial" w:cs="Arial"/>
          <w:color w:val="000000"/>
        </w:rPr>
      </w:pPr>
      <w:r>
        <w:rPr>
          <w:rFonts w:ascii="Arial" w:hAnsi="Arial"/>
          <w:color w:val="000000"/>
        </w:rPr>
        <w:t>La articolul 30 alineatul (5), după prima teză se introduce următoarea teză:</w:t>
      </w:r>
    </w:p>
    <w:p w:rsidR="00932D4C" w:rsidRPr="00926906" w:rsidRDefault="00932D4C" w:rsidP="00932D4C">
      <w:pPr>
        <w:tabs>
          <w:tab w:val="left" w:pos="425"/>
        </w:tabs>
        <w:spacing w:before="120" w:after="120" w:line="240" w:lineRule="auto"/>
        <w:ind w:left="425"/>
        <w:jc w:val="both"/>
        <w:rPr>
          <w:rFonts w:ascii="Arial" w:hAnsi="Arial" w:cs="Arial"/>
          <w:color w:val="000000"/>
        </w:rPr>
      </w:pPr>
      <w:r>
        <w:rPr>
          <w:rFonts w:ascii="Arial" w:hAnsi="Arial"/>
          <w:color w:val="000000"/>
        </w:rPr>
        <w:t>„Calea de evacuare este folosită pentru salvarea persoanelor în cazul în care nu este posibilă oprirea vehiculelor în zona de oprire în cazul unor situații de urgență.”</w:t>
      </w:r>
    </w:p>
    <w:p w:rsidR="00932D4C" w:rsidRPr="00926906" w:rsidRDefault="00932D4C" w:rsidP="00932D4C">
      <w:pPr>
        <w:numPr>
          <w:ilvl w:val="0"/>
          <w:numId w:val="3"/>
        </w:numPr>
        <w:tabs>
          <w:tab w:val="left" w:pos="0"/>
        </w:tabs>
        <w:spacing w:before="120" w:after="120" w:line="240" w:lineRule="auto"/>
        <w:jc w:val="both"/>
        <w:rPr>
          <w:rFonts w:ascii="Arial" w:hAnsi="Arial" w:cs="Arial"/>
          <w:color w:val="000000"/>
        </w:rPr>
      </w:pPr>
      <w:r>
        <w:rPr>
          <w:rFonts w:ascii="Arial" w:hAnsi="Arial"/>
          <w:color w:val="000000"/>
        </w:rPr>
        <w:t xml:space="preserve"> Articolul 31 alineatul (7) are următoarea formulare: </w:t>
      </w:r>
    </w:p>
    <w:p w:rsidR="00932D4C" w:rsidRPr="00926906" w:rsidRDefault="00932D4C" w:rsidP="00932D4C">
      <w:pPr>
        <w:numPr>
          <w:ilvl w:val="2"/>
          <w:numId w:val="0"/>
        </w:numPr>
        <w:tabs>
          <w:tab w:val="left" w:pos="851"/>
        </w:tabs>
        <w:spacing w:before="120" w:after="120" w:line="240" w:lineRule="auto"/>
        <w:ind w:left="425"/>
        <w:jc w:val="both"/>
        <w:rPr>
          <w:rFonts w:ascii="Arial" w:hAnsi="Arial" w:cs="Arial"/>
          <w:color w:val="000000"/>
        </w:rPr>
      </w:pPr>
      <w:r>
        <w:rPr>
          <w:rFonts w:ascii="Arial" w:hAnsi="Arial"/>
          <w:color w:val="000000"/>
        </w:rPr>
        <w:t>„(7)</w:t>
      </w:r>
      <w:r>
        <w:rPr>
          <w:rFonts w:ascii="Arial" w:hAnsi="Arial"/>
          <w:color w:val="000000"/>
        </w:rPr>
        <w:tab/>
        <w:t xml:space="preserve">Înălțimile suprafețelor platformei, a podelelor vehiculului și a treptelor vehiculului trebuie să fie adaptate unele în funcție de celelalte pentru a permite pasagerilor să urce și să coboare cu ușurință. Diferența de înălțime dintre platformă și podeaua vehiculului trebuie să fie redusă la minimum, ținând seama de parametrii de sarcină și de uzură ai vehiculelor utilizate. Suprafața platformei nu trebuie să fie mai înaltă decât podeaua vehiculului și trebuie să fie acoperită cu un strat </w:t>
      </w:r>
      <w:proofErr w:type="spellStart"/>
      <w:r>
        <w:rPr>
          <w:rFonts w:ascii="Arial" w:hAnsi="Arial"/>
          <w:color w:val="000000"/>
        </w:rPr>
        <w:t>antiaderent</w:t>
      </w:r>
      <w:proofErr w:type="spellEnd"/>
      <w:r>
        <w:rPr>
          <w:rFonts w:ascii="Arial" w:hAnsi="Arial"/>
          <w:color w:val="000000"/>
        </w:rPr>
        <w:t>.”</w:t>
      </w:r>
    </w:p>
    <w:p w:rsidR="00932D4C" w:rsidRPr="00926906" w:rsidRDefault="00932D4C" w:rsidP="00932D4C">
      <w:pPr>
        <w:numPr>
          <w:ilvl w:val="0"/>
          <w:numId w:val="3"/>
        </w:numPr>
        <w:tabs>
          <w:tab w:val="left" w:pos="0"/>
        </w:tabs>
        <w:spacing w:before="120" w:after="120" w:line="240" w:lineRule="auto"/>
        <w:jc w:val="both"/>
        <w:rPr>
          <w:rFonts w:ascii="Arial" w:hAnsi="Arial" w:cs="Arial"/>
          <w:color w:val="000000"/>
        </w:rPr>
      </w:pPr>
      <w:r>
        <w:rPr>
          <w:rFonts w:ascii="Arial" w:hAnsi="Arial"/>
          <w:color w:val="000000"/>
        </w:rPr>
        <w:t>La articolul 46 alineatul (3) punctul 2, textul „cel puțin în jurul fiecărei uși” se introduce după textul „solicitare de oprire”.</w:t>
      </w:r>
    </w:p>
    <w:p w:rsidR="00932D4C" w:rsidRPr="00926906" w:rsidRDefault="00932D4C" w:rsidP="00932D4C">
      <w:pPr>
        <w:numPr>
          <w:ilvl w:val="0"/>
          <w:numId w:val="3"/>
        </w:numPr>
        <w:tabs>
          <w:tab w:val="left" w:pos="0"/>
        </w:tabs>
        <w:spacing w:before="120" w:after="120" w:line="240" w:lineRule="auto"/>
        <w:jc w:val="both"/>
        <w:rPr>
          <w:rFonts w:ascii="Arial" w:hAnsi="Arial" w:cs="Arial"/>
          <w:color w:val="000000"/>
        </w:rPr>
      </w:pPr>
      <w:r>
        <w:rPr>
          <w:rFonts w:ascii="Arial" w:hAnsi="Arial"/>
          <w:color w:val="000000"/>
        </w:rPr>
        <w:t>La articolul 51 alineatul (1), a doua teză are formularea următoare:</w:t>
      </w:r>
    </w:p>
    <w:p w:rsidR="00932D4C" w:rsidRPr="00926906" w:rsidRDefault="00932D4C" w:rsidP="00932D4C">
      <w:pPr>
        <w:tabs>
          <w:tab w:val="left" w:pos="0"/>
        </w:tabs>
        <w:spacing w:before="120" w:after="120" w:line="240" w:lineRule="auto"/>
        <w:ind w:left="425"/>
        <w:jc w:val="both"/>
        <w:rPr>
          <w:rFonts w:ascii="Arial" w:hAnsi="Arial" w:cs="Arial"/>
          <w:color w:val="000000"/>
        </w:rPr>
      </w:pPr>
      <w:r>
        <w:rPr>
          <w:rFonts w:ascii="Arial" w:hAnsi="Arial"/>
          <w:color w:val="000000"/>
        </w:rPr>
        <w:t>„Afișajul semnalizatoarelor pentru macazuri nu este necesar în cazul în care acestea sunt integrate în instalațiile de siguranță ale tramvaiului sau în cazul în care un semnalizator de tramvai este acționat în funcție de poziția macazului și este marcat în mod corespunzător.”</w:t>
      </w:r>
    </w:p>
    <w:p w:rsidR="00932D4C" w:rsidRPr="00926906" w:rsidRDefault="00932D4C" w:rsidP="00932D4C">
      <w:pPr>
        <w:numPr>
          <w:ilvl w:val="0"/>
          <w:numId w:val="3"/>
        </w:numPr>
        <w:tabs>
          <w:tab w:val="left" w:pos="0"/>
        </w:tabs>
        <w:spacing w:before="120" w:after="120" w:line="240" w:lineRule="auto"/>
        <w:jc w:val="both"/>
        <w:rPr>
          <w:rFonts w:ascii="Arial" w:hAnsi="Arial" w:cs="Arial"/>
          <w:color w:val="000000"/>
        </w:rPr>
      </w:pPr>
      <w:r>
        <w:rPr>
          <w:rFonts w:ascii="Arial" w:hAnsi="Arial"/>
          <w:color w:val="000000"/>
        </w:rPr>
        <w:t>Articolul 53 alineatul 2 punctul 3 are următoarea formulare:</w:t>
      </w:r>
    </w:p>
    <w:p w:rsidR="00932D4C" w:rsidRPr="00926906" w:rsidRDefault="00932D4C" w:rsidP="00932D4C">
      <w:pPr>
        <w:tabs>
          <w:tab w:val="left" w:pos="0"/>
        </w:tabs>
        <w:spacing w:before="120" w:after="120" w:line="240" w:lineRule="auto"/>
        <w:ind w:left="425"/>
        <w:jc w:val="both"/>
        <w:rPr>
          <w:rFonts w:ascii="Arial" w:hAnsi="Arial" w:cs="Arial"/>
          <w:color w:val="000000"/>
        </w:rPr>
      </w:pPr>
      <w:r>
        <w:rPr>
          <w:rFonts w:ascii="Arial" w:hAnsi="Arial"/>
          <w:color w:val="000000"/>
        </w:rPr>
        <w:t>„3. deraierile se detectează imediat în sistem și comenzile trenului sunt adaptate în mod corespunzător,”.</w:t>
      </w:r>
    </w:p>
    <w:p w:rsidR="00932D4C" w:rsidRPr="00926906" w:rsidRDefault="00932D4C" w:rsidP="00932D4C">
      <w:pPr>
        <w:numPr>
          <w:ilvl w:val="0"/>
          <w:numId w:val="3"/>
        </w:numPr>
        <w:tabs>
          <w:tab w:val="left" w:pos="0"/>
        </w:tabs>
        <w:spacing w:before="120" w:after="120" w:line="240" w:lineRule="auto"/>
        <w:jc w:val="both"/>
        <w:rPr>
          <w:rFonts w:ascii="Arial" w:hAnsi="Arial" w:cs="Arial"/>
          <w:color w:val="000000"/>
        </w:rPr>
      </w:pPr>
      <w:r>
        <w:rPr>
          <w:rFonts w:ascii="Arial" w:hAnsi="Arial"/>
          <w:color w:val="000000"/>
        </w:rPr>
        <w:t>La articolul 55 alineatul (2), textul „și trebuie să fie suficient de vizibile pentru ceilalți utilizatori ai drumului” se introduce după „să fie”.</w:t>
      </w:r>
    </w:p>
    <w:p w:rsidR="00932D4C" w:rsidRPr="00926906" w:rsidRDefault="00932D4C" w:rsidP="00932D4C">
      <w:pPr>
        <w:numPr>
          <w:ilvl w:val="0"/>
          <w:numId w:val="3"/>
        </w:numPr>
        <w:tabs>
          <w:tab w:val="left" w:pos="0"/>
        </w:tabs>
        <w:spacing w:before="120" w:after="120" w:line="240" w:lineRule="auto"/>
        <w:jc w:val="both"/>
        <w:rPr>
          <w:rFonts w:ascii="Arial" w:hAnsi="Arial" w:cs="Arial"/>
          <w:color w:val="000000"/>
        </w:rPr>
      </w:pPr>
      <w:r>
        <w:rPr>
          <w:rFonts w:ascii="Arial" w:hAnsi="Arial"/>
          <w:color w:val="000000"/>
        </w:rPr>
        <w:t xml:space="preserve">La articolul 57 alineatul (3), punctul 2 are următoarea formulare: </w:t>
      </w:r>
    </w:p>
    <w:p w:rsidR="00932D4C" w:rsidRPr="00926906" w:rsidRDefault="00932D4C" w:rsidP="00932D4C">
      <w:pPr>
        <w:numPr>
          <w:ilvl w:val="2"/>
          <w:numId w:val="0"/>
        </w:numPr>
        <w:spacing w:before="120" w:after="120" w:line="240" w:lineRule="auto"/>
        <w:ind w:left="425"/>
        <w:jc w:val="both"/>
        <w:rPr>
          <w:rFonts w:ascii="Arial" w:hAnsi="Arial" w:cs="Arial"/>
          <w:color w:val="000000"/>
        </w:rPr>
      </w:pPr>
      <w:r>
        <w:rPr>
          <w:rFonts w:ascii="Arial" w:hAnsi="Arial"/>
          <w:color w:val="000000"/>
        </w:rPr>
        <w:t>„2. Sisteme de alimentare cu energie electrică</w:t>
      </w:r>
      <w:r>
        <w:rPr>
          <w:rFonts w:ascii="Arial" w:hAnsi="Arial"/>
          <w:color w:val="000000"/>
        </w:rPr>
        <w:tab/>
        <w:t>4 ani,”.</w:t>
      </w:r>
    </w:p>
    <w:p w:rsidR="00932D4C" w:rsidRPr="00926906" w:rsidRDefault="00932D4C" w:rsidP="00644D74">
      <w:pPr>
        <w:keepNext/>
        <w:numPr>
          <w:ilvl w:val="0"/>
          <w:numId w:val="3"/>
        </w:numPr>
        <w:tabs>
          <w:tab w:val="left" w:pos="0"/>
        </w:tabs>
        <w:spacing w:before="120" w:after="120" w:line="240" w:lineRule="auto"/>
        <w:jc w:val="both"/>
        <w:rPr>
          <w:rFonts w:ascii="Arial" w:hAnsi="Arial" w:cs="Arial"/>
          <w:color w:val="000000"/>
        </w:rPr>
      </w:pPr>
      <w:r>
        <w:rPr>
          <w:rFonts w:ascii="Arial" w:hAnsi="Arial"/>
          <w:color w:val="000000"/>
        </w:rPr>
        <w:t>Articolul 61 are formularea următoare:</w:t>
      </w:r>
    </w:p>
    <w:p w:rsidR="00932D4C" w:rsidRPr="00926906" w:rsidRDefault="00932D4C" w:rsidP="00932D4C">
      <w:pPr>
        <w:tabs>
          <w:tab w:val="left" w:pos="425"/>
        </w:tabs>
        <w:spacing w:before="120" w:after="120" w:line="240" w:lineRule="auto"/>
        <w:ind w:left="850"/>
        <w:jc w:val="both"/>
        <w:rPr>
          <w:rFonts w:ascii="Arial" w:hAnsi="Arial" w:cs="Arial"/>
          <w:color w:val="000000"/>
        </w:rPr>
      </w:pPr>
      <w:r>
        <w:rPr>
          <w:rFonts w:ascii="Arial" w:hAnsi="Arial"/>
          <w:color w:val="000000"/>
        </w:rPr>
        <w:t>(a) În titlu se adaugă cuvintele „și vehicule”.</w:t>
      </w:r>
    </w:p>
    <w:p w:rsidR="00932D4C" w:rsidRPr="00926906" w:rsidRDefault="00932D4C" w:rsidP="00932D4C">
      <w:pPr>
        <w:tabs>
          <w:tab w:val="left" w:pos="425"/>
        </w:tabs>
        <w:spacing w:before="120" w:after="120" w:line="240" w:lineRule="auto"/>
        <w:ind w:left="850"/>
        <w:jc w:val="both"/>
        <w:rPr>
          <w:rFonts w:ascii="Arial" w:hAnsi="Arial" w:cs="Arial"/>
          <w:color w:val="000000"/>
        </w:rPr>
      </w:pPr>
      <w:r>
        <w:rPr>
          <w:rFonts w:ascii="Arial" w:hAnsi="Arial"/>
          <w:color w:val="000000"/>
        </w:rPr>
        <w:t xml:space="preserve">(b) la alineatul (1) a doua teză, după cuvintele „inspecții la fața locului”, se adaugă în paranteze textul „efectuate asupra primului vehicul dintr-o serie de vehicule”. </w:t>
      </w:r>
    </w:p>
    <w:p w:rsidR="00932D4C" w:rsidRPr="00926906" w:rsidRDefault="00932D4C" w:rsidP="00932D4C">
      <w:pPr>
        <w:numPr>
          <w:ilvl w:val="0"/>
          <w:numId w:val="3"/>
        </w:numPr>
        <w:tabs>
          <w:tab w:val="left" w:pos="0"/>
        </w:tabs>
        <w:spacing w:before="120" w:after="120" w:line="240" w:lineRule="auto"/>
        <w:jc w:val="both"/>
        <w:rPr>
          <w:rFonts w:ascii="Arial" w:hAnsi="Arial" w:cs="Arial"/>
          <w:color w:val="000000"/>
        </w:rPr>
      </w:pPr>
      <w:r>
        <w:rPr>
          <w:rFonts w:ascii="Arial" w:hAnsi="Arial"/>
          <w:color w:val="000000"/>
        </w:rPr>
        <w:t xml:space="preserve">La articolul 62 alineatul (7), textul „instalația de exploatare sau primul vehicul dintr-un lot poate” se înlocuiește cu textul „instalațiile de exploatare sau vehiculele pot”. </w:t>
      </w:r>
    </w:p>
    <w:p w:rsidR="00932D4C" w:rsidRPr="00926906" w:rsidRDefault="00932D4C" w:rsidP="00644D74">
      <w:pPr>
        <w:keepNext/>
        <w:numPr>
          <w:ilvl w:val="0"/>
          <w:numId w:val="3"/>
        </w:numPr>
        <w:tabs>
          <w:tab w:val="left" w:pos="0"/>
        </w:tabs>
        <w:spacing w:before="120" w:after="120" w:line="240" w:lineRule="auto"/>
        <w:jc w:val="both"/>
        <w:rPr>
          <w:rFonts w:ascii="Arial" w:hAnsi="Arial" w:cs="Arial"/>
          <w:color w:val="000000"/>
        </w:rPr>
      </w:pPr>
      <w:r>
        <w:rPr>
          <w:rFonts w:ascii="Arial" w:hAnsi="Arial"/>
          <w:color w:val="000000"/>
        </w:rPr>
        <w:t xml:space="preserve">Articolul 64 are formularea următoare: </w:t>
      </w:r>
    </w:p>
    <w:p w:rsidR="00932D4C" w:rsidRPr="00926906" w:rsidRDefault="00932D4C" w:rsidP="00932D4C">
      <w:pPr>
        <w:tabs>
          <w:tab w:val="left" w:pos="425"/>
        </w:tabs>
        <w:spacing w:before="120" w:after="120" w:line="240" w:lineRule="auto"/>
        <w:ind w:left="850"/>
        <w:jc w:val="both"/>
        <w:rPr>
          <w:rFonts w:ascii="Arial" w:hAnsi="Arial" w:cs="Arial"/>
          <w:color w:val="000000"/>
        </w:rPr>
      </w:pPr>
      <w:r>
        <w:rPr>
          <w:rFonts w:ascii="Arial" w:hAnsi="Arial"/>
          <w:color w:val="000000"/>
        </w:rPr>
        <w:t>(a) La prima teză, după textul „aflate în construcție” se adaugă textul „la data respectivă”.</w:t>
      </w:r>
    </w:p>
    <w:p w:rsidR="00932D4C" w:rsidRPr="00926906" w:rsidRDefault="00932D4C" w:rsidP="00932D4C">
      <w:pPr>
        <w:tabs>
          <w:tab w:val="left" w:pos="425"/>
        </w:tabs>
        <w:spacing w:before="120" w:after="120" w:line="240" w:lineRule="auto"/>
        <w:ind w:left="850"/>
        <w:rPr>
          <w:rFonts w:ascii="Arial" w:hAnsi="Arial" w:cs="Arial"/>
          <w:color w:val="000000"/>
        </w:rPr>
      </w:pPr>
      <w:r>
        <w:rPr>
          <w:rFonts w:ascii="Arial" w:hAnsi="Arial"/>
          <w:color w:val="000000"/>
        </w:rPr>
        <w:t>(b) După teza 1, se introduce teza următoare:</w:t>
      </w:r>
      <w:r>
        <w:rPr>
          <w:rFonts w:ascii="Arial" w:hAnsi="Arial"/>
          <w:color w:val="000000"/>
        </w:rPr>
        <w:br/>
        <w:t xml:space="preserve">„În cazul în care prezentul ordin prevede cerințe privind construirea unor instalații de </w:t>
      </w:r>
      <w:r>
        <w:rPr>
          <w:rFonts w:ascii="Arial" w:hAnsi="Arial"/>
          <w:color w:val="000000"/>
        </w:rPr>
        <w:lastRenderedPageBreak/>
        <w:t xml:space="preserve">exploatare sau a unor vehicule, altele decât cele prevăzute de legislația în vigoare până la [a se introduce: data de promulgare a prezentului ordin de modificare], nu este necesar ca instalațiile de exploatare sau vehiculele existente sau cele aflate în construcție la data respectivă să fie adaptate la cerințele prezentului ordin.” </w:t>
      </w:r>
    </w:p>
    <w:p w:rsidR="00932D4C" w:rsidRPr="00926906" w:rsidRDefault="00932D4C" w:rsidP="00932D4C">
      <w:pPr>
        <w:tabs>
          <w:tab w:val="left" w:pos="0"/>
        </w:tabs>
        <w:spacing w:before="120" w:after="120" w:line="240" w:lineRule="auto"/>
        <w:ind w:left="425"/>
        <w:jc w:val="both"/>
        <w:rPr>
          <w:rFonts w:ascii="Arial" w:hAnsi="Arial" w:cs="Arial"/>
          <w:color w:val="000000"/>
          <w:lang w:eastAsia="de-DE"/>
        </w:rPr>
      </w:pPr>
    </w:p>
    <w:p w:rsidR="00932D4C" w:rsidRPr="00926906" w:rsidRDefault="00D23A18" w:rsidP="00D23A18">
      <w:pPr>
        <w:keepNext/>
        <w:spacing w:before="480" w:after="240" w:line="240" w:lineRule="auto"/>
        <w:jc w:val="center"/>
        <w:rPr>
          <w:rFonts w:ascii="Arial" w:hAnsi="Arial" w:cs="Arial"/>
          <w:b/>
          <w:color w:val="000000"/>
          <w:sz w:val="28"/>
        </w:rPr>
      </w:pPr>
      <w:r>
        <w:rPr>
          <w:rFonts w:ascii="Arial" w:hAnsi="Arial"/>
          <w:b/>
          <w:color w:val="000000"/>
          <w:sz w:val="28"/>
        </w:rPr>
        <w:t>Articolul 2</w:t>
      </w:r>
    </w:p>
    <w:p w:rsidR="00932D4C" w:rsidRPr="00926906" w:rsidRDefault="00932D4C" w:rsidP="00932D4C">
      <w:pPr>
        <w:spacing w:before="120" w:after="120" w:line="240" w:lineRule="auto"/>
        <w:ind w:firstLine="425"/>
        <w:jc w:val="both"/>
        <w:rPr>
          <w:rFonts w:ascii="Arial" w:hAnsi="Arial" w:cs="Arial"/>
          <w:color w:val="000000"/>
        </w:rPr>
      </w:pPr>
      <w:r>
        <w:rPr>
          <w:rFonts w:ascii="Arial" w:hAnsi="Arial"/>
          <w:color w:val="000000"/>
        </w:rPr>
        <w:t>Prezentul regulament intră în vigoare în ziua următoare promulgării sale.</w:t>
      </w:r>
    </w:p>
    <w:p w:rsidR="00932D4C" w:rsidRPr="00926906" w:rsidRDefault="00932D4C" w:rsidP="00932D4C">
      <w:pPr>
        <w:spacing w:before="240" w:after="120" w:line="240" w:lineRule="auto"/>
        <w:rPr>
          <w:rFonts w:ascii="Arial" w:hAnsi="Arial" w:cs="Arial"/>
          <w:color w:val="000000"/>
        </w:rPr>
      </w:pPr>
      <w:proofErr w:type="spellStart"/>
      <w:r>
        <w:rPr>
          <w:rFonts w:ascii="Arial" w:hAnsi="Arial"/>
          <w:color w:val="000000"/>
        </w:rPr>
        <w:t>Bundesratul</w:t>
      </w:r>
      <w:proofErr w:type="spellEnd"/>
      <w:r>
        <w:rPr>
          <w:rFonts w:ascii="Arial" w:hAnsi="Arial"/>
          <w:color w:val="000000"/>
        </w:rPr>
        <w:t xml:space="preserve"> Germaniei a aprobat.</w:t>
      </w:r>
    </w:p>
    <w:sectPr w:rsidR="00932D4C" w:rsidRPr="00926906">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B22FE" w:rsidRDefault="009B22FE" w:rsidP="00932D4C">
      <w:pPr>
        <w:spacing w:after="0" w:line="240" w:lineRule="auto"/>
      </w:pPr>
      <w:r>
        <w:separator/>
      </w:r>
    </w:p>
  </w:endnote>
  <w:endnote w:type="continuationSeparator" w:id="0">
    <w:p w:rsidR="009B22FE" w:rsidRDefault="009B22FE" w:rsidP="00932D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B22FE" w:rsidRDefault="009B22FE" w:rsidP="00932D4C">
      <w:pPr>
        <w:spacing w:after="0" w:line="240" w:lineRule="auto"/>
      </w:pPr>
      <w:r>
        <w:separator/>
      </w:r>
    </w:p>
  </w:footnote>
  <w:footnote w:type="continuationSeparator" w:id="0">
    <w:p w:rsidR="009B22FE" w:rsidRDefault="009B22FE" w:rsidP="00932D4C">
      <w:pPr>
        <w:spacing w:after="0" w:line="240" w:lineRule="auto"/>
      </w:pPr>
      <w:r>
        <w:continuationSeparator/>
      </w:r>
    </w:p>
  </w:footnote>
  <w:footnote w:id="1">
    <w:p w:rsidR="00932D4C" w:rsidRDefault="00932D4C" w:rsidP="00932D4C">
      <w:pPr>
        <w:pStyle w:val="FootnoteText"/>
      </w:pPr>
      <w:r>
        <w:rPr>
          <w:rStyle w:val="FootnoteReference"/>
        </w:rPr>
        <w:footnoteRef/>
      </w:r>
      <w:r>
        <w:t xml:space="preserve"> Notificat în conformitate cu Directiva (UE) 2015/1535 a Parlamentului European și a Consiliului din 9 septembrie 2015 referitoare la procedura de furnizare de informații în domeniul reglementărilor tehnice și al normelor privind serviciile societății informaționale (JO L 241 din 17.9.2015, p. 1).</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3E85297"/>
    <w:multiLevelType w:val="multilevel"/>
    <w:tmpl w:val="E946E098"/>
    <w:name w:val="Artikel"/>
    <w:lvl w:ilvl="0">
      <w:start w:val="1"/>
      <w:numFmt w:val="decimal"/>
      <w:lvlRestart w:val="0"/>
      <w:pStyle w:val="ArtikelBezeichner"/>
      <w:suff w:val="nothing"/>
      <w:lvlText w:val="Artikel %1"/>
      <w:lvlJc w:val="left"/>
      <w:pPr>
        <w:ind w:left="720" w:hanging="720"/>
      </w:pPr>
    </w:lvl>
    <w:lvl w:ilvl="1">
      <w:start w:val="1"/>
      <w:numFmt w:val="decimal"/>
      <w:pStyle w:val="ParagraphBezeichner"/>
      <w:suff w:val="nothing"/>
      <w:lvlText w:val="§ %2"/>
      <w:lvlJc w:val="left"/>
      <w:pPr>
        <w:tabs>
          <w:tab w:val="num" w:pos="0"/>
        </w:tabs>
        <w:ind w:left="0" w:firstLine="0"/>
      </w:pPr>
    </w:lvl>
    <w:lvl w:ilvl="2">
      <w:start w:val="1"/>
      <w:numFmt w:val="decimal"/>
      <w:pStyle w:val="JuristischerAbsatznummeriert"/>
      <w:lvlText w:val="(%3)"/>
      <w:lvlJc w:val="left"/>
      <w:pPr>
        <w:tabs>
          <w:tab w:val="num" w:pos="850"/>
        </w:tabs>
        <w:ind w:left="0" w:firstLine="425"/>
      </w:pPr>
    </w:lvl>
    <w:lvl w:ilvl="3">
      <w:start w:val="1"/>
      <w:numFmt w:val="decimal"/>
      <w:pStyle w:val="NummerierungStufe1"/>
      <w:lvlText w:val="%4."/>
      <w:lvlJc w:val="left"/>
      <w:pPr>
        <w:tabs>
          <w:tab w:val="num" w:pos="425"/>
        </w:tabs>
        <w:ind w:left="425" w:hanging="425"/>
      </w:pPr>
    </w:lvl>
    <w:lvl w:ilvl="4">
      <w:start w:val="1"/>
      <w:numFmt w:val="lowerLetter"/>
      <w:pStyle w:val="NummerierungStufe2"/>
      <w:lvlText w:val="%5)"/>
      <w:lvlJc w:val="left"/>
      <w:pPr>
        <w:tabs>
          <w:tab w:val="num" w:pos="850"/>
        </w:tabs>
        <w:ind w:left="850" w:hanging="425"/>
      </w:pPr>
    </w:lvl>
    <w:lvl w:ilvl="5">
      <w:start w:val="1"/>
      <w:numFmt w:val="lowerLetter"/>
      <w:pStyle w:val="NummerierungStufe3"/>
      <w:lvlText w:val="%6%6)"/>
      <w:lvlJc w:val="left"/>
      <w:pPr>
        <w:tabs>
          <w:tab w:val="num" w:pos="1276"/>
        </w:tabs>
        <w:ind w:left="1276" w:hanging="426"/>
      </w:pPr>
    </w:lvl>
    <w:lvl w:ilvl="6">
      <w:start w:val="1"/>
      <w:numFmt w:val="lowerLetter"/>
      <w:pStyle w:val="NummerierungStufe4"/>
      <w:lvlText w:val="%7%7%7)"/>
      <w:lvlJc w:val="left"/>
      <w:pPr>
        <w:tabs>
          <w:tab w:val="num" w:pos="1984"/>
        </w:tabs>
        <w:ind w:left="1984" w:hanging="708"/>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142515E8"/>
    <w:multiLevelType w:val="hybridMultilevel"/>
    <w:tmpl w:val="9B94F67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DF25574"/>
    <w:multiLevelType w:val="multilevel"/>
    <w:tmpl w:val="371EF51E"/>
    <w:name w:val="eNorm Liste"/>
    <w:lvl w:ilvl="0">
      <w:start w:val="1"/>
      <w:numFmt w:val="decimal"/>
      <w:lvlRestart w:val="0"/>
      <w:pStyle w:val="ListeStufe1"/>
      <w:lvlText w:val="%1."/>
      <w:lvlJc w:val="left"/>
      <w:pPr>
        <w:tabs>
          <w:tab w:val="num" w:pos="425"/>
        </w:tabs>
        <w:ind w:left="425" w:hanging="425"/>
      </w:pPr>
    </w:lvl>
    <w:lvl w:ilvl="1">
      <w:start w:val="1"/>
      <w:numFmt w:val="none"/>
      <w:pStyle w:val="ListeFolgeabsatzStufe1"/>
      <w:lvlText w:val=""/>
      <w:lvlJc w:val="left"/>
      <w:pPr>
        <w:tabs>
          <w:tab w:val="num" w:pos="425"/>
        </w:tabs>
        <w:ind w:left="425" w:hanging="425"/>
      </w:pPr>
    </w:lvl>
    <w:lvl w:ilvl="2">
      <w:start w:val="1"/>
      <w:numFmt w:val="lowerLetter"/>
      <w:pStyle w:val="ListeStufe2"/>
      <w:lvlText w:val="%3)"/>
      <w:lvlJc w:val="left"/>
      <w:pPr>
        <w:tabs>
          <w:tab w:val="num" w:pos="850"/>
        </w:tabs>
        <w:ind w:left="850" w:hanging="425"/>
      </w:pPr>
    </w:lvl>
    <w:lvl w:ilvl="3">
      <w:start w:val="1"/>
      <w:numFmt w:val="none"/>
      <w:pStyle w:val="ListeFolgeabsatzStufe2"/>
      <w:lvlText w:val=""/>
      <w:lvlJc w:val="left"/>
      <w:pPr>
        <w:tabs>
          <w:tab w:val="num" w:pos="850"/>
        </w:tabs>
        <w:ind w:left="850" w:hanging="850"/>
      </w:pPr>
    </w:lvl>
    <w:lvl w:ilvl="4">
      <w:start w:val="1"/>
      <w:numFmt w:val="lowerLetter"/>
      <w:pStyle w:val="ListeStufe3"/>
      <w:lvlText w:val="%5%5)"/>
      <w:lvlJc w:val="left"/>
      <w:pPr>
        <w:tabs>
          <w:tab w:val="num" w:pos="1276"/>
        </w:tabs>
        <w:ind w:left="1276" w:hanging="426"/>
      </w:pPr>
    </w:lvl>
    <w:lvl w:ilvl="5">
      <w:start w:val="1"/>
      <w:numFmt w:val="none"/>
      <w:pStyle w:val="ListeFolgeabsatzStufe3"/>
      <w:lvlText w:val=""/>
      <w:lvlJc w:val="left"/>
      <w:pPr>
        <w:tabs>
          <w:tab w:val="num" w:pos="1276"/>
        </w:tabs>
        <w:ind w:left="1276" w:hanging="1276"/>
      </w:pPr>
    </w:lvl>
    <w:lvl w:ilvl="6">
      <w:start w:val="1"/>
      <w:numFmt w:val="lowerLetter"/>
      <w:pStyle w:val="ListeStufe4"/>
      <w:lvlText w:val="%7%7%7)"/>
      <w:lvlJc w:val="left"/>
      <w:pPr>
        <w:tabs>
          <w:tab w:val="num" w:pos="1984"/>
        </w:tabs>
        <w:ind w:left="1984" w:hanging="708"/>
      </w:pPr>
    </w:lvl>
    <w:lvl w:ilvl="7">
      <w:start w:val="1"/>
      <w:numFmt w:val="none"/>
      <w:pStyle w:val="ListeFolgeabsatzStufe4"/>
      <w:lvlText w:val=""/>
      <w:lvlJc w:val="left"/>
      <w:pPr>
        <w:tabs>
          <w:tab w:val="num" w:pos="1984"/>
        </w:tabs>
        <w:ind w:left="1984" w:hanging="1984"/>
      </w:pPr>
    </w:lvl>
    <w:lvl w:ilvl="8">
      <w:start w:val="1"/>
      <w:numFmt w:val="lowerRoman"/>
      <w:lvlText w:val="%9."/>
      <w:lvlJc w:val="left"/>
      <w:pPr>
        <w:ind w:left="324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doNotHyphenateCap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2D4C"/>
    <w:rsid w:val="0007178B"/>
    <w:rsid w:val="00574048"/>
    <w:rsid w:val="00585539"/>
    <w:rsid w:val="00625773"/>
    <w:rsid w:val="00644D74"/>
    <w:rsid w:val="00926906"/>
    <w:rsid w:val="00932D4C"/>
    <w:rsid w:val="00971B6B"/>
    <w:rsid w:val="009B22FE"/>
    <w:rsid w:val="00CC38BC"/>
    <w:rsid w:val="00D15FCA"/>
    <w:rsid w:val="00D23A1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78F62870-8308-4E9A-BF77-0B22F54445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o-RO"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932D4C"/>
    <w:rPr>
      <w:sz w:val="20"/>
      <w:szCs w:val="20"/>
    </w:rPr>
  </w:style>
  <w:style w:type="character" w:customStyle="1" w:styleId="FootnoteTextChar">
    <w:name w:val="Footnote Text Char"/>
    <w:link w:val="FootnoteText"/>
    <w:uiPriority w:val="99"/>
    <w:semiHidden/>
    <w:rsid w:val="00932D4C"/>
    <w:rPr>
      <w:lang w:eastAsia="en-US"/>
    </w:rPr>
  </w:style>
  <w:style w:type="paragraph" w:customStyle="1" w:styleId="ListeStufe1">
    <w:name w:val="Liste (Stufe 1)"/>
    <w:basedOn w:val="Normal"/>
    <w:rsid w:val="00932D4C"/>
    <w:pPr>
      <w:numPr>
        <w:numId w:val="2"/>
      </w:numPr>
      <w:tabs>
        <w:tab w:val="left" w:pos="0"/>
      </w:tabs>
      <w:spacing w:before="120" w:after="120" w:line="240" w:lineRule="auto"/>
      <w:jc w:val="both"/>
    </w:pPr>
    <w:rPr>
      <w:rFonts w:ascii="Arial" w:hAnsi="Arial" w:cs="Arial"/>
      <w:lang w:eastAsia="de-DE"/>
    </w:rPr>
  </w:style>
  <w:style w:type="paragraph" w:customStyle="1" w:styleId="ListeFolgeabsatzStufe1">
    <w:name w:val="Liste Folgeabsatz (Stufe 1)"/>
    <w:basedOn w:val="Normal"/>
    <w:rsid w:val="00932D4C"/>
    <w:pPr>
      <w:numPr>
        <w:ilvl w:val="1"/>
        <w:numId w:val="2"/>
      </w:numPr>
      <w:spacing w:before="120" w:after="120" w:line="240" w:lineRule="auto"/>
      <w:jc w:val="both"/>
    </w:pPr>
    <w:rPr>
      <w:rFonts w:ascii="Arial" w:hAnsi="Arial" w:cs="Arial"/>
      <w:lang w:eastAsia="de-DE"/>
    </w:rPr>
  </w:style>
  <w:style w:type="paragraph" w:customStyle="1" w:styleId="ListeStufe2">
    <w:name w:val="Liste (Stufe 2)"/>
    <w:basedOn w:val="Normal"/>
    <w:rsid w:val="00932D4C"/>
    <w:pPr>
      <w:numPr>
        <w:ilvl w:val="2"/>
        <w:numId w:val="2"/>
      </w:numPr>
      <w:spacing w:before="120" w:after="120" w:line="240" w:lineRule="auto"/>
      <w:jc w:val="both"/>
    </w:pPr>
    <w:rPr>
      <w:rFonts w:ascii="Arial" w:hAnsi="Arial" w:cs="Arial"/>
      <w:lang w:eastAsia="de-DE"/>
    </w:rPr>
  </w:style>
  <w:style w:type="paragraph" w:customStyle="1" w:styleId="ListeFolgeabsatzStufe2">
    <w:name w:val="Liste Folgeabsatz (Stufe 2)"/>
    <w:basedOn w:val="Normal"/>
    <w:rsid w:val="00932D4C"/>
    <w:pPr>
      <w:numPr>
        <w:ilvl w:val="3"/>
        <w:numId w:val="2"/>
      </w:numPr>
      <w:spacing w:before="120" w:after="120" w:line="240" w:lineRule="auto"/>
      <w:jc w:val="both"/>
    </w:pPr>
    <w:rPr>
      <w:rFonts w:ascii="Arial" w:hAnsi="Arial" w:cs="Arial"/>
      <w:lang w:eastAsia="de-DE"/>
    </w:rPr>
  </w:style>
  <w:style w:type="paragraph" w:customStyle="1" w:styleId="ListeStufe3">
    <w:name w:val="Liste (Stufe 3)"/>
    <w:basedOn w:val="Normal"/>
    <w:rsid w:val="00932D4C"/>
    <w:pPr>
      <w:numPr>
        <w:ilvl w:val="4"/>
        <w:numId w:val="2"/>
      </w:numPr>
      <w:spacing w:before="120" w:after="120" w:line="240" w:lineRule="auto"/>
      <w:jc w:val="both"/>
    </w:pPr>
    <w:rPr>
      <w:rFonts w:ascii="Arial" w:hAnsi="Arial" w:cs="Arial"/>
      <w:lang w:eastAsia="de-DE"/>
    </w:rPr>
  </w:style>
  <w:style w:type="paragraph" w:customStyle="1" w:styleId="ListeFolgeabsatzStufe3">
    <w:name w:val="Liste Folgeabsatz (Stufe 3)"/>
    <w:basedOn w:val="Normal"/>
    <w:rsid w:val="00932D4C"/>
    <w:pPr>
      <w:numPr>
        <w:ilvl w:val="5"/>
        <w:numId w:val="2"/>
      </w:numPr>
      <w:spacing w:before="120" w:after="120" w:line="240" w:lineRule="auto"/>
      <w:jc w:val="both"/>
    </w:pPr>
    <w:rPr>
      <w:rFonts w:ascii="Arial" w:hAnsi="Arial" w:cs="Arial"/>
      <w:lang w:eastAsia="de-DE"/>
    </w:rPr>
  </w:style>
  <w:style w:type="paragraph" w:customStyle="1" w:styleId="ListeStufe4">
    <w:name w:val="Liste (Stufe 4)"/>
    <w:basedOn w:val="Normal"/>
    <w:rsid w:val="00932D4C"/>
    <w:pPr>
      <w:numPr>
        <w:ilvl w:val="6"/>
        <w:numId w:val="2"/>
      </w:numPr>
      <w:spacing w:before="120" w:after="120" w:line="240" w:lineRule="auto"/>
      <w:jc w:val="both"/>
    </w:pPr>
    <w:rPr>
      <w:rFonts w:ascii="Arial" w:hAnsi="Arial" w:cs="Arial"/>
      <w:lang w:eastAsia="de-DE"/>
    </w:rPr>
  </w:style>
  <w:style w:type="paragraph" w:customStyle="1" w:styleId="ListeFolgeabsatzStufe4">
    <w:name w:val="Liste Folgeabsatz (Stufe 4)"/>
    <w:basedOn w:val="Normal"/>
    <w:rsid w:val="00932D4C"/>
    <w:pPr>
      <w:numPr>
        <w:ilvl w:val="7"/>
        <w:numId w:val="2"/>
      </w:numPr>
      <w:spacing w:before="120" w:after="120" w:line="240" w:lineRule="auto"/>
      <w:jc w:val="both"/>
    </w:pPr>
    <w:rPr>
      <w:rFonts w:ascii="Arial" w:hAnsi="Arial" w:cs="Arial"/>
      <w:lang w:eastAsia="de-DE"/>
    </w:rPr>
  </w:style>
  <w:style w:type="character" w:styleId="FootnoteReference">
    <w:name w:val="footnote reference"/>
    <w:uiPriority w:val="99"/>
    <w:semiHidden/>
    <w:unhideWhenUsed/>
    <w:rsid w:val="00932D4C"/>
    <w:rPr>
      <w:shd w:val="clear" w:color="auto" w:fill="auto"/>
      <w:vertAlign w:val="superscript"/>
    </w:rPr>
  </w:style>
  <w:style w:type="paragraph" w:customStyle="1" w:styleId="NummerierungStufe1">
    <w:name w:val="Nummerierung (Stufe 1)"/>
    <w:basedOn w:val="Normal"/>
    <w:rsid w:val="00932D4C"/>
    <w:pPr>
      <w:numPr>
        <w:ilvl w:val="3"/>
        <w:numId w:val="1"/>
      </w:numPr>
      <w:spacing w:before="120" w:after="120" w:line="240" w:lineRule="auto"/>
      <w:jc w:val="both"/>
    </w:pPr>
    <w:rPr>
      <w:rFonts w:ascii="Arial" w:hAnsi="Arial" w:cs="Arial"/>
      <w:lang w:eastAsia="de-DE"/>
    </w:rPr>
  </w:style>
  <w:style w:type="paragraph" w:customStyle="1" w:styleId="NummerierungStufe2">
    <w:name w:val="Nummerierung (Stufe 2)"/>
    <w:basedOn w:val="Normal"/>
    <w:rsid w:val="00932D4C"/>
    <w:pPr>
      <w:numPr>
        <w:ilvl w:val="4"/>
        <w:numId w:val="1"/>
      </w:numPr>
      <w:spacing w:before="120" w:after="120" w:line="240" w:lineRule="auto"/>
      <w:jc w:val="both"/>
    </w:pPr>
    <w:rPr>
      <w:rFonts w:ascii="Arial" w:hAnsi="Arial" w:cs="Arial"/>
      <w:lang w:eastAsia="de-DE"/>
    </w:rPr>
  </w:style>
  <w:style w:type="paragraph" w:customStyle="1" w:styleId="NummerierungStufe3">
    <w:name w:val="Nummerierung (Stufe 3)"/>
    <w:basedOn w:val="Normal"/>
    <w:rsid w:val="00932D4C"/>
    <w:pPr>
      <w:numPr>
        <w:ilvl w:val="5"/>
        <w:numId w:val="1"/>
      </w:numPr>
      <w:spacing w:before="120" w:after="120" w:line="240" w:lineRule="auto"/>
      <w:jc w:val="both"/>
    </w:pPr>
    <w:rPr>
      <w:rFonts w:ascii="Arial" w:hAnsi="Arial" w:cs="Arial"/>
      <w:lang w:eastAsia="de-DE"/>
    </w:rPr>
  </w:style>
  <w:style w:type="paragraph" w:customStyle="1" w:styleId="NummerierungStufe4">
    <w:name w:val="Nummerierung (Stufe 4)"/>
    <w:basedOn w:val="Normal"/>
    <w:rsid w:val="00932D4C"/>
    <w:pPr>
      <w:numPr>
        <w:ilvl w:val="6"/>
        <w:numId w:val="1"/>
      </w:numPr>
      <w:spacing w:before="120" w:after="120" w:line="240" w:lineRule="auto"/>
      <w:jc w:val="both"/>
    </w:pPr>
    <w:rPr>
      <w:rFonts w:ascii="Arial" w:hAnsi="Arial" w:cs="Arial"/>
      <w:lang w:eastAsia="de-DE"/>
    </w:rPr>
  </w:style>
  <w:style w:type="paragraph" w:customStyle="1" w:styleId="ParagraphBezeichner">
    <w:name w:val="Paragraph Bezeichner"/>
    <w:basedOn w:val="Normal"/>
    <w:next w:val="Normal"/>
    <w:rsid w:val="00932D4C"/>
    <w:pPr>
      <w:keepNext/>
      <w:numPr>
        <w:ilvl w:val="1"/>
        <w:numId w:val="1"/>
      </w:numPr>
      <w:spacing w:before="480" w:after="120" w:line="240" w:lineRule="auto"/>
      <w:jc w:val="center"/>
    </w:pPr>
    <w:rPr>
      <w:rFonts w:ascii="Arial" w:hAnsi="Arial" w:cs="Arial"/>
      <w:lang w:eastAsia="de-DE"/>
    </w:rPr>
  </w:style>
  <w:style w:type="paragraph" w:customStyle="1" w:styleId="JuristischerAbsatznummeriert">
    <w:name w:val="Juristischer Absatz (nummeriert)"/>
    <w:basedOn w:val="Normal"/>
    <w:rsid w:val="00932D4C"/>
    <w:pPr>
      <w:numPr>
        <w:ilvl w:val="2"/>
        <w:numId w:val="1"/>
      </w:numPr>
      <w:spacing w:before="120" w:after="120" w:line="240" w:lineRule="auto"/>
      <w:jc w:val="both"/>
    </w:pPr>
    <w:rPr>
      <w:rFonts w:ascii="Arial" w:hAnsi="Arial" w:cs="Arial"/>
      <w:lang w:eastAsia="de-DE"/>
    </w:rPr>
  </w:style>
  <w:style w:type="paragraph" w:customStyle="1" w:styleId="ArtikelBezeichner">
    <w:name w:val="Artikel Bezeichner"/>
    <w:basedOn w:val="Normal"/>
    <w:next w:val="Normal"/>
    <w:rsid w:val="00932D4C"/>
    <w:pPr>
      <w:keepNext/>
      <w:numPr>
        <w:numId w:val="1"/>
      </w:numPr>
      <w:spacing w:before="480" w:after="240" w:line="240" w:lineRule="auto"/>
      <w:jc w:val="center"/>
    </w:pPr>
    <w:rPr>
      <w:rFonts w:ascii="Arial" w:hAnsi="Arial" w:cs="Arial"/>
      <w:b/>
      <w:sz w:val="28"/>
      <w:lang w:eastAsia="de-DE"/>
    </w:rPr>
  </w:style>
  <w:style w:type="paragraph" w:styleId="Header">
    <w:name w:val="header"/>
    <w:basedOn w:val="Normal"/>
    <w:link w:val="HeaderChar"/>
    <w:uiPriority w:val="99"/>
    <w:unhideWhenUsed/>
    <w:rsid w:val="00574048"/>
    <w:pPr>
      <w:tabs>
        <w:tab w:val="center" w:pos="4680"/>
        <w:tab w:val="right" w:pos="9360"/>
      </w:tabs>
    </w:pPr>
  </w:style>
  <w:style w:type="character" w:customStyle="1" w:styleId="HeaderChar">
    <w:name w:val="Header Char"/>
    <w:link w:val="Header"/>
    <w:uiPriority w:val="99"/>
    <w:rsid w:val="00574048"/>
    <w:rPr>
      <w:sz w:val="22"/>
      <w:szCs w:val="22"/>
      <w:lang w:val="ro-RO" w:eastAsia="en-US"/>
    </w:rPr>
  </w:style>
  <w:style w:type="paragraph" w:styleId="Footer">
    <w:name w:val="footer"/>
    <w:basedOn w:val="Normal"/>
    <w:link w:val="FooterChar"/>
    <w:uiPriority w:val="99"/>
    <w:unhideWhenUsed/>
    <w:rsid w:val="00574048"/>
    <w:pPr>
      <w:tabs>
        <w:tab w:val="center" w:pos="4680"/>
        <w:tab w:val="right" w:pos="9360"/>
      </w:tabs>
    </w:pPr>
  </w:style>
  <w:style w:type="character" w:customStyle="1" w:styleId="FooterChar">
    <w:name w:val="Footer Char"/>
    <w:link w:val="Footer"/>
    <w:uiPriority w:val="99"/>
    <w:rsid w:val="00574048"/>
    <w:rPr>
      <w:sz w:val="22"/>
      <w:szCs w:val="22"/>
      <w:lang w:val="ro-RO" w:eastAsia="en-US"/>
    </w:rPr>
  </w:style>
  <w:style w:type="paragraph" w:styleId="ListParagraph">
    <w:name w:val="List Paragraph"/>
    <w:basedOn w:val="Normal"/>
    <w:uiPriority w:val="34"/>
    <w:qFormat/>
    <w:rsid w:val="00CC38B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C5DA6F2BFDD34498C4453AF02783704" ma:contentTypeVersion="2" ma:contentTypeDescription="Create a new document." ma:contentTypeScope="" ma:versionID="7ab35c6755a24c99a316331412811ed7">
  <xsd:schema xmlns:xsd="http://www.w3.org/2001/XMLSchema" xmlns:xs="http://www.w3.org/2001/XMLSchema" xmlns:p="http://schemas.microsoft.com/office/2006/metadata/properties" xmlns:ns2="d2e48c51-b2a3-4f79-9936-b5965aceee4d" targetNamespace="http://schemas.microsoft.com/office/2006/metadata/properties" ma:root="true" ma:fieldsID="6eae3246205fa9c8a301231dc285c3d1" ns2:_="">
    <xsd:import namespace="d2e48c51-b2a3-4f79-9936-b5965aceee4d"/>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2e48c51-b2a3-4f79-9936-b5965aceee4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57FA3AD-4964-4D2B-93CF-37AAC0DD9DF2}">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C1033748-C4B3-4992-93F6-7877385E28FD}">
  <ds:schemaRefs>
    <ds:schemaRef ds:uri="http://schemas.microsoft.com/sharepoint/v3/contenttype/forms"/>
  </ds:schemaRefs>
</ds:datastoreItem>
</file>

<file path=customXml/itemProps3.xml><?xml version="1.0" encoding="utf-8"?>
<ds:datastoreItem xmlns:ds="http://schemas.openxmlformats.org/officeDocument/2006/customXml" ds:itemID="{0DB92B08-9F42-4E2A-83E0-407C2247302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2e48c51-b2a3-4f79-9936-b5965aceee4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901</Words>
  <Characters>5140</Characters>
  <Application>Microsoft Office Word</Application>
  <DocSecurity>0</DocSecurity>
  <Lines>42</Lines>
  <Paragraphs>12</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MyCompany</Company>
  <LinksUpToDate>false</LinksUpToDate>
  <CharactersWithSpaces>6029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Huland, Andreas</dc:creator>
  <cp:keywords/>
  <cp:lastModifiedBy>Ke, Tingting</cp:lastModifiedBy>
  <cp:revision>7</cp:revision>
  <dcterms:created xsi:type="dcterms:W3CDTF">2020-01-20T05:33:00Z</dcterms:created>
  <dcterms:modified xsi:type="dcterms:W3CDTF">2020-07-14T10:53:00Z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0x010100CC5DA6F2BFDD34498C4453AF02783704</vt:lpwstr>
  </property>
</Properties>
</file>