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A467D7" w:rsidRDefault="00943D0F" w:rsidP="00943D0F">
      <w:pPr>
        <w:pStyle w:val="PlainText"/>
        <w:rPr>
          <w:rFonts w:ascii="Courier New" w:hAnsi="Courier New" w:cs="Courier New"/>
          <w:sz w:val="20"/>
          <w:szCs w:val="20"/>
        </w:rPr>
      </w:pPr>
      <w:bookmarkStart w:id="0" w:name="_GoBack"/>
      <w:r w:rsidRPr="00A467D7">
        <w:rPr>
          <w:rFonts w:ascii="Courier New" w:hAnsi="Courier New"/>
          <w:sz w:val="20"/>
          <w:szCs w:val="20"/>
        </w:rPr>
        <w:t xml:space="preserve">1. ------IND- 2017 0284 S-- DA- ------ 20190508 --- --- FINAL </w:t>
      </w:r>
    </w:p>
    <w:bookmarkEnd w:id="0"/>
    <w:p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noProof/>
          <w:lang w:val="en-US" w:eastAsia="en-US"/>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Svensk regelsamling</w:t>
      </w:r>
    </w:p>
    <w:p w:rsidR="00015EA3" w:rsidRDefault="00643102" w:rsidP="00015EA3">
      <w:pPr>
        <w:pBdr>
          <w:bottom w:val="single" w:sz="4" w:space="1" w:color="auto"/>
        </w:pBdr>
        <w:spacing w:after="120" w:line="259" w:lineRule="auto"/>
        <w:ind w:left="0" w:firstLine="0"/>
        <w:jc w:val="left"/>
        <w:rPr>
          <w:b/>
          <w:sz w:val="36"/>
        </w:rPr>
      </w:pPr>
      <w:r>
        <w:rPr>
          <w:b/>
          <w:noProof/>
          <w:sz w:val="26"/>
          <w:lang w:val="en-US" w:eastAsia="en-US"/>
        </w:rPr>
        <mc:AlternateContent>
          <mc:Choice Requires="wps">
            <w:drawing>
              <wp:anchor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rPr>
                                <w:sz w:val="17"/>
                              </w:rPr>
                              <w:t>Udgivet</w:t>
                            </w:r>
                            <w:r>
                              <w:rPr>
                                <w:sz w:val="17"/>
                              </w:rPr>
                              <w:br/>
                            </w:r>
                            <w:r>
                              <w:rPr>
                                <w:sz w:val="26"/>
                                <w:vertAlign w:val="subscript"/>
                              </w:rPr>
                              <w:t>den 13. februar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rPr>
                          <w:sz w:val="17"/>
                        </w:rPr>
                        <w:t>Udgivet</w:t>
                      </w:r>
                      <w:r>
                        <w:rPr>
                          <w:sz w:val="17"/>
                        </w:rPr>
                        <w:br/>
                      </w:r>
                      <w:r>
                        <w:rPr>
                          <w:sz w:val="26"/>
                          <w:vertAlign w:val="subscript"/>
                        </w:rPr>
                        <w:t>den 13. februar 2018</w:t>
                      </w:r>
                    </w:p>
                  </w:txbxContent>
                </v:textbox>
              </v:shape>
            </w:pict>
          </mc:Fallback>
        </mc:AlternateContent>
      </w:r>
    </w:p>
    <w:p w:rsidR="00551E3F" w:rsidRDefault="00DB4B0C" w:rsidP="00DA5828">
      <w:pPr>
        <w:spacing w:before="240" w:after="240" w:line="216" w:lineRule="auto"/>
        <w:ind w:left="0" w:firstLine="0"/>
        <w:jc w:val="left"/>
      </w:pPr>
      <w:r>
        <w:rPr>
          <w:b/>
          <w:sz w:val="26"/>
        </w:rPr>
        <w:t>Forskrift</w:t>
      </w:r>
      <w:r>
        <w:rPr>
          <w:b/>
          <w:sz w:val="26"/>
        </w:rPr>
        <w:br/>
        <w:t>om ændring af forskrift (1998:944) om forbud m.m. i visse tilfælde i forbindelse med håndtering, indførsel og udførsel af kemiske produkter</w:t>
      </w:r>
    </w:p>
    <w:p w:rsidR="00551E3F" w:rsidRDefault="00CC49D7" w:rsidP="00DA5828">
      <w:pPr>
        <w:spacing w:after="221"/>
        <w:ind w:left="0" w:firstLine="0"/>
      </w:pPr>
      <w:r>
        <w:t>Udfærdiget den 1. februar 2018.</w:t>
      </w:r>
    </w:p>
    <w:p w:rsidR="00551E3F" w:rsidRDefault="00CC49D7" w:rsidP="00015EA3">
      <w:pPr>
        <w:spacing w:after="240"/>
        <w:ind w:left="0" w:firstLine="193"/>
      </w:pPr>
      <w:r>
        <w:t>Regeringen foreskriver</w:t>
      </w:r>
      <w:r>
        <w:rPr>
          <w:vertAlign w:val="superscript"/>
        </w:rPr>
        <w:footnoteReference w:id="1"/>
      </w:r>
      <w:r>
        <w:t xml:space="preserve"> i spørgsmålet om forskrift (1998:944) om forbud m.m. i visse tilfælde i forbindelse med håndtering, indførsel og udførsel af kemiske produkter </w:t>
      </w:r>
      <w:r>
        <w:rPr>
          <w:i/>
        </w:rPr>
        <w:t>dels</w:t>
      </w:r>
      <w:r>
        <w:t xml:space="preserve">, at §§ 1 og 5 skal have følgende ordlyd, og </w:t>
      </w:r>
      <w:r>
        <w:rPr>
          <w:i/>
        </w:rPr>
        <w:t>dels</w:t>
      </w:r>
      <w:r>
        <w:t xml:space="preserve"> at der skal tilføjes fire nye paragraffer §§ 1a og 4-4b, og en ny overskrift umiddelbart inden § 4 med følgende ordlyd.</w:t>
      </w:r>
    </w:p>
    <w:p w:rsidR="00551E3F" w:rsidRDefault="00CC49D7" w:rsidP="00DA5828">
      <w:pPr>
        <w:keepNext/>
        <w:keepLines/>
        <w:ind w:left="0" w:firstLine="0"/>
      </w:pPr>
      <w:r>
        <w:rPr>
          <w:b/>
        </w:rPr>
        <w:t>§ 1</w:t>
      </w:r>
      <w:r>
        <w:rPr>
          <w:vertAlign w:val="superscript"/>
        </w:rPr>
        <w:footnoteReference w:id="2"/>
      </w:r>
      <w:r>
        <w:t xml:space="preserve"> Denne forskrift indeholder særlige bestemmelser om forbud mod eller andre restriktioner vedrørende håndtering af </w:t>
      </w:r>
    </w:p>
    <w:p w:rsidR="00551E3F" w:rsidRDefault="00CC49D7" w:rsidP="00015EA3">
      <w:pPr>
        <w:numPr>
          <w:ilvl w:val="0"/>
          <w:numId w:val="1"/>
        </w:numPr>
        <w:tabs>
          <w:tab w:val="left" w:pos="567"/>
        </w:tabs>
        <w:ind w:left="0" w:firstLine="192"/>
      </w:pPr>
      <w:r>
        <w:t>tokomponentsepoxy, der indeholder bisphenol A eller bisphenol-A-diglycidylether</w:t>
      </w:r>
    </w:p>
    <w:p w:rsidR="00551E3F" w:rsidRDefault="00CC49D7" w:rsidP="00015EA3">
      <w:pPr>
        <w:numPr>
          <w:ilvl w:val="0"/>
          <w:numId w:val="1"/>
        </w:numPr>
        <w:tabs>
          <w:tab w:val="left" w:pos="567"/>
        </w:tabs>
        <w:ind w:left="0" w:firstLine="192"/>
      </w:pPr>
      <w:r>
        <w:t>kadmium</w:t>
      </w:r>
    </w:p>
    <w:p w:rsidR="00551E3F" w:rsidRDefault="00CC49D7" w:rsidP="00015EA3">
      <w:pPr>
        <w:numPr>
          <w:ilvl w:val="0"/>
          <w:numId w:val="1"/>
        </w:numPr>
        <w:pBdr>
          <w:left w:val="single" w:sz="4" w:space="4" w:color="auto"/>
        </w:pBdr>
        <w:tabs>
          <w:tab w:val="left" w:pos="567"/>
        </w:tabs>
        <w:ind w:left="0" w:firstLine="192"/>
      </w:pPr>
      <w:r>
        <w:t>plastpartikler i kosmetiske produkter</w:t>
      </w:r>
    </w:p>
    <w:p w:rsidR="00551E3F" w:rsidRDefault="00CC49D7" w:rsidP="00015EA3">
      <w:pPr>
        <w:numPr>
          <w:ilvl w:val="0"/>
          <w:numId w:val="1"/>
        </w:numPr>
        <w:pBdr>
          <w:left w:val="single" w:sz="4" w:space="4" w:color="auto"/>
        </w:pBdr>
        <w:tabs>
          <w:tab w:val="left" w:pos="567"/>
        </w:tabs>
        <w:ind w:left="0" w:firstLine="192"/>
      </w:pPr>
      <w:r>
        <w:t>klorerede opløsningsmidler</w:t>
      </w:r>
    </w:p>
    <w:p w:rsidR="00551E3F" w:rsidRDefault="00CC49D7" w:rsidP="00015EA3">
      <w:pPr>
        <w:numPr>
          <w:ilvl w:val="0"/>
          <w:numId w:val="1"/>
        </w:numPr>
        <w:pBdr>
          <w:left w:val="single" w:sz="4" w:space="4" w:color="auto"/>
        </w:pBdr>
        <w:tabs>
          <w:tab w:val="left" w:pos="567"/>
        </w:tabs>
        <w:ind w:left="0" w:firstLine="192"/>
      </w:pPr>
      <w:r>
        <w:t>kviksølv</w:t>
      </w:r>
    </w:p>
    <w:p w:rsidR="00551E3F" w:rsidRDefault="00CC49D7" w:rsidP="00015EA3">
      <w:pPr>
        <w:numPr>
          <w:ilvl w:val="0"/>
          <w:numId w:val="1"/>
        </w:numPr>
        <w:pBdr>
          <w:left w:val="single" w:sz="4" w:space="4" w:color="auto"/>
        </w:pBdr>
        <w:tabs>
          <w:tab w:val="left" w:pos="567"/>
        </w:tabs>
        <w:ind w:left="0" w:firstLine="192"/>
      </w:pPr>
      <w:r>
        <w:t>cadmium og kviksølv i batterier</w:t>
      </w:r>
    </w:p>
    <w:p w:rsidR="00551E3F" w:rsidRDefault="00CC49D7" w:rsidP="00015EA3">
      <w:pPr>
        <w:numPr>
          <w:ilvl w:val="0"/>
          <w:numId w:val="1"/>
        </w:numPr>
        <w:pBdr>
          <w:left w:val="single" w:sz="4" w:space="4" w:color="auto"/>
        </w:pBdr>
        <w:tabs>
          <w:tab w:val="left" w:pos="567"/>
        </w:tabs>
        <w:ind w:left="0" w:firstLine="192"/>
      </w:pPr>
      <w:r>
        <w:t>tungmetaller i emballage</w:t>
      </w:r>
    </w:p>
    <w:p w:rsidR="00551E3F" w:rsidRDefault="00CC49D7" w:rsidP="00015EA3">
      <w:pPr>
        <w:numPr>
          <w:ilvl w:val="0"/>
          <w:numId w:val="1"/>
        </w:numPr>
        <w:pBdr>
          <w:left w:val="single" w:sz="4" w:space="4" w:color="auto"/>
        </w:pBdr>
        <w:tabs>
          <w:tab w:val="left" w:pos="567"/>
        </w:tabs>
        <w:ind w:left="0" w:firstLine="192"/>
      </w:pPr>
      <w:r>
        <w:t>ammunition, der indeholder bly</w:t>
      </w:r>
    </w:p>
    <w:p w:rsidR="00551E3F" w:rsidRDefault="00CC49D7" w:rsidP="00015EA3">
      <w:pPr>
        <w:numPr>
          <w:ilvl w:val="0"/>
          <w:numId w:val="1"/>
        </w:numPr>
        <w:pBdr>
          <w:left w:val="single" w:sz="4" w:space="4" w:color="auto"/>
        </w:pBdr>
        <w:tabs>
          <w:tab w:val="left" w:pos="567"/>
        </w:tabs>
        <w:ind w:left="0" w:firstLine="192"/>
      </w:pPr>
      <w:r>
        <w:t>rengøringsmidler, der indeholder fosfater</w:t>
      </w:r>
    </w:p>
    <w:p w:rsidR="00551E3F" w:rsidRDefault="00CC49D7" w:rsidP="00015EA3">
      <w:pPr>
        <w:numPr>
          <w:ilvl w:val="0"/>
          <w:numId w:val="1"/>
        </w:numPr>
        <w:pBdr>
          <w:left w:val="single" w:sz="4" w:space="4" w:color="auto"/>
        </w:pBdr>
        <w:tabs>
          <w:tab w:val="left" w:pos="567"/>
        </w:tabs>
        <w:ind w:left="0" w:firstLine="192"/>
      </w:pPr>
      <w:r>
        <w:t>visse andre sundheds- eller miljøskadelige kemiske produkter og varer.</w:t>
      </w:r>
    </w:p>
    <w:p w:rsidR="00551E3F" w:rsidRDefault="00CC49D7" w:rsidP="00015EA3">
      <w:pPr>
        <w:spacing w:after="249"/>
        <w:ind w:left="0" w:firstLine="192"/>
      </w:pPr>
      <w:r>
        <w:t>Forskriften finder ikke anvendelse på kemiske produkter og biotekniske organismer, der er omfattet af fødevareloven (2006:804), loven (2006:805) om foder og animalske biprodukter eller lægemiddelloven (2015:315).</w:t>
      </w:r>
    </w:p>
    <w:p w:rsidR="00551E3F" w:rsidRDefault="00CC49D7" w:rsidP="00DA5828">
      <w:pPr>
        <w:keepNext/>
        <w:keepLines/>
        <w:pBdr>
          <w:left w:val="single" w:sz="4" w:space="4" w:color="auto"/>
        </w:pBdr>
        <w:ind w:left="0" w:firstLine="0"/>
      </w:pPr>
      <w:r>
        <w:rPr>
          <w:b/>
        </w:rPr>
        <w:t xml:space="preserve">§ 1a </w:t>
      </w:r>
      <w:r>
        <w:t>Forskriften er udstedt i henhold til</w:t>
      </w:r>
    </w:p>
    <w:p w:rsidR="00551E3F" w:rsidRDefault="00CC49D7" w:rsidP="007058F2">
      <w:pPr>
        <w:numPr>
          <w:ilvl w:val="0"/>
          <w:numId w:val="2"/>
        </w:numPr>
        <w:pBdr>
          <w:left w:val="single" w:sz="4" w:space="4" w:color="auto"/>
        </w:pBdr>
        <w:ind w:left="426" w:hanging="285"/>
      </w:pPr>
      <w:r>
        <w:t>kap. 14, § 8, i miljøloven for så vidt angår §§ 2–3, 5–11, 11c–14 og 14b–20a</w:t>
      </w:r>
    </w:p>
    <w:p w:rsidR="00551E3F" w:rsidRDefault="00CC49D7" w:rsidP="007058F2">
      <w:pPr>
        <w:numPr>
          <w:ilvl w:val="0"/>
          <w:numId w:val="2"/>
        </w:numPr>
        <w:pBdr>
          <w:left w:val="single" w:sz="4" w:space="4" w:color="auto"/>
        </w:pBdr>
        <w:ind w:left="426" w:hanging="285"/>
      </w:pPr>
      <w:r>
        <w:lastRenderedPageBreak/>
        <w:t xml:space="preserve">kap. 15, § 40, i miljøloven for så vidt angår § 4a </w:t>
      </w:r>
    </w:p>
    <w:p w:rsidR="00551E3F" w:rsidRDefault="00CC49D7" w:rsidP="007058F2">
      <w:pPr>
        <w:numPr>
          <w:ilvl w:val="0"/>
          <w:numId w:val="2"/>
        </w:numPr>
        <w:pBdr>
          <w:left w:val="single" w:sz="4" w:space="4" w:color="auto"/>
        </w:pBdr>
        <w:ind w:left="426" w:hanging="285"/>
      </w:pPr>
      <w:r>
        <w:t>kap. 8, § 11, i forfatningsloven for så vidt angår § 21</w:t>
      </w:r>
    </w:p>
    <w:p w:rsidR="00551E3F" w:rsidRDefault="00CC49D7" w:rsidP="007058F2">
      <w:pPr>
        <w:numPr>
          <w:ilvl w:val="0"/>
          <w:numId w:val="2"/>
        </w:numPr>
        <w:pBdr>
          <w:left w:val="single" w:sz="4" w:space="4" w:color="auto"/>
        </w:pBdr>
        <w:ind w:left="426" w:hanging="285"/>
      </w:pPr>
      <w:r>
        <w:t>kap. 8, § 7, i forfatningsloven for så vidt angår øvrige bestemmelser.</w:t>
      </w:r>
    </w:p>
    <w:p w:rsidR="00551E3F" w:rsidRDefault="00CC49D7" w:rsidP="00DA5828">
      <w:pPr>
        <w:pStyle w:val="Heading1"/>
        <w:pBdr>
          <w:left w:val="single" w:sz="4" w:space="4" w:color="auto"/>
        </w:pBdr>
        <w:ind w:left="0"/>
      </w:pPr>
      <w:r>
        <w:t>Plastpartikler i kosmetiske produkter</w:t>
      </w:r>
    </w:p>
    <w:p w:rsidR="00551E3F" w:rsidRDefault="00CC49D7" w:rsidP="00DA5828">
      <w:pPr>
        <w:pBdr>
          <w:left w:val="single" w:sz="4" w:space="4" w:color="auto"/>
        </w:pBdr>
        <w:ind w:left="0" w:firstLine="0"/>
      </w:pPr>
      <w:r>
        <w:rPr>
          <w:b/>
        </w:rPr>
        <w:t>§ 4</w:t>
      </w:r>
      <w:r>
        <w:rPr>
          <w:vertAlign w:val="superscript"/>
        </w:rPr>
        <w:footnoteReference w:id="3"/>
      </w:r>
      <w:r>
        <w:t xml:space="preserve"> I denne paragraf samt §§ 4a og 4b defineres </w:t>
      </w:r>
      <w:r>
        <w:rPr>
          <w:i/>
        </w:rPr>
        <w:t>kosmetiske produkter:</w:t>
      </w:r>
      <w:r>
        <w:t xml:space="preserve"> som anført i Europa-Parlamentets og Rådets forordning (EF) nr. 1223/2009 om kosmetiske produkter </w:t>
      </w:r>
    </w:p>
    <w:p w:rsidR="008062AA" w:rsidRDefault="00CC49D7" w:rsidP="008062AA">
      <w:pPr>
        <w:pBdr>
          <w:left w:val="single" w:sz="4" w:space="4" w:color="auto"/>
        </w:pBdr>
        <w:spacing w:after="0"/>
        <w:ind w:left="0" w:firstLine="193"/>
      </w:pPr>
      <w:r>
        <w:rPr>
          <w:i/>
        </w:rPr>
        <w:t>plast:</w:t>
      </w:r>
      <w:r>
        <w:t xml:space="preserve"> et polymer med den betydning som anført i artikel 3.5 i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som kan være tilsat tilsætningsstoffer eller andre stoffer, plastpartikler og partikler af plast i fast form, som er mindre end fem mm i alle dimensioner og uopløselige i vand</w:t>
      </w:r>
    </w:p>
    <w:p w:rsidR="008062AA" w:rsidRDefault="00CC49D7" w:rsidP="008062AA">
      <w:pPr>
        <w:pBdr>
          <w:left w:val="single" w:sz="4" w:space="4" w:color="auto"/>
        </w:pBdr>
        <w:spacing w:after="0"/>
        <w:ind w:left="0" w:firstLine="193"/>
      </w:pPr>
      <w:r>
        <w:rPr>
          <w:i/>
        </w:rPr>
        <w:t>naturligt forekommende polymer:</w:t>
      </w:r>
      <w:r>
        <w:t xml:space="preserve"> en polymer, som forekommer naturligt i miljøer, og som, uanset om den har gennemgået en kemisk proces eller behandling eller en fysisk mineralogisk omdannelse, ikke har forandret sin kemiske struktur</w:t>
      </w:r>
    </w:p>
    <w:p w:rsidR="00551E3F" w:rsidRDefault="00CC49D7" w:rsidP="007058F2">
      <w:pPr>
        <w:pBdr>
          <w:left w:val="single" w:sz="4" w:space="4" w:color="auto"/>
        </w:pBdr>
        <w:spacing w:after="232"/>
        <w:ind w:left="0" w:firstLine="192"/>
      </w:pPr>
      <w:r>
        <w:rPr>
          <w:i/>
        </w:rPr>
        <w:t xml:space="preserve">tilgængelighed på markedet: </w:t>
      </w:r>
      <w:r>
        <w:t>hver gang et produkt gøres tilgængeligt til distribution, forbrug eller anvendelse på det svenske marked i forbindelse med kommerciel virksomhed, mod betaling eller gratis.</w:t>
      </w:r>
    </w:p>
    <w:p w:rsidR="00551E3F" w:rsidRDefault="00CC49D7" w:rsidP="00DA5828">
      <w:pPr>
        <w:pBdr>
          <w:left w:val="single" w:sz="4" w:space="4" w:color="auto"/>
        </w:pBdr>
        <w:ind w:left="0" w:firstLine="0"/>
      </w:pPr>
      <w:r>
        <w:rPr>
          <w:b/>
        </w:rPr>
        <w:t>§ 4a</w:t>
      </w:r>
      <w:r>
        <w:rPr>
          <w:vertAlign w:val="superscript"/>
        </w:rPr>
        <w:footnoteReference w:id="4"/>
      </w:r>
      <w:r>
        <w:t xml:space="preserve"> Det er forbudt at gøre et kosmetisk produkt tilgængeligt på markedet, som er beregnet til at blive skyllet af eller spyttet ud, efter det er blevet anvendt på hud, hår, slimhinder eller tænder, og som indeholder plastpartikler, der er tilsat for at opnå en rengørende, skrubbende eller polerende virkning.</w:t>
      </w:r>
    </w:p>
    <w:p w:rsidR="00551E3F" w:rsidRDefault="00CC49D7" w:rsidP="007058F2">
      <w:pPr>
        <w:pBdr>
          <w:left w:val="single" w:sz="4" w:space="4" w:color="auto"/>
        </w:pBdr>
        <w:spacing w:after="232"/>
        <w:ind w:left="0" w:firstLine="192"/>
      </w:pPr>
      <w:r>
        <w:t xml:space="preserve">Forbuddet gælder ikke kosmetiske produkter, som indeholder plastpartikler, der kun består af naturligt forekommende polymerer. </w:t>
      </w:r>
    </w:p>
    <w:p w:rsidR="00551E3F" w:rsidRDefault="00CC49D7" w:rsidP="00DA5828">
      <w:pPr>
        <w:keepNext/>
        <w:keepLines/>
        <w:pBdr>
          <w:left w:val="single" w:sz="4" w:space="4" w:color="auto"/>
        </w:pBdr>
        <w:ind w:left="0" w:firstLine="0"/>
      </w:pPr>
      <w:r>
        <w:rPr>
          <w:b/>
        </w:rPr>
        <w:t>§ 4b</w:t>
      </w:r>
      <w:r>
        <w:rPr>
          <w:vertAlign w:val="superscript"/>
        </w:rPr>
        <w:footnoteReference w:id="5"/>
      </w:r>
      <w:r>
        <w:t xml:space="preserve"> Kemikalieinspektoratet skal meddele forskrifter om undtagelser eller i det enkelte tilfælde give dispensation fra forbuddet i § 4a for kosmetiske produkter, der indeholder plastpartikler, som </w:t>
      </w:r>
    </w:p>
    <w:p w:rsidR="00551E3F" w:rsidRDefault="00CC49D7" w:rsidP="007058F2">
      <w:pPr>
        <w:numPr>
          <w:ilvl w:val="0"/>
          <w:numId w:val="3"/>
        </w:numPr>
        <w:pBdr>
          <w:left w:val="single" w:sz="4" w:space="4" w:color="auto"/>
        </w:pBdr>
        <w:tabs>
          <w:tab w:val="left" w:pos="567"/>
        </w:tabs>
        <w:ind w:left="0" w:firstLine="192"/>
      </w:pPr>
      <w:r>
        <w:t xml:space="preserve">fremstilles med naturligt forekommende polymerer som råvare </w:t>
      </w:r>
    </w:p>
    <w:p w:rsidR="00551E3F" w:rsidRDefault="00CC49D7" w:rsidP="007058F2">
      <w:pPr>
        <w:numPr>
          <w:ilvl w:val="0"/>
          <w:numId w:val="3"/>
        </w:numPr>
        <w:pBdr>
          <w:left w:val="single" w:sz="4" w:space="4" w:color="auto"/>
        </w:pBdr>
        <w:tabs>
          <w:tab w:val="left" w:pos="567"/>
        </w:tabs>
        <w:ind w:left="0" w:firstLine="192"/>
      </w:pPr>
      <w:r>
        <w:t xml:space="preserve">hurtigt nedbrydes til monomerer i vandmiljøer og ikke medfører nogen risiko for skader på vandlevende organismer. </w:t>
      </w:r>
    </w:p>
    <w:p w:rsidR="00551E3F" w:rsidRDefault="00CC49D7" w:rsidP="007058F2">
      <w:pPr>
        <w:pBdr>
          <w:left w:val="single" w:sz="4" w:space="4" w:color="auto"/>
        </w:pBdr>
        <w:spacing w:after="231"/>
        <w:ind w:left="0" w:firstLine="192"/>
      </w:pPr>
      <w:r>
        <w:t>Der gives dispensation for kosmetiske produkter, som lovligt markedsføres i henhold til lovgivningen i andre medlemsstater i EU eller Tyrkiet eller lovligt fremstilles i et land, som har underskrevet aftalen om Det Europæiske Økonomiske Samarbejdsområde, hvis et tilsvarende beskyttelsesniveau opnås gennem denne lovgivning.</w:t>
      </w:r>
    </w:p>
    <w:p w:rsidR="00551E3F" w:rsidRDefault="00CC49D7" w:rsidP="00DA5828">
      <w:pPr>
        <w:ind w:left="0" w:firstLine="0"/>
      </w:pPr>
      <w:r>
        <w:rPr>
          <w:b/>
        </w:rPr>
        <w:lastRenderedPageBreak/>
        <w:t>§ 5</w:t>
      </w:r>
      <w:r w:rsidR="00E812AA">
        <w:rPr>
          <w:rStyle w:val="FootnoteReference"/>
          <w:b/>
        </w:rPr>
        <w:footnoteReference w:id="6"/>
      </w:r>
      <w:r>
        <w:t xml:space="preserve"> Kemiske produkter, som helt eller delvist består af methylenchlorid eller tetrachlorethylen, må ikke sælges eller frigives til forbrugere til privat forbrug.</w:t>
      </w:r>
    </w:p>
    <w:p w:rsidR="00551E3F" w:rsidRDefault="00CC49D7" w:rsidP="00E812AA">
      <w:pPr>
        <w:spacing w:after="0"/>
        <w:ind w:left="0" w:firstLine="193"/>
      </w:pPr>
      <w:r>
        <w:t>Kemikalieinspektoratet skal meddele forskrifter om, at varer, som indeholder methylenchlorid eller tetrachlorethylen, ikke må ikke sælges eller frigives til forbrugere til privat forbrug.</w:t>
      </w:r>
    </w:p>
    <w:p w:rsidR="00551E3F" w:rsidRDefault="00CC49D7" w:rsidP="007058F2">
      <w:pPr>
        <w:pBdr>
          <w:left w:val="single" w:sz="4" w:space="4" w:color="auto"/>
        </w:pBdr>
        <w:spacing w:after="241"/>
        <w:ind w:left="0" w:firstLine="192"/>
      </w:pPr>
      <w:r>
        <w:t>Forbuddet mod methylenchlorid gælder kun, hvis et tilsvarende forbud ikke allerede er gældende som følge af punkt 59.1 i bilag XVII til forordning (EF) nr.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Nærværende forskrift træder i kraft den 1. juli 2018.</w:t>
      </w:r>
    </w:p>
    <w:p w:rsidR="00551E3F" w:rsidRDefault="00CC49D7" w:rsidP="00E812AA">
      <w:pPr>
        <w:numPr>
          <w:ilvl w:val="0"/>
          <w:numId w:val="4"/>
        </w:numPr>
        <w:tabs>
          <w:tab w:val="left" w:pos="567"/>
        </w:tabs>
        <w:spacing w:after="224"/>
        <w:ind w:left="0" w:firstLine="192"/>
      </w:pPr>
      <w:r>
        <w:t xml:space="preserve">Trods forbuddet i § 4a må eksisterende lagre af kosmetiske produkter, som lovligt er markedsført før den 1. juli 2018, fortsætte med at blive markedsført indtil udgangen af december 2018. </w:t>
      </w:r>
    </w:p>
    <w:p w:rsidR="00551E3F" w:rsidRDefault="00CC49D7" w:rsidP="00DA5828">
      <w:pPr>
        <w:spacing w:after="225"/>
        <w:ind w:left="0" w:firstLine="0"/>
      </w:pPr>
      <w:r>
        <w:t>På regeringens vegne</w:t>
      </w:r>
    </w:p>
    <w:p w:rsidR="00551E3F" w:rsidRDefault="00CC49D7" w:rsidP="00DA5828">
      <w:pPr>
        <w:ind w:left="0" w:firstLine="0"/>
      </w:pPr>
      <w:r>
        <w:t>KAROLINA SKOG</w:t>
      </w:r>
    </w:p>
    <w:p w:rsidR="00551E3F" w:rsidRDefault="00CC49D7" w:rsidP="00825642">
      <w:pPr>
        <w:keepNext/>
        <w:keepLines/>
        <w:spacing w:after="0" w:line="265" w:lineRule="auto"/>
        <w:ind w:left="2835" w:firstLine="0"/>
        <w:jc w:val="left"/>
      </w:pPr>
      <w:r>
        <w:t>Egon Abresparr</w:t>
      </w:r>
    </w:p>
    <w:p w:rsidR="00551E3F" w:rsidRDefault="00CC49D7" w:rsidP="00825642">
      <w:pPr>
        <w:spacing w:after="0" w:line="264" w:lineRule="auto"/>
        <w:ind w:left="2835" w:firstLine="0"/>
        <w:jc w:val="left"/>
      </w:pPr>
      <w:r>
        <w:t>(Miljø- og energiministeriet)</w:t>
      </w:r>
    </w:p>
    <w:p w:rsidR="007058F2" w:rsidRDefault="00CC49D7" w:rsidP="00651E3A">
      <w:pPr>
        <w:pageBreakBefore/>
        <w:spacing w:before="10920" w:after="0" w:line="259" w:lineRule="auto"/>
        <w:ind w:left="0" w:firstLine="0"/>
        <w:jc w:val="right"/>
        <w:rPr>
          <w:sz w:val="11"/>
        </w:rPr>
      </w:pPr>
      <w:r>
        <w:rPr>
          <w:sz w:val="11"/>
        </w:rPr>
        <w:lastRenderedPageBreak/>
        <w:t>Norstedts Juridik AB</w:t>
      </w:r>
    </w:p>
    <w:p w:rsidR="00551E3F" w:rsidRPr="007058F2" w:rsidRDefault="00CC49D7" w:rsidP="007058F2">
      <w:pPr>
        <w:spacing w:after="0" w:line="259" w:lineRule="auto"/>
        <w:ind w:left="0" w:firstLine="0"/>
        <w:jc w:val="right"/>
        <w:rPr>
          <w:sz w:val="11"/>
        </w:rPr>
      </w:pPr>
      <w:r>
        <w:rPr>
          <w:sz w:val="11"/>
        </w:rPr>
        <w:t>Elanders Sverige AB, 2018</w:t>
      </w:r>
    </w:p>
    <w:sectPr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17A" w:rsidRDefault="004B717A">
      <w:pPr>
        <w:spacing w:after="0" w:line="240" w:lineRule="auto"/>
      </w:pPr>
      <w:r>
        <w:separator/>
      </w:r>
    </w:p>
  </w:endnote>
  <w:endnote w:type="continuationSeparator" w:id="0">
    <w:p w:rsidR="004B717A" w:rsidRDefault="004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A467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A467D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A467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17A" w:rsidRDefault="004B717A" w:rsidP="00E812AA">
      <w:pPr>
        <w:spacing w:after="0" w:line="230" w:lineRule="auto"/>
        <w:ind w:left="0" w:right="1837" w:firstLine="0"/>
      </w:pPr>
      <w:r>
        <w:separator/>
      </w:r>
    </w:p>
  </w:footnote>
  <w:footnote w:type="continuationSeparator" w:id="0">
    <w:p w:rsidR="004B717A" w:rsidRDefault="004B717A">
      <w:pPr>
        <w:spacing w:after="0" w:line="230" w:lineRule="auto"/>
        <w:ind w:left="412" w:right="1837" w:firstLine="0"/>
      </w:pPr>
      <w:r>
        <w:continuationSeparator/>
      </w:r>
    </w:p>
  </w:footnote>
  <w:footnote w:id="1">
    <w:p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Se Europa-Parlamentets og Rådets direktiv (EU) 2015/1535 af 9. september 2015 om en informationsprocedure med hensyn til tekniske forskrifter samt forskrifter for informationssamfundet tjenester.</w:t>
      </w:r>
    </w:p>
  </w:footnote>
  <w:footnote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szCs w:val="17"/>
        </w:rPr>
        <w:footnoteRef/>
      </w:r>
      <w:r>
        <w:t xml:space="preserve"> Seneste ordlyd 2016:829.</w:t>
      </w:r>
    </w:p>
  </w:footnote>
  <w:footnote w:id="3">
    <w:p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Den tidligere § 4 blev ophævet ved 2009:954.</w:t>
      </w:r>
    </w:p>
  </w:footnote>
  <w:footnote w:id="4">
    <w:p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Den tidligere § 4a blev ophævet ved 2008:255.</w:t>
      </w:r>
    </w:p>
  </w:footnote>
  <w:footnote w:id="5">
    <w:p w:rsidR="00551E3F" w:rsidRPr="00E812AA" w:rsidRDefault="00CC49D7" w:rsidP="00825642">
      <w:pPr>
        <w:pStyle w:val="footnotedescription"/>
        <w:spacing w:line="240" w:lineRule="auto"/>
        <w:ind w:left="0"/>
        <w:jc w:val="both"/>
        <w:rPr>
          <w:szCs w:val="17"/>
        </w:rPr>
      </w:pPr>
      <w:r>
        <w:rPr>
          <w:rStyle w:val="footnotemark"/>
          <w:szCs w:val="17"/>
        </w:rPr>
        <w:footnoteRef/>
      </w:r>
      <w:r>
        <w:t xml:space="preserve"> Den tidligere § 4b blev ophævet ved 2008:255.</w:t>
      </w:r>
    </w:p>
  </w:footnote>
  <w:footnote w:id="6">
    <w:p w:rsidR="00E812AA" w:rsidRPr="00E812AA" w:rsidRDefault="00E812AA" w:rsidP="00825642">
      <w:pPr>
        <w:pStyle w:val="footnotedescription"/>
        <w:spacing w:line="240" w:lineRule="auto"/>
        <w:ind w:left="0"/>
        <w:jc w:val="both"/>
        <w:rPr>
          <w:rFonts w:eastAsia="SimSun"/>
          <w:szCs w:val="17"/>
        </w:rPr>
      </w:pPr>
      <w:r>
        <w:rPr>
          <w:szCs w:val="17"/>
          <w:vertAlign w:val="superscript"/>
        </w:rPr>
        <w:footnoteRef/>
      </w:r>
      <w:r>
        <w:t xml:space="preserve"> Seneste ordlyd 2016:144.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SFS 2018:55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304"/>
  <w:hyphenationZone w:val="425"/>
  <w:doNotHyphenateCaps/>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3F"/>
    <w:rsid w:val="00015EA3"/>
    <w:rsid w:val="00021211"/>
    <w:rsid w:val="001716B1"/>
    <w:rsid w:val="00215ED8"/>
    <w:rsid w:val="003A2D63"/>
    <w:rsid w:val="004707E8"/>
    <w:rsid w:val="004B717A"/>
    <w:rsid w:val="00551E3F"/>
    <w:rsid w:val="00643102"/>
    <w:rsid w:val="00651E3A"/>
    <w:rsid w:val="007058F2"/>
    <w:rsid w:val="007154F6"/>
    <w:rsid w:val="00793620"/>
    <w:rsid w:val="007D7823"/>
    <w:rsid w:val="008062AA"/>
    <w:rsid w:val="00825642"/>
    <w:rsid w:val="008802E6"/>
    <w:rsid w:val="008B7F39"/>
    <w:rsid w:val="00943D0F"/>
    <w:rsid w:val="00952D25"/>
    <w:rsid w:val="00A065E3"/>
    <w:rsid w:val="00A467D7"/>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92231A4B-2272-4502-B11C-477BF5B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422" w:hanging="10"/>
      <w:jc w:val="both"/>
    </w:pPr>
    <w:rPr>
      <w:rFonts w:ascii="Times New Roman" w:hAnsi="Times New Roman"/>
      <w:color w:val="000000"/>
      <w:sz w:val="19"/>
      <w:szCs w:val="22"/>
      <w:lang w:eastAsia="sv-SE"/>
    </w:rPr>
  </w:style>
  <w:style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lang w:eastAsia="sv-SE"/>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SimSun" w:hAnsi="Times New Roman"/>
      <w:szCs w:val="22"/>
    </w:rPr>
  </w:style>
  <w:style w:type="character" w:customStyle="1" w:styleId="RKbasChar">
    <w:name w:val="RKbas Char"/>
    <w:link w:val="RKbas"/>
    <w:uiPriority w:val="11"/>
    <w:semiHidden/>
    <w:rsid w:val="00DB4B0C"/>
    <w:rPr>
      <w:rFonts w:ascii="Times New Roman" w:eastAsia="SimSun" w:hAnsi="Times New Roman"/>
      <w:szCs w:val="22"/>
      <w:lang w:val="da-DK"/>
    </w:rPr>
  </w:style>
  <w:style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w:type="character" w:customStyle="1" w:styleId="BodyTextChar">
    <w:name w:val="Body Text Char"/>
    <w:link w:val="BodyText"/>
    <w:rsid w:val="00DB4B0C"/>
    <w:rPr>
      <w:rFonts w:ascii="Times New Roman" w:eastAsia="SimSun" w:hAnsi="Times New Roman"/>
      <w:sz w:val="19"/>
      <w:szCs w:val="22"/>
      <w:lang w:val="da-DK"/>
    </w:rPr>
  </w:style>
  <w:style w:type="paragraph" w:styleId="BodyTextIndent">
    <w:name w:val="Body Text Indent"/>
    <w:basedOn w:val="Normal"/>
    <w:link w:val="BodyTextIndentChar"/>
    <w:uiPriority w:val="99"/>
    <w:semiHidden/>
    <w:unhideWhenUsed/>
    <w:rsid w:val="00DB4B0C"/>
    <w:pPr>
      <w:spacing w:after="120"/>
      <w:ind w:left="283"/>
    </w:pPr>
  </w:style>
  <w:style w:type="character" w:customStyle="1" w:styleId="BodyTextIndentChar">
    <w:name w:val="Body Text Indent Char"/>
    <w:link w:val="BodyTextIndent"/>
    <w:uiPriority w:val="99"/>
    <w:semiHidden/>
    <w:rsid w:val="00DB4B0C"/>
    <w:rPr>
      <w:rFonts w:ascii="Times New Roman" w:hAnsi="Times New Roman"/>
      <w:color w:val="000000"/>
      <w:sz w:val="19"/>
      <w:szCs w:val="22"/>
      <w:lang w:val="da-DK" w:eastAsia="sv-SE"/>
    </w:rPr>
  </w:style>
  <w:style w:type="paragraph" w:styleId="Header">
    <w:name w:val="header"/>
    <w:basedOn w:val="Normal"/>
    <w:link w:val="HeaderChar"/>
    <w:uiPriority w:val="99"/>
    <w:unhideWhenUsed/>
    <w:rsid w:val="00E812AA"/>
    <w:pPr>
      <w:tabs>
        <w:tab w:val="center" w:pos="4320"/>
        <w:tab w:val="right" w:pos="8640"/>
      </w:tabs>
    </w:pPr>
  </w:style>
  <w:style w:type="character" w:customStyle="1" w:styleId="HeaderChar">
    <w:name w:val="Header Char"/>
    <w:link w:val="Header"/>
    <w:uiPriority w:val="99"/>
    <w:rsid w:val="00E812AA"/>
    <w:rPr>
      <w:rFonts w:ascii="Times New Roman" w:hAnsi="Times New Roman"/>
      <w:color w:val="000000"/>
      <w:sz w:val="19"/>
      <w:szCs w:val="22"/>
      <w:lang w:val="da-DK" w:eastAsia="sv-SE"/>
    </w:rPr>
  </w:style>
  <w:style w:type="paragraph" w:styleId="Footer">
    <w:name w:val="footer"/>
    <w:basedOn w:val="Normal"/>
    <w:link w:val="FooterChar"/>
    <w:uiPriority w:val="99"/>
    <w:unhideWhenUsed/>
    <w:rsid w:val="00E812AA"/>
    <w:pPr>
      <w:tabs>
        <w:tab w:val="center" w:pos="4320"/>
        <w:tab w:val="right" w:pos="8640"/>
      </w:tabs>
    </w:pPr>
  </w:style>
  <w:style w:type="character" w:customStyle="1" w:styleId="FooterChar">
    <w:name w:val="Footer Char"/>
    <w:link w:val="Footer"/>
    <w:uiPriority w:val="99"/>
    <w:rsid w:val="00E812AA"/>
    <w:rPr>
      <w:rFonts w:ascii="Times New Roman" w:hAnsi="Times New Roman"/>
      <w:color w:val="000000"/>
      <w:sz w:val="19"/>
      <w:szCs w:val="22"/>
      <w:lang w:val="da-DK" w:eastAsia="sv-SE"/>
    </w:rPr>
  </w:style>
  <w:style w:type="paragraph" w:styleId="FootnoteText">
    <w:name w:val="footnote text"/>
    <w:basedOn w:val="Normal"/>
    <w:link w:val="FootnoteTextChar"/>
    <w:uiPriority w:val="99"/>
    <w:semiHidden/>
    <w:unhideWhenUsed/>
    <w:rsid w:val="00E812AA"/>
    <w:rPr>
      <w:sz w:val="20"/>
      <w:szCs w:val="20"/>
    </w:rPr>
  </w:style>
  <w:style w:type="character" w:customStyle="1" w:styleId="FootnoteTextChar">
    <w:name w:val="Footnote Text Char"/>
    <w:link w:val="FootnoteText"/>
    <w:uiPriority w:val="99"/>
    <w:semiHidden/>
    <w:rsid w:val="00E812AA"/>
    <w:rPr>
      <w:rFonts w:ascii="Times New Roman" w:hAnsi="Times New Roman"/>
      <w:color w:val="000000"/>
      <w:lang w:val="da-DK" w:eastAsia="sv-SE"/>
    </w:rPr>
  </w:style>
  <w:style w:type="character" w:styleId="FootnoteReference">
    <w:name w:val="footnote reference"/>
    <w:uiPriority w:val="99"/>
    <w:semiHidden/>
    <w:unhideWhenUsed/>
    <w:rsid w:val="00E812AA"/>
    <w:rPr>
      <w:vertAlign w:val="superscript"/>
    </w:rPr>
  </w:style>
  <w:style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rsid w:val="00943D0F"/>
    <w:rPr>
      <w:rFonts w:ascii="Consolas" w:hAnsi="Consolas"/>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CAE4-65B7-4659-9C74-22B4BDBD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creator>leer01</dc:creator>
  <cp:lastModifiedBy>Jensen, Nicolaj</cp:lastModifiedBy>
  <cp:revision>4</cp:revision>
  <dcterms:created xsi:type="dcterms:W3CDTF">2019-05-01T18:56:00Z</dcterms:created>
  <dcterms:modified xsi:type="dcterms:W3CDTF">2019-05-08T10:49:00Z</dcterms:modified>
</cp:coreProperties>
</file>