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85D95" w14:textId="77777777" w:rsidR="00943D0F" w:rsidRPr="00B00403" w:rsidRDefault="00943D0F" w:rsidP="00943D0F">
      <w:pPr>
        <w:pStyle w:val="Vaintekstin"/>
        <w:rPr>
          <w:rFonts w:ascii="Courier New" w:hAnsi="Courier New" w:cs="Courier New"/>
          <w:sz w:val="20"/>
          <w:szCs w:val="20"/>
        </w:rPr>
      </w:pPr>
      <w:r>
        <w:rPr>
          <w:rFonts w:ascii="Courier New" w:hAnsi="Courier New"/>
          <w:sz w:val="20"/>
          <w:szCs w:val="20"/>
        </w:rPr>
        <w:t xml:space="preserve">1. ------IND- 2017 0284 S-- FI- ------ 20190508 --- --- FINAL </w:t>
      </w:r>
    </w:p>
    <w:p w14:paraId="623AFB2A" w14:textId="77777777" w:rsidR="00943D0F" w:rsidRDefault="00943D0F" w:rsidP="00015EA3">
      <w:pPr>
        <w:spacing w:after="120" w:line="259" w:lineRule="auto"/>
        <w:ind w:left="0" w:firstLine="0"/>
        <w:jc w:val="left"/>
        <w:rPr>
          <w:b/>
          <w:sz w:val="36"/>
        </w:rPr>
      </w:pPr>
    </w:p>
    <w:p w14:paraId="0BC25287" w14:textId="77777777" w:rsidR="00DB4B0C" w:rsidRDefault="00643102" w:rsidP="00015EA3">
      <w:pPr>
        <w:spacing w:after="120" w:line="259" w:lineRule="auto"/>
        <w:ind w:left="0" w:firstLine="0"/>
        <w:jc w:val="left"/>
        <w:rPr>
          <w:b/>
          <w:sz w:val="36"/>
        </w:rPr>
      </w:pPr>
      <w:r>
        <w:rPr>
          <w:noProof/>
        </w:rPr>
        <w:drawing>
          <wp:anchor distT="0" distB="0" distL="114300" distR="114300" simplePos="0" relativeHeight="251658240" behindDoc="0" locked="0" layoutInCell="1" allowOverlap="1" wp14:anchorId="0071098F" wp14:editId="0B886F1F">
            <wp:simplePos x="0" y="0"/>
            <wp:positionH relativeFrom="column">
              <wp:posOffset>3790950</wp:posOffset>
            </wp:positionH>
            <wp:positionV relativeFrom="paragraph">
              <wp:posOffset>-212725</wp:posOffset>
            </wp:positionV>
            <wp:extent cx="431800" cy="768985"/>
            <wp:effectExtent l="0" t="0" r="6350" b="0"/>
            <wp:wrapNone/>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768985"/>
                    </a:xfrm>
                    <a:prstGeom prst="rect">
                      <a:avLst/>
                    </a:prstGeom>
                    <a:noFill/>
                  </pic:spPr>
                </pic:pic>
              </a:graphicData>
            </a:graphic>
            <wp14:sizeRelH relativeFrom="page">
              <wp14:pctWidth>0</wp14:pctWidth>
            </wp14:sizeRelH>
            <wp14:sizeRelV relativeFrom="page">
              <wp14:pctHeight>0</wp14:pctHeight>
            </wp14:sizeRelV>
          </wp:anchor>
        </w:drawing>
      </w:r>
      <w:r>
        <w:rPr>
          <w:b/>
          <w:sz w:val="36"/>
        </w:rPr>
        <w:t>Ruotsin säädöskokoelma</w:t>
      </w:r>
    </w:p>
    <w:p w14:paraId="38E4B778" w14:textId="77777777" w:rsidR="00015EA3" w:rsidRDefault="00643102" w:rsidP="00015EA3">
      <w:pPr>
        <w:pBdr>
          <w:bottom w:val="single" w:sz="4" w:space="1" w:color="auto"/>
        </w:pBdr>
        <w:spacing w:after="120" w:line="259" w:lineRule="auto"/>
        <w:ind w:left="0" w:firstLine="0"/>
        <w:jc w:val="left"/>
        <w:rPr>
          <w:b/>
          <w:sz w:val="36"/>
        </w:rPr>
      </w:pPr>
      <w:r>
        <w:rPr>
          <w:b/>
          <w:noProof/>
          <w:sz w:val="26"/>
        </w:rPr>
        <mc:AlternateContent>
          <mc:Choice Requires="wps">
            <w:drawing>
              <wp:anchor distT="0" distB="0" distL="114300" distR="114300" simplePos="0" relativeHeight="251657216" behindDoc="0" locked="0" layoutInCell="1" allowOverlap="1" wp14:anchorId="0C1BA646" wp14:editId="1BC67847">
                <wp:simplePos x="0" y="0"/>
                <wp:positionH relativeFrom="column">
                  <wp:posOffset>3745865</wp:posOffset>
                </wp:positionH>
                <wp:positionV relativeFrom="paragraph">
                  <wp:posOffset>337820</wp:posOffset>
                </wp:positionV>
                <wp:extent cx="1264920" cy="828040"/>
                <wp:effectExtent l="0" t="0" r="3175" b="4445"/>
                <wp:wrapNone/>
                <wp:docPr id="3" name="Textruta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8280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FC4317" w14:textId="77777777" w:rsidR="00DB4B0C" w:rsidRDefault="00DB4B0C" w:rsidP="00DB4B0C">
                            <w:pPr>
                              <w:spacing w:after="160" w:line="259" w:lineRule="auto"/>
                              <w:ind w:left="0" w:firstLine="0"/>
                              <w:jc w:val="left"/>
                              <w:rPr>
                                <w:b/>
                                <w:sz w:val="26"/>
                              </w:rPr>
                            </w:pPr>
                            <w:r>
                              <w:rPr>
                                <w:b/>
                                <w:sz w:val="26"/>
                              </w:rPr>
                              <w:t>SFS 2018:55</w:t>
                            </w:r>
                          </w:p>
                          <w:p w14:paraId="1FA6933D" w14:textId="77777777" w:rsidR="00DB4B0C" w:rsidRPr="00D30131" w:rsidRDefault="00DB4B0C" w:rsidP="00DB4B0C">
                            <w:pPr>
                              <w:spacing w:after="160" w:line="259" w:lineRule="auto"/>
                              <w:ind w:left="0" w:firstLine="0"/>
                              <w:jc w:val="left"/>
                              <w:rPr>
                                <w:sz w:val="17"/>
                                <w:szCs w:val="17"/>
                              </w:rPr>
                            </w:pPr>
                            <w:r>
                              <w:rPr>
                                <w:sz w:val="17"/>
                              </w:rPr>
                              <w:t>Ilmestynyt painosta</w:t>
                            </w:r>
                            <w:r>
                              <w:rPr>
                                <w:sz w:val="17"/>
                              </w:rPr>
                              <w:br/>
                            </w:r>
                            <w:r>
                              <w:rPr>
                                <w:sz w:val="26"/>
                                <w:vertAlign w:val="subscript"/>
                              </w:rPr>
                              <w:t>13 päivänä helmikuuta 2018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5" o:spid="_x0000_s1026" type="#_x0000_t202" style="position:absolute;margin-left:294.95pt;margin-top:26.6pt;width:99.6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" stroked="f" strokeweight=".5pt">
                <v:textbox inset="0,0,0,0">
                  <w:txbxContent>
                    <w:p w:rsidR="00DB4B0C" w:rsidRDefault="00DB4B0C" w:rsidP="00DB4B0C">
                      <w:pPr>
                        <w:spacing w:after="160" w:line="259" w:lineRule="auto"/>
                        <w:ind w:left="0" w:firstLine="0"/>
                        <w:jc w:val="left"/>
                        <w:rPr>
                          <w:b/>
                          <w:sz w:val="26"/>
                        </w:rPr>
                      </w:pPr>
                      <w:r>
                        <w:rPr>
                          <w:b/>
                          <w:sz w:val="26"/>
                        </w:rPr>
                        <w:t xml:space="preserve">SFS 2018:55</w:t>
                      </w:r>
                    </w:p>
                    <w:p w:rsidR="00DB4B0C" w:rsidRPr="00D30131" w:rsidRDefault="00DB4B0C" w:rsidP="00DB4B0C">
                      <w:pPr>
                        <w:spacing w:after="160" w:line="259" w:lineRule="auto"/>
                        <w:ind w:left="0" w:firstLine="0"/>
                        <w:jc w:val="left"/>
                        <w:rPr>
                          <w:sz w:val="17"/>
                          <w:szCs w:val="17"/>
                        </w:rPr>
                      </w:pPr>
                      <w:r>
                        <w:rPr>
                          <w:sz w:val="17"/>
                        </w:rPr>
                        <w:t xml:space="preserve">Ilmestynyt painosta</w:t>
                        <w:br/>
                      </w:r>
                      <w:r>
                        <w:rPr>
                          <w:sz w:val="26"/>
                          <w:vertAlign w:val="subscript"/>
                        </w:rPr>
                        <w:t xml:space="preserve">13 päivänä helmikuuta 2018</w:t>
                      </w:r>
                    </w:p>
                  </w:txbxContent>
                </v:textbox>
              </v:shape>
            </w:pict>
          </mc:Fallback>
        </mc:AlternateContent>
      </w:r>
    </w:p>
    <w:p w14:paraId="395F59CD" w14:textId="77777777" w:rsidR="00551E3F" w:rsidRDefault="00DB4B0C" w:rsidP="00DA5828">
      <w:pPr>
        <w:spacing w:before="240" w:after="240" w:line="216" w:lineRule="auto"/>
        <w:ind w:left="0" w:firstLine="0"/>
        <w:jc w:val="left"/>
      </w:pPr>
      <w:r>
        <w:rPr>
          <w:b/>
          <w:sz w:val="26"/>
        </w:rPr>
        <w:t>Asetus</w:t>
      </w:r>
      <w:r>
        <w:rPr>
          <w:b/>
          <w:sz w:val="26"/>
        </w:rPr>
        <w:br/>
        <w:t>kemiallisten tuotteiden käsittelyyn, tuontiin ja vientiin tietyissä tapauksissa liittyvästä kiellosta ynnä muusta annetun asetuksen (1998:944) muuttamisesta;</w:t>
      </w:r>
    </w:p>
    <w:p w14:paraId="1A04D3D5" w14:textId="77777777" w:rsidR="00551E3F" w:rsidRDefault="00CC49D7" w:rsidP="00DA5828">
      <w:pPr>
        <w:spacing w:after="221"/>
        <w:ind w:left="0" w:firstLine="0"/>
      </w:pPr>
      <w:r>
        <w:t>annettu 1 päivänä helmikuuta 2018.</w:t>
      </w:r>
    </w:p>
    <w:p w14:paraId="463F5B5C" w14:textId="77777777" w:rsidR="00551E3F" w:rsidRDefault="00CC49D7" w:rsidP="00015EA3">
      <w:pPr>
        <w:spacing w:after="240"/>
        <w:ind w:left="0" w:firstLine="193"/>
      </w:pPr>
      <w:r>
        <w:t>Hallitus säätää</w:t>
      </w:r>
      <w:r>
        <w:rPr>
          <w:vertAlign w:val="superscript"/>
        </w:rPr>
        <w:footnoteReference w:id="1"/>
      </w:r>
      <w:r>
        <w:t xml:space="preserve"> kemiallisten tuotteiden käsittelyyn, tuontiin ja vientiin tietyissä tapauksissa liittyvästä kiellosta ynnä muusta annetun asetuksen (1998:944) osalta, </w:t>
      </w:r>
      <w:r>
        <w:rPr>
          <w:i/>
        </w:rPr>
        <w:t>että</w:t>
      </w:r>
      <w:r>
        <w:t xml:space="preserve"> 1 ja 5 § kuuluvat seuraavasti ja </w:t>
      </w:r>
      <w:r>
        <w:rPr>
          <w:i/>
        </w:rPr>
        <w:t>että</w:t>
      </w:r>
      <w:r>
        <w:t xml:space="preserve"> asetukseen lisätään neljä uutta pykälää, 1 a ja 4–4 b §, sekä ennen 4 §:ää uusi otsikko, jotka kuuluvat seuraavasti:</w:t>
      </w:r>
    </w:p>
    <w:p w14:paraId="07A0AF1E" w14:textId="77777777" w:rsidR="00551E3F" w:rsidRDefault="00CC49D7" w:rsidP="00DA5828">
      <w:pPr>
        <w:keepNext/>
        <w:keepLines/>
        <w:ind w:left="0" w:firstLine="0"/>
      </w:pPr>
      <w:r>
        <w:rPr>
          <w:b/>
        </w:rPr>
        <w:t>1 §</w:t>
      </w:r>
      <w:r>
        <w:rPr>
          <w:vertAlign w:val="superscript"/>
        </w:rPr>
        <w:footnoteReference w:id="2"/>
      </w:r>
      <w:r>
        <w:t xml:space="preserve"> Tämä asetus sisältää erityisiä säännöksiä, joilla kielletään tai muulla tavoin rajoitetaan seuraavien aineiden käsittelyä: </w:t>
      </w:r>
    </w:p>
    <w:p w14:paraId="3A6ACB72" w14:textId="77777777" w:rsidR="00551E3F" w:rsidRDefault="00CC49D7" w:rsidP="00015EA3">
      <w:pPr>
        <w:numPr>
          <w:ilvl w:val="0"/>
          <w:numId w:val="1"/>
        </w:numPr>
        <w:tabs>
          <w:tab w:val="left" w:pos="567"/>
        </w:tabs>
        <w:ind w:left="0" w:firstLine="192"/>
      </w:pPr>
      <w:r>
        <w:t>bisfenoli-A:ta tai bisfenoli-A-diglysidyylieetteriä sisältävä kaksikomponenttiepoksi,</w:t>
      </w:r>
    </w:p>
    <w:p w14:paraId="2E0B9B13" w14:textId="77777777" w:rsidR="00551E3F" w:rsidRDefault="00CC49D7" w:rsidP="00015EA3">
      <w:pPr>
        <w:numPr>
          <w:ilvl w:val="0"/>
          <w:numId w:val="1"/>
        </w:numPr>
        <w:tabs>
          <w:tab w:val="left" w:pos="567"/>
        </w:tabs>
        <w:ind w:left="0" w:firstLine="192"/>
      </w:pPr>
      <w:r>
        <w:t>kadmium,</w:t>
      </w:r>
    </w:p>
    <w:p w14:paraId="0E48E665" w14:textId="77777777" w:rsidR="00551E3F" w:rsidRDefault="00CC49D7" w:rsidP="00015EA3">
      <w:pPr>
        <w:numPr>
          <w:ilvl w:val="0"/>
          <w:numId w:val="1"/>
        </w:numPr>
        <w:pBdr>
          <w:left w:val="single" w:sz="4" w:space="4" w:color="auto"/>
        </w:pBdr>
        <w:tabs>
          <w:tab w:val="left" w:pos="567"/>
        </w:tabs>
        <w:ind w:left="0" w:firstLine="192"/>
      </w:pPr>
      <w:r>
        <w:t>muovihiukkaset kosmeettisissa valmisteissa,</w:t>
      </w:r>
    </w:p>
    <w:p w14:paraId="1DBB76E7" w14:textId="77777777" w:rsidR="00551E3F" w:rsidRDefault="00CC49D7" w:rsidP="00015EA3">
      <w:pPr>
        <w:numPr>
          <w:ilvl w:val="0"/>
          <w:numId w:val="1"/>
        </w:numPr>
        <w:pBdr>
          <w:left w:val="single" w:sz="4" w:space="4" w:color="auto"/>
        </w:pBdr>
        <w:tabs>
          <w:tab w:val="left" w:pos="567"/>
        </w:tabs>
        <w:ind w:left="0" w:firstLine="192"/>
      </w:pPr>
      <w:r>
        <w:t>klooratut liuottimet,</w:t>
      </w:r>
    </w:p>
    <w:p w14:paraId="3BCD36F6" w14:textId="77777777" w:rsidR="00551E3F" w:rsidRDefault="00CC49D7" w:rsidP="00015EA3">
      <w:pPr>
        <w:numPr>
          <w:ilvl w:val="0"/>
          <w:numId w:val="1"/>
        </w:numPr>
        <w:pBdr>
          <w:left w:val="single" w:sz="4" w:space="4" w:color="auto"/>
        </w:pBdr>
        <w:tabs>
          <w:tab w:val="left" w:pos="567"/>
        </w:tabs>
        <w:ind w:left="0" w:firstLine="192"/>
      </w:pPr>
      <w:r>
        <w:t>elohopea,</w:t>
      </w:r>
    </w:p>
    <w:p w14:paraId="4AC25A4D" w14:textId="77777777" w:rsidR="00551E3F" w:rsidRDefault="00CC49D7" w:rsidP="00015EA3">
      <w:pPr>
        <w:numPr>
          <w:ilvl w:val="0"/>
          <w:numId w:val="1"/>
        </w:numPr>
        <w:pBdr>
          <w:left w:val="single" w:sz="4" w:space="4" w:color="auto"/>
        </w:pBdr>
        <w:tabs>
          <w:tab w:val="left" w:pos="567"/>
        </w:tabs>
        <w:ind w:left="0" w:firstLine="192"/>
      </w:pPr>
      <w:r>
        <w:t>kadmium ja elohopea paristoissa,</w:t>
      </w:r>
    </w:p>
    <w:p w14:paraId="1D0F1B22" w14:textId="77777777" w:rsidR="00551E3F" w:rsidRDefault="00CC49D7" w:rsidP="00015EA3">
      <w:pPr>
        <w:numPr>
          <w:ilvl w:val="0"/>
          <w:numId w:val="1"/>
        </w:numPr>
        <w:pBdr>
          <w:left w:val="single" w:sz="4" w:space="4" w:color="auto"/>
        </w:pBdr>
        <w:tabs>
          <w:tab w:val="left" w:pos="567"/>
        </w:tabs>
        <w:ind w:left="0" w:firstLine="192"/>
      </w:pPr>
      <w:r>
        <w:t>raskasmetallit pakkauksissa,</w:t>
      </w:r>
    </w:p>
    <w:p w14:paraId="6790B50D" w14:textId="77777777" w:rsidR="00551E3F" w:rsidRDefault="00CC49D7" w:rsidP="00015EA3">
      <w:pPr>
        <w:numPr>
          <w:ilvl w:val="0"/>
          <w:numId w:val="1"/>
        </w:numPr>
        <w:pBdr>
          <w:left w:val="single" w:sz="4" w:space="4" w:color="auto"/>
        </w:pBdr>
        <w:tabs>
          <w:tab w:val="left" w:pos="567"/>
        </w:tabs>
        <w:ind w:left="0" w:firstLine="192"/>
      </w:pPr>
      <w:r>
        <w:t>ammukset, jotka sisältävät lyijyä,</w:t>
      </w:r>
    </w:p>
    <w:p w14:paraId="357E9B6D" w14:textId="77777777" w:rsidR="00551E3F" w:rsidRDefault="00CC49D7" w:rsidP="00015EA3">
      <w:pPr>
        <w:numPr>
          <w:ilvl w:val="0"/>
          <w:numId w:val="1"/>
        </w:numPr>
        <w:pBdr>
          <w:left w:val="single" w:sz="4" w:space="4" w:color="auto"/>
        </w:pBdr>
        <w:tabs>
          <w:tab w:val="left" w:pos="567"/>
        </w:tabs>
        <w:ind w:left="0" w:firstLine="192"/>
      </w:pPr>
      <w:r>
        <w:t>fosfaatteja sisältävät puhdistusaineet ja</w:t>
      </w:r>
    </w:p>
    <w:p w14:paraId="551D670F" w14:textId="77777777" w:rsidR="00551E3F" w:rsidRDefault="00CC49D7" w:rsidP="00015EA3">
      <w:pPr>
        <w:numPr>
          <w:ilvl w:val="0"/>
          <w:numId w:val="1"/>
        </w:numPr>
        <w:pBdr>
          <w:left w:val="single" w:sz="4" w:space="4" w:color="auto"/>
        </w:pBdr>
        <w:tabs>
          <w:tab w:val="left" w:pos="567"/>
        </w:tabs>
        <w:ind w:left="0" w:firstLine="192"/>
      </w:pPr>
      <w:r>
        <w:t>tietyt muut terveydelle ja ympäristölle vaaralliset kemialliset tuotteet ja aineet.</w:t>
      </w:r>
    </w:p>
    <w:p w14:paraId="640788B5" w14:textId="77777777" w:rsidR="00551E3F" w:rsidRDefault="00CC49D7" w:rsidP="00015EA3">
      <w:pPr>
        <w:spacing w:after="249"/>
        <w:ind w:left="0" w:firstLine="192"/>
      </w:pPr>
      <w:r>
        <w:t>Asetus ei koske elintarvikelain (2006:804), rehuista ja eläimistä saatavista sivutuotteista annetun lain (2006:805) tai lääkelain (2015:315) soveltamisalaan kuuluvia kemiallisia tuotteita ja bioteknisiä organismeja.</w:t>
      </w:r>
    </w:p>
    <w:p w14:paraId="101474ED" w14:textId="77777777" w:rsidR="00551E3F" w:rsidRDefault="00CC49D7" w:rsidP="00DA5828">
      <w:pPr>
        <w:keepNext/>
        <w:keepLines/>
        <w:pBdr>
          <w:left w:val="single" w:sz="4" w:space="4" w:color="auto"/>
        </w:pBdr>
        <w:ind w:left="0" w:firstLine="0"/>
      </w:pPr>
      <w:r>
        <w:rPr>
          <w:b/>
        </w:rPr>
        <w:lastRenderedPageBreak/>
        <w:t>1a §</w:t>
      </w:r>
      <w:r>
        <w:t xml:space="preserve"> Asetus annetaan seuraavien nojalla:</w:t>
      </w:r>
    </w:p>
    <w:p w14:paraId="7BD67485" w14:textId="77777777" w:rsidR="00551E3F" w:rsidRDefault="00CC49D7" w:rsidP="007058F2">
      <w:pPr>
        <w:numPr>
          <w:ilvl w:val="0"/>
          <w:numId w:val="2"/>
        </w:numPr>
        <w:pBdr>
          <w:left w:val="single" w:sz="4" w:space="4" w:color="auto"/>
        </w:pBdr>
        <w:ind w:left="426" w:hanging="285"/>
      </w:pPr>
      <w:r>
        <w:t>2–3 §:n, 5–11 §:n, 11 c – 14 §:n ja 14 b – 20 a §:n osalta ympäristökaaren 14 luvun 8 §,</w:t>
      </w:r>
    </w:p>
    <w:p w14:paraId="6D411D02" w14:textId="77777777" w:rsidR="00551E3F" w:rsidRDefault="00CC49D7" w:rsidP="007058F2">
      <w:pPr>
        <w:numPr>
          <w:ilvl w:val="0"/>
          <w:numId w:val="2"/>
        </w:numPr>
        <w:pBdr>
          <w:left w:val="single" w:sz="4" w:space="4" w:color="auto"/>
        </w:pBdr>
        <w:ind w:left="426" w:hanging="285"/>
      </w:pPr>
      <w:r>
        <w:t xml:space="preserve">4 a §:n osalta ympäristökaaren 15 luvun 40 §, </w:t>
      </w:r>
    </w:p>
    <w:p w14:paraId="7602B7F4" w14:textId="77777777" w:rsidR="00551E3F" w:rsidRDefault="00CC49D7" w:rsidP="007058F2">
      <w:pPr>
        <w:numPr>
          <w:ilvl w:val="0"/>
          <w:numId w:val="2"/>
        </w:numPr>
        <w:pBdr>
          <w:left w:val="single" w:sz="4" w:space="4" w:color="auto"/>
        </w:pBdr>
        <w:ind w:left="426" w:hanging="285"/>
      </w:pPr>
      <w:r>
        <w:t>21 §:n osalta perustuslain 8 luvun 11 § ja</w:t>
      </w:r>
    </w:p>
    <w:p w14:paraId="615810F0" w14:textId="77777777" w:rsidR="00551E3F" w:rsidRDefault="00CC49D7" w:rsidP="007058F2">
      <w:pPr>
        <w:numPr>
          <w:ilvl w:val="0"/>
          <w:numId w:val="2"/>
        </w:numPr>
        <w:pBdr>
          <w:left w:val="single" w:sz="4" w:space="4" w:color="auto"/>
        </w:pBdr>
        <w:ind w:left="426" w:hanging="285"/>
      </w:pPr>
      <w:r>
        <w:t>muiden säännösten osalta perustuslain 8 luvun 7 §.</w:t>
      </w:r>
    </w:p>
    <w:p w14:paraId="0A8EA66D" w14:textId="77777777" w:rsidR="00551E3F" w:rsidRDefault="00CC49D7" w:rsidP="00DA5828">
      <w:pPr>
        <w:pStyle w:val="Otsikko1"/>
        <w:pBdr>
          <w:left w:val="single" w:sz="4" w:space="4" w:color="auto"/>
        </w:pBdr>
        <w:ind w:left="0"/>
      </w:pPr>
      <w:r>
        <w:t>Muovihiukkaset kosmeettisissa valmisteissa</w:t>
      </w:r>
    </w:p>
    <w:p w14:paraId="1D9351E8" w14:textId="77777777" w:rsidR="00551E3F" w:rsidRDefault="00CC49D7" w:rsidP="00DA5828">
      <w:pPr>
        <w:pBdr>
          <w:left w:val="single" w:sz="4" w:space="4" w:color="auto"/>
        </w:pBdr>
        <w:ind w:left="0" w:firstLine="0"/>
      </w:pPr>
      <w:r>
        <w:rPr>
          <w:b/>
        </w:rPr>
        <w:t>4§</w:t>
      </w:r>
      <w:r>
        <w:rPr>
          <w:vertAlign w:val="superscript"/>
        </w:rPr>
        <w:footnoteReference w:id="3"/>
      </w:r>
      <w:r>
        <w:t xml:space="preserve"> Tässä pykälässä ja 4 a ja 4 b §:ssä käytetään seuraavia määritelmiä: </w:t>
      </w:r>
      <w:r>
        <w:rPr>
          <w:i/>
        </w:rPr>
        <w:t>kosmeettinen valmiste</w:t>
      </w:r>
      <w:r>
        <w:t xml:space="preserve">: kosmeettisista valmisteista annetun Euroopan parlamentin ja neuvoston asetuksen (EY) N:o 1223/2009 mukainen kosmeettinen valmiste, </w:t>
      </w:r>
    </w:p>
    <w:p w14:paraId="37B9EE80" w14:textId="77777777" w:rsidR="008062AA" w:rsidRDefault="00CC49D7" w:rsidP="008062AA">
      <w:pPr>
        <w:pBdr>
          <w:left w:val="single" w:sz="4" w:space="4" w:color="auto"/>
        </w:pBdr>
        <w:spacing w:after="0"/>
        <w:ind w:left="0" w:firstLine="193"/>
      </w:pPr>
      <w:r>
        <w:rPr>
          <w:i/>
        </w:rPr>
        <w:t>muovi</w:t>
      </w:r>
      <w:r>
        <w:t xml:space="preserve">: kemikaalien rekisteröinnistä, arvioinnista, lupamenettelyistä ja rajoituksista (REACH), Euroopan kemikaaliviraston perustamisesta, direktiivin 1999/45/EY muuttamisesta sekä neuvoston asetuksen (ETY) N:o 793/93, komission asetuksen (EY) N:o 1488/94, neuvoston direktiivin 76/769/ETY ja komission direktiivien 91/155/ETY, 93/67/ETY, 93/105/EY ja 2000/21/EY kumoamisesta 18 päivänä joulukuuta 2006 annetun Euroopan parlamentin ja neuvoston asetuksen(EY) N:o 1907/2006 3 artiklan 5 kohdan mukainen polymeeri, johon on saatettu lisätä lisäaineita tai muita aineita, </w:t>
      </w:r>
      <w:r w:rsidRPr="009347B5">
        <w:rPr>
          <w:i/>
        </w:rPr>
        <w:t>muovihiukkaset</w:t>
      </w:r>
      <w:r>
        <w:t>: kiinteät muoviset hiukkaset, jotka ovat kooltaan alle viisi millimetriä minkä tahansa mitan osalta ja jotka eivät liukene veteen,</w:t>
      </w:r>
    </w:p>
    <w:p w14:paraId="72FF6755" w14:textId="77777777" w:rsidR="008062AA" w:rsidRDefault="00CC49D7" w:rsidP="008062AA">
      <w:pPr>
        <w:pBdr>
          <w:left w:val="single" w:sz="4" w:space="4" w:color="auto"/>
        </w:pBdr>
        <w:spacing w:after="0"/>
        <w:ind w:left="0" w:firstLine="193"/>
      </w:pPr>
      <w:r w:rsidRPr="009347B5">
        <w:rPr>
          <w:i/>
        </w:rPr>
        <w:t>luonnossa esiintyvä polymeeri</w:t>
      </w:r>
      <w:r>
        <w:t>: polymeeri, jota esiintyy luonnollisesti ympäristössä ja jonka kemiallista rakennetta ei ole muutettu, jos se on käynyt läpi kemiallisen prosessin tai käsittelyn taikka sitä on käsitelty fysikaalis-mineralogisessa muuntoprosessissa,</w:t>
      </w:r>
    </w:p>
    <w:p w14:paraId="4B2C28FB" w14:textId="77777777" w:rsidR="00551E3F" w:rsidRDefault="00CC49D7" w:rsidP="007058F2">
      <w:pPr>
        <w:pBdr>
          <w:left w:val="single" w:sz="4" w:space="4" w:color="auto"/>
        </w:pBdr>
        <w:spacing w:after="232"/>
        <w:ind w:left="0" w:firstLine="192"/>
      </w:pPr>
      <w:r w:rsidRPr="009347B5">
        <w:rPr>
          <w:i/>
        </w:rPr>
        <w:t>asettaminen saataville markkinoilla</w:t>
      </w:r>
      <w:r>
        <w:t>: aina kun tuote asetetaan jakelua, kulutusta tai käyttöä varten saataville Ruotsin markkinoilla kaupallisen toiminnan yhteydessä joko maksua vastaan tai ilmaiseksi.</w:t>
      </w:r>
    </w:p>
    <w:p w14:paraId="782CFDD2" w14:textId="77777777" w:rsidR="00551E3F" w:rsidRDefault="00CC49D7" w:rsidP="00DA5828">
      <w:pPr>
        <w:pBdr>
          <w:left w:val="single" w:sz="4" w:space="4" w:color="auto"/>
        </w:pBdr>
        <w:ind w:left="0" w:firstLine="0"/>
      </w:pPr>
      <w:r>
        <w:rPr>
          <w:b/>
        </w:rPr>
        <w:t>4 a §</w:t>
      </w:r>
      <w:r>
        <w:rPr>
          <w:vertAlign w:val="superscript"/>
        </w:rPr>
        <w:footnoteReference w:id="4"/>
      </w:r>
      <w:r>
        <w:t xml:space="preserve"> On kiellettyä asettaa saataville markkinoilla kosmeettisia valmisteita, jotka on tarkoitus huuhdella tai sylkeä pois sen jälkeen kun niitä on käytetty iholla, hiuksissa, limakalvoilla tai hampaissa ja jotka sisältävät sellaisia muovihiukkasia, jotka on lisätty niiden puhdistavien, kuorivien tai kiillottavien vaikutusten takia.</w:t>
      </w:r>
      <w:bookmarkStart w:id="0" w:name="_GoBack"/>
      <w:bookmarkEnd w:id="0"/>
    </w:p>
    <w:p w14:paraId="71125CEB" w14:textId="77777777" w:rsidR="00551E3F" w:rsidRDefault="00CC49D7" w:rsidP="007058F2">
      <w:pPr>
        <w:pBdr>
          <w:left w:val="single" w:sz="4" w:space="4" w:color="auto"/>
        </w:pBdr>
        <w:spacing w:after="232"/>
        <w:ind w:left="0" w:firstLine="192"/>
      </w:pPr>
      <w:r>
        <w:t xml:space="preserve">Kielto ei koske sellaisia muovihiukkasia sisältäviä kosmeettisia valmisteita, jotka koostuvat ainoastaan luonnossa esiintyvistä polymeereistä. </w:t>
      </w:r>
    </w:p>
    <w:p w14:paraId="6883987B" w14:textId="77777777" w:rsidR="00551E3F" w:rsidRDefault="00CC49D7" w:rsidP="00DA5828">
      <w:pPr>
        <w:keepNext/>
        <w:keepLines/>
        <w:pBdr>
          <w:left w:val="single" w:sz="4" w:space="4" w:color="auto"/>
        </w:pBdr>
        <w:ind w:left="0" w:firstLine="0"/>
      </w:pPr>
      <w:r>
        <w:rPr>
          <w:b/>
        </w:rPr>
        <w:t>4 b §</w:t>
      </w:r>
      <w:r>
        <w:rPr>
          <w:vertAlign w:val="superscript"/>
        </w:rPr>
        <w:footnoteReference w:id="5"/>
      </w:r>
      <w:r>
        <w:t xml:space="preserve"> Kemikaalivirasto voi antaa määräyksiä poikkeuksista tai yksittäistapauksissa myöntää poikkeuksia 4 a §:ssä tarkoitetusta kiellosta sellaisia muovihiukkasia sisältäville kosmeettisille valmisteille, </w:t>
      </w:r>
    </w:p>
    <w:p w14:paraId="1B7DA34B" w14:textId="77777777" w:rsidR="00551E3F" w:rsidRDefault="00CC49D7" w:rsidP="007058F2">
      <w:pPr>
        <w:numPr>
          <w:ilvl w:val="0"/>
          <w:numId w:val="3"/>
        </w:numPr>
        <w:pBdr>
          <w:left w:val="single" w:sz="4" w:space="4" w:color="auto"/>
        </w:pBdr>
        <w:tabs>
          <w:tab w:val="left" w:pos="567"/>
        </w:tabs>
        <w:ind w:left="0" w:firstLine="192"/>
      </w:pPr>
      <w:r>
        <w:t xml:space="preserve">joiden valmistuksessa on käytetty raaka-aineena luonnossa esiintyviä polymeerejä ja </w:t>
      </w:r>
    </w:p>
    <w:p w14:paraId="3DEE2A58" w14:textId="77777777" w:rsidR="00551E3F" w:rsidRDefault="00CC49D7" w:rsidP="007058F2">
      <w:pPr>
        <w:numPr>
          <w:ilvl w:val="0"/>
          <w:numId w:val="3"/>
        </w:numPr>
        <w:pBdr>
          <w:left w:val="single" w:sz="4" w:space="4" w:color="auto"/>
        </w:pBdr>
        <w:tabs>
          <w:tab w:val="left" w:pos="567"/>
        </w:tabs>
        <w:ind w:left="0" w:firstLine="192"/>
      </w:pPr>
      <w:r>
        <w:lastRenderedPageBreak/>
        <w:t xml:space="preserve">jotka hajoavat vesiympäristöissä nopeasti monomeereiksi ja jotka eivät aiheuta vahingoittumisvaaraa vesieliöille. </w:t>
      </w:r>
    </w:p>
    <w:p w14:paraId="74DB5159" w14:textId="77777777" w:rsidR="00551E3F" w:rsidRDefault="00CC49D7" w:rsidP="007058F2">
      <w:pPr>
        <w:pBdr>
          <w:left w:val="single" w:sz="4" w:space="4" w:color="auto"/>
        </w:pBdr>
        <w:spacing w:after="231"/>
        <w:ind w:left="0" w:firstLine="192"/>
      </w:pPr>
      <w:r>
        <w:t>Kosmeettiset valmisteet, joita pidetään laillisesti kaupan muiden Euroopan unionin jäsenvaltioiden tai Turkin lainsäädännön mukaisesti tai jotka on valmistettu laillisesti Euroopan talousalueesta tehdyn sopimuksen allekirjoittaneessa maassa, vapautetaan kiellosta, jos kyseisten maiden lainsäädännössä taataan vastaava suojauksen taso.</w:t>
      </w:r>
    </w:p>
    <w:p w14:paraId="1CCCCC4E" w14:textId="77777777" w:rsidR="00551E3F" w:rsidRDefault="00CC49D7" w:rsidP="00DA5828">
      <w:pPr>
        <w:ind w:left="0" w:firstLine="0"/>
      </w:pPr>
      <w:r>
        <w:rPr>
          <w:b/>
        </w:rPr>
        <w:t>5 §</w:t>
      </w:r>
      <w:r w:rsidR="00E812AA">
        <w:rPr>
          <w:rStyle w:val="Alaviitteenviite"/>
          <w:b/>
        </w:rPr>
        <w:footnoteReference w:id="6"/>
      </w:r>
      <w:r>
        <w:t xml:space="preserve"> Kemiallisia tuotteita, jotka koostuvat kokonaan tai osittain metyleenikloridista tai tetrakloorieteenistä, ei saa saattaa markkinoille tai luovuttaa kuluttajille yksityiseen käyttöön.</w:t>
      </w:r>
    </w:p>
    <w:p w14:paraId="77C6814F" w14:textId="77777777" w:rsidR="00551E3F" w:rsidRDefault="00CC49D7" w:rsidP="00E812AA">
      <w:pPr>
        <w:spacing w:after="0"/>
        <w:ind w:left="0" w:firstLine="193"/>
      </w:pPr>
      <w:r>
        <w:t>Kemikaalivirasto voi antaa määräyksiä, joiden mukaan etyleenikloridia tai tetrakloorieteeniä sisältäviä tuotteita ei saa saattaa markkinoille tai luovuttaa kuluttajille yksityiseen käyttöön.</w:t>
      </w:r>
    </w:p>
    <w:p w14:paraId="155B9DA7" w14:textId="77777777" w:rsidR="00551E3F" w:rsidRDefault="00CC49D7" w:rsidP="007058F2">
      <w:pPr>
        <w:pBdr>
          <w:left w:val="single" w:sz="4" w:space="4" w:color="auto"/>
        </w:pBdr>
        <w:spacing w:after="241"/>
        <w:ind w:left="0" w:firstLine="192"/>
      </w:pPr>
      <w:r>
        <w:t>Metyleenikloridia koskevaa kieltoa sovelletaan vain, jos vastaavaa kieltoa ei vielä sovelleta asetuksen (EY) N:o 1907/2006 liitteessä XVII olevan 59 kohdan 1 alakohdan nojalla.</w:t>
      </w:r>
    </w:p>
    <w:p w14:paraId="76BBBD25" w14:textId="77777777" w:rsidR="007058F2" w:rsidRDefault="007058F2" w:rsidP="007058F2">
      <w:pPr>
        <w:tabs>
          <w:tab w:val="left" w:leader="underscore" w:pos="1276"/>
        </w:tabs>
        <w:spacing w:after="120"/>
        <w:ind w:left="0" w:firstLine="142"/>
      </w:pPr>
      <w:r>
        <w:tab/>
      </w:r>
    </w:p>
    <w:p w14:paraId="1B543E76" w14:textId="77777777" w:rsidR="00551E3F" w:rsidRDefault="00CC49D7" w:rsidP="00E812AA">
      <w:pPr>
        <w:numPr>
          <w:ilvl w:val="0"/>
          <w:numId w:val="4"/>
        </w:numPr>
        <w:tabs>
          <w:tab w:val="left" w:pos="567"/>
        </w:tabs>
        <w:ind w:left="0" w:firstLine="192"/>
      </w:pPr>
      <w:r>
        <w:t>Tämä asetus tulee voimaan 1 päivänä heinäkuuta 2018.</w:t>
      </w:r>
    </w:p>
    <w:p w14:paraId="09ECFED3" w14:textId="77777777" w:rsidR="00551E3F" w:rsidRDefault="00CC49D7" w:rsidP="00E812AA">
      <w:pPr>
        <w:numPr>
          <w:ilvl w:val="0"/>
          <w:numId w:val="4"/>
        </w:numPr>
        <w:tabs>
          <w:tab w:val="left" w:pos="567"/>
        </w:tabs>
        <w:spacing w:after="224"/>
        <w:ind w:left="0" w:firstLine="192"/>
      </w:pPr>
      <w:r>
        <w:t xml:space="preserve">Edellä 4 a §:ssä säädetystä kiellosta huolimatta ennen 1 päivää heinäkuuta 2018 laillisesti markkinoille saataville asetettujen kosmeettisten valmisteiden olemassa olevia varastoja saa pitää saatavilla markkinoilla vuoden 2018 joulukuun loppuun saakka. </w:t>
      </w:r>
    </w:p>
    <w:p w14:paraId="63F8A2D7" w14:textId="77777777" w:rsidR="00551E3F" w:rsidRDefault="00CC49D7" w:rsidP="00DA5828">
      <w:pPr>
        <w:spacing w:after="225"/>
        <w:ind w:left="0" w:firstLine="0"/>
      </w:pPr>
      <w:r>
        <w:t>Hallituksen puolesta</w:t>
      </w:r>
    </w:p>
    <w:p w14:paraId="548C092A" w14:textId="77777777" w:rsidR="00551E3F" w:rsidRDefault="00CC49D7" w:rsidP="00DA5828">
      <w:pPr>
        <w:ind w:left="0" w:firstLine="0"/>
      </w:pPr>
      <w:r>
        <w:t>KAROLINA SKOG</w:t>
      </w:r>
    </w:p>
    <w:p w14:paraId="1B488227" w14:textId="77777777" w:rsidR="00551E3F" w:rsidRDefault="00CC49D7" w:rsidP="00825642">
      <w:pPr>
        <w:keepNext/>
        <w:keepLines/>
        <w:spacing w:after="0" w:line="265" w:lineRule="auto"/>
        <w:ind w:left="2835" w:firstLine="0"/>
        <w:jc w:val="left"/>
      </w:pPr>
      <w:r>
        <w:t>Egon Abresparr</w:t>
      </w:r>
    </w:p>
    <w:p w14:paraId="47B5C93D" w14:textId="77777777" w:rsidR="00551E3F" w:rsidRDefault="00CC49D7" w:rsidP="00825642">
      <w:pPr>
        <w:spacing w:after="0" w:line="264" w:lineRule="auto"/>
        <w:ind w:left="2835" w:firstLine="0"/>
        <w:jc w:val="left"/>
      </w:pPr>
      <w:r>
        <w:t>(ympäristö- ja energiaministeriö)</w:t>
      </w:r>
    </w:p>
    <w:p w14:paraId="23F61668" w14:textId="77777777" w:rsidR="007058F2" w:rsidRDefault="00CC49D7" w:rsidP="00651E3A">
      <w:pPr>
        <w:pageBreakBefore/>
        <w:spacing w:before="10920" w:after="0" w:line="259" w:lineRule="auto"/>
        <w:ind w:left="0" w:firstLine="0"/>
        <w:jc w:val="right"/>
        <w:rPr>
          <w:sz w:val="11"/>
        </w:rPr>
      </w:pPr>
      <w:r>
        <w:rPr>
          <w:sz w:val="11"/>
        </w:rPr>
        <w:lastRenderedPageBreak/>
        <w:t>Norstedts Juridik AB</w:t>
      </w:r>
    </w:p>
    <w:p w14:paraId="32C6672D" w14:textId="77777777" w:rsidR="00551E3F" w:rsidRPr="007058F2" w:rsidRDefault="00CC49D7" w:rsidP="007058F2">
      <w:pPr>
        <w:spacing w:after="0" w:line="259" w:lineRule="auto"/>
        <w:ind w:left="0" w:firstLine="0"/>
        <w:jc w:val="right"/>
        <w:rPr>
          <w:sz w:val="11"/>
        </w:rPr>
      </w:pPr>
      <w:r>
        <w:rPr>
          <w:sz w:val="11"/>
        </w:rPr>
        <w:t>Elanders Sverige AB, 2018</w:t>
      </w:r>
    </w:p>
    <w:sectPr w:rsidR="00551E3F" w:rsidRPr="007058F2" w:rsidSect="00E812AA">
      <w:headerReference w:type="even" r:id="rId9"/>
      <w:headerReference w:type="default" r:id="rId10"/>
      <w:footerReference w:type="even" r:id="rId11"/>
      <w:footerReference w:type="default" r:id="rId12"/>
      <w:footerReference w:type="first" r:id="rId13"/>
      <w:pgSz w:w="9354" w:h="13720"/>
      <w:pgMar w:top="680" w:right="2353" w:bottom="1361" w:left="1134" w:header="720" w:footer="720"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63CE9" w14:textId="77777777" w:rsidR="00C17EB4" w:rsidRDefault="00C17EB4">
      <w:pPr>
        <w:spacing w:after="0" w:line="240" w:lineRule="auto"/>
      </w:pPr>
      <w:r>
        <w:separator/>
      </w:r>
    </w:p>
  </w:endnote>
  <w:endnote w:type="continuationSeparator" w:id="0">
    <w:p w14:paraId="770D9036" w14:textId="77777777" w:rsidR="00C17EB4" w:rsidRDefault="00C17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2FFF" w14:textId="77777777" w:rsidR="007058F2" w:rsidRDefault="007058F2" w:rsidP="007058F2">
    <w:pPr>
      <w:pStyle w:val="Alatunniste"/>
      <w:tabs>
        <w:tab w:val="clear" w:pos="4320"/>
      </w:tabs>
      <w:ind w:left="-1276" w:firstLine="0"/>
      <w:jc w:val="left"/>
    </w:pPr>
    <w:r>
      <w:fldChar w:fldCharType="begin"/>
    </w:r>
    <w:r>
      <w:instrText xml:space="preserve"> PAGE   \* MERGEFORMAT </w:instrText>
    </w:r>
    <w:r>
      <w:fldChar w:fldCharType="separate"/>
    </w:r>
    <w:r w:rsidR="00943D0F">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6319" w14:textId="77777777" w:rsidR="007058F2" w:rsidRDefault="007058F2" w:rsidP="007058F2">
    <w:pPr>
      <w:pStyle w:val="Alatunniste"/>
      <w:tabs>
        <w:tab w:val="clear" w:pos="4320"/>
      </w:tabs>
      <w:ind w:left="0" w:right="-1221" w:firstLine="0"/>
      <w:jc w:val="right"/>
    </w:pPr>
    <w:r>
      <w:fldChar w:fldCharType="begin"/>
    </w:r>
    <w:r>
      <w:instrText xml:space="preserve"> PAGE   \* MERGEFORMAT </w:instrText>
    </w:r>
    <w:r>
      <w:fldChar w:fldCharType="separate"/>
    </w:r>
    <w:r w:rsidR="00943D0F">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6098" w14:textId="77777777" w:rsidR="007058F2" w:rsidRDefault="007058F2" w:rsidP="007058F2">
    <w:pPr>
      <w:pStyle w:val="Alatunniste"/>
      <w:tabs>
        <w:tab w:val="clear" w:pos="4320"/>
      </w:tabs>
      <w:ind w:left="0" w:right="-1221" w:firstLine="0"/>
      <w:jc w:val="right"/>
    </w:pPr>
    <w:r>
      <w:fldChar w:fldCharType="begin"/>
    </w:r>
    <w:r>
      <w:instrText xml:space="preserve"> PAGE   \* MERGEFORMAT </w:instrText>
    </w:r>
    <w:r>
      <w:fldChar w:fldCharType="separate"/>
    </w:r>
    <w:r w:rsidR="00943D0F">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DE21F" w14:textId="77777777" w:rsidR="00C17EB4" w:rsidRDefault="00C17EB4" w:rsidP="00E812AA">
      <w:pPr>
        <w:spacing w:after="0" w:line="230" w:lineRule="auto"/>
        <w:ind w:left="0" w:right="1837" w:firstLine="0"/>
      </w:pPr>
      <w:r>
        <w:separator/>
      </w:r>
    </w:p>
  </w:footnote>
  <w:footnote w:type="continuationSeparator" w:id="0">
    <w:p w14:paraId="1223A850" w14:textId="77777777" w:rsidR="00C17EB4" w:rsidRDefault="00C17EB4">
      <w:pPr>
        <w:spacing w:after="0" w:line="230" w:lineRule="auto"/>
        <w:ind w:left="412" w:right="1837" w:firstLine="0"/>
      </w:pPr>
      <w:r>
        <w:continuationSeparator/>
      </w:r>
    </w:p>
  </w:footnote>
  <w:footnote w:id="1">
    <w:p w14:paraId="5E1C3BEC" w14:textId="77777777" w:rsidR="00551E3F" w:rsidRPr="00E812AA" w:rsidRDefault="00CC49D7" w:rsidP="00E812AA">
      <w:pPr>
        <w:pStyle w:val="footnotedescription"/>
        <w:spacing w:line="240" w:lineRule="auto"/>
        <w:ind w:left="0"/>
        <w:jc w:val="both"/>
        <w:rPr>
          <w:szCs w:val="17"/>
        </w:rPr>
      </w:pPr>
      <w:r>
        <w:rPr>
          <w:rStyle w:val="footnotemark"/>
          <w:szCs w:val="17"/>
        </w:rPr>
        <w:footnoteRef/>
      </w:r>
      <w:r>
        <w:t xml:space="preserve"> Katso teknisiä määräyksiä ja tietoyhteiskunnan palveluja koskevia määräyksiä koskevien tietojen toimittamisessa noudatettavasta menettelystä 9 päivänä syyskuuta 2015 annettu Euroopan parlamentin ja neuvoston direktiivi (EU) 2015/1535.</w:t>
      </w:r>
    </w:p>
  </w:footnote>
  <w:footnote w:id="2">
    <w:p w14:paraId="7C33A9B8" w14:textId="77777777" w:rsidR="00551E3F" w:rsidRPr="00E812AA" w:rsidRDefault="00CC49D7" w:rsidP="00E812AA">
      <w:pPr>
        <w:pStyle w:val="footnotedescription"/>
        <w:tabs>
          <w:tab w:val="center" w:pos="1348"/>
          <w:tab w:val="right" w:pos="8146"/>
        </w:tabs>
        <w:spacing w:line="240" w:lineRule="auto"/>
        <w:ind w:left="0"/>
        <w:jc w:val="both"/>
        <w:rPr>
          <w:szCs w:val="17"/>
        </w:rPr>
      </w:pPr>
      <w:r>
        <w:rPr>
          <w:rStyle w:val="footnotemark"/>
          <w:szCs w:val="17"/>
        </w:rPr>
        <w:footnoteRef/>
      </w:r>
      <w:r>
        <w:t xml:space="preserve"> Viimeisin sanamuoto 2016:829.</w:t>
      </w:r>
    </w:p>
  </w:footnote>
  <w:footnote w:id="3">
    <w:p w14:paraId="6502E1A4" w14:textId="77777777" w:rsidR="00551E3F" w:rsidRPr="00E812AA" w:rsidRDefault="00CC49D7" w:rsidP="00E812AA">
      <w:pPr>
        <w:pStyle w:val="footnotedescription"/>
        <w:spacing w:line="240" w:lineRule="auto"/>
        <w:ind w:left="0"/>
        <w:jc w:val="both"/>
        <w:rPr>
          <w:szCs w:val="17"/>
        </w:rPr>
      </w:pPr>
      <w:r>
        <w:rPr>
          <w:rStyle w:val="footnotemark"/>
          <w:szCs w:val="17"/>
        </w:rPr>
        <w:footnoteRef/>
      </w:r>
      <w:r>
        <w:t xml:space="preserve"> Aiempi 4 § on kumottu asetuksella 2009:954.</w:t>
      </w:r>
    </w:p>
  </w:footnote>
  <w:footnote w:id="4">
    <w:p w14:paraId="3A973CB3" w14:textId="77777777" w:rsidR="00551E3F" w:rsidRPr="00E812AA" w:rsidRDefault="00CC49D7" w:rsidP="00E812AA">
      <w:pPr>
        <w:pStyle w:val="footnotedescription"/>
        <w:spacing w:line="240" w:lineRule="auto"/>
        <w:ind w:left="0"/>
        <w:jc w:val="both"/>
        <w:rPr>
          <w:szCs w:val="17"/>
        </w:rPr>
      </w:pPr>
      <w:r>
        <w:rPr>
          <w:rStyle w:val="footnotemark"/>
          <w:szCs w:val="17"/>
        </w:rPr>
        <w:footnoteRef/>
      </w:r>
      <w:r>
        <w:t xml:space="preserve"> Aiempi 4 a § pykälä on kumottu asetuksella 2008:255.</w:t>
      </w:r>
    </w:p>
  </w:footnote>
  <w:footnote w:id="5">
    <w:p w14:paraId="57007CFD" w14:textId="77777777" w:rsidR="00551E3F" w:rsidRPr="00E812AA" w:rsidRDefault="00CC49D7" w:rsidP="00825642">
      <w:pPr>
        <w:pStyle w:val="footnotedescription"/>
        <w:spacing w:line="240" w:lineRule="auto"/>
        <w:ind w:left="0"/>
        <w:jc w:val="both"/>
        <w:rPr>
          <w:szCs w:val="17"/>
        </w:rPr>
      </w:pPr>
      <w:r>
        <w:rPr>
          <w:rStyle w:val="footnotemark"/>
          <w:szCs w:val="17"/>
        </w:rPr>
        <w:footnoteRef/>
      </w:r>
      <w:r>
        <w:t xml:space="preserve"> Aiempi 4 b pykälä on kumottu asetuksella 2008:255.</w:t>
      </w:r>
    </w:p>
  </w:footnote>
  <w:footnote w:id="6">
    <w:p w14:paraId="48C7C735" w14:textId="77777777" w:rsidR="00E812AA" w:rsidRPr="00E812AA" w:rsidRDefault="00E812AA" w:rsidP="00825642">
      <w:pPr>
        <w:pStyle w:val="footnotedescription"/>
        <w:spacing w:line="240" w:lineRule="auto"/>
        <w:ind w:left="0"/>
        <w:jc w:val="both"/>
        <w:rPr>
          <w:rFonts w:eastAsia="SimSun"/>
          <w:szCs w:val="17"/>
        </w:rPr>
      </w:pPr>
      <w:r>
        <w:rPr>
          <w:szCs w:val="17"/>
          <w:vertAlign w:val="superscript"/>
        </w:rPr>
        <w:footnoteRef/>
      </w:r>
      <w:r>
        <w:t xml:space="preserve"> Viimeisin sanamuoto 2016:144.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7487" w14:textId="77777777" w:rsidR="00E812AA" w:rsidRDefault="00643102" w:rsidP="00E812AA">
    <w:pPr>
      <w:pStyle w:val="Yltunniste"/>
      <w:ind w:left="0" w:firstLine="0"/>
    </w:pPr>
    <w:r>
      <w:rPr>
        <w:noProof/>
      </w:rPr>
      <mc:AlternateContent>
        <mc:Choice Requires="wps">
          <w:drawing>
            <wp:anchor distT="0" distB="0" distL="114300" distR="114300" simplePos="0" relativeHeight="251658240" behindDoc="0" locked="0" layoutInCell="1" allowOverlap="1" wp14:anchorId="4BF16968" wp14:editId="07659513">
              <wp:simplePos x="0" y="0"/>
              <wp:positionH relativeFrom="column">
                <wp:posOffset>-1273810</wp:posOffset>
              </wp:positionH>
              <wp:positionV relativeFrom="paragraph">
                <wp:posOffset>104775</wp:posOffset>
              </wp:positionV>
              <wp:extent cx="1143000" cy="457200"/>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4C063" w14:textId="77777777" w:rsidR="00E812AA" w:rsidRPr="00E812AA" w:rsidRDefault="00E812AA" w:rsidP="00E812AA">
                          <w:pPr>
                            <w:ind w:left="0"/>
                            <w:rPr>
                              <w:b/>
                            </w:rPr>
                          </w:pPr>
                          <w:r>
                            <w:rPr>
                              <w:b/>
                            </w:rPr>
                            <w:t>SFS 2018:55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00.3pt;margin-top:8.25pt;width: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" stroked="f">
              <v:textbox>
                <w:txbxContent>
                  <w:p w:rsidR="00E812AA" w:rsidRPr="00E812AA" w:rsidRDefault="00E812AA" w:rsidP="00E812AA">
                    <w:pPr>
                      <w:ind w:left="0"/>
                      <w:rPr>
                        <w:b/>
                      </w:rPr>
                    </w:pPr>
                    <w:r>
                      <w:rPr>
                        <w:b/>
                      </w:rPr>
                      <w:t xml:space="preserve">SFS 2018:55</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E6A1F" w14:textId="77777777" w:rsidR="00E812AA" w:rsidRPr="00E812AA" w:rsidRDefault="00643102" w:rsidP="00E812AA">
    <w:pPr>
      <w:pStyle w:val="Yltunniste"/>
      <w:ind w:left="-1701" w:firstLine="0"/>
      <w:rPr>
        <w:b/>
      </w:rPr>
    </w:pPr>
    <w:r>
      <w:rPr>
        <w:b/>
        <w:noProof/>
      </w:rPr>
      <mc:AlternateContent>
        <mc:Choice Requires="wps">
          <w:drawing>
            <wp:anchor distT="0" distB="0" distL="114300" distR="114300" simplePos="0" relativeHeight="251657216" behindDoc="0" locked="0" layoutInCell="1" allowOverlap="1" wp14:anchorId="5F14A8A8" wp14:editId="36971C0F">
              <wp:simplePos x="0" y="0"/>
              <wp:positionH relativeFrom="column">
                <wp:posOffset>3977005</wp:posOffset>
              </wp:positionH>
              <wp:positionV relativeFrom="paragraph">
                <wp:posOffset>114300</wp:posOffset>
              </wp:positionV>
              <wp:extent cx="1143000" cy="4572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01738" w14:textId="77777777" w:rsidR="00E812AA" w:rsidRPr="00E812AA" w:rsidRDefault="00E812AA">
                          <w:pPr>
                            <w:ind w:left="0"/>
                            <w:rPr>
                              <w:b/>
                            </w:rPr>
                          </w:pPr>
                          <w:r>
                            <w:rPr>
                              <w:b/>
                            </w:rPr>
                            <w:t>SFS 2018:55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313.15pt;margin-top:9pt;width:90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" stroked="f">
              <v:textbox>
                <w:txbxContent>
                  <w:p w:rsidR="00E812AA" w:rsidRPr="00E812AA" w:rsidRDefault="00E812AA">
                    <w:pPr>
                      <w:ind w:left="0"/>
                      <w:rPr>
                        <w:b/>
                      </w:rPr>
                    </w:pPr>
                    <w:r>
                      <w:rPr>
                        <w:b/>
                      </w:rPr>
                      <w:t xml:space="preserve">SFS 2018:55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338C0"/>
    <w:multiLevelType w:val="hybridMultilevel"/>
    <w:tmpl w:val="B5A2AEDA"/>
    <w:lvl w:ilvl="0" w:tplc="88E671A2">
      <w:start w:val="1"/>
      <w:numFmt w:val="decimal"/>
      <w:lvlText w:val="%1."/>
      <w:lvlJc w:val="left"/>
      <w:pPr>
        <w:ind w:left="4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46E0632">
      <w:start w:val="1"/>
      <w:numFmt w:val="lowerLetter"/>
      <w:lvlText w:val="%2"/>
      <w:lvlJc w:val="left"/>
      <w:pPr>
        <w:ind w:left="1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D7A40B8">
      <w:start w:val="1"/>
      <w:numFmt w:val="lowerRoman"/>
      <w:lvlText w:val="%3"/>
      <w:lvlJc w:val="left"/>
      <w:pPr>
        <w:ind w:left="19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94EE1A4">
      <w:start w:val="1"/>
      <w:numFmt w:val="decimal"/>
      <w:lvlText w:val="%4"/>
      <w:lvlJc w:val="left"/>
      <w:pPr>
        <w:ind w:left="27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CCADB12">
      <w:start w:val="1"/>
      <w:numFmt w:val="lowerLetter"/>
      <w:lvlText w:val="%5"/>
      <w:lvlJc w:val="left"/>
      <w:pPr>
        <w:ind w:left="34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4FEE712">
      <w:start w:val="1"/>
      <w:numFmt w:val="lowerRoman"/>
      <w:lvlText w:val="%6"/>
      <w:lvlJc w:val="left"/>
      <w:pPr>
        <w:ind w:left="41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A8E30C6">
      <w:start w:val="1"/>
      <w:numFmt w:val="decimal"/>
      <w:lvlText w:val="%7"/>
      <w:lvlJc w:val="left"/>
      <w:pPr>
        <w:ind w:left="48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58C012C">
      <w:start w:val="1"/>
      <w:numFmt w:val="lowerLetter"/>
      <w:lvlText w:val="%8"/>
      <w:lvlJc w:val="left"/>
      <w:pPr>
        <w:ind w:left="55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1661DFE">
      <w:start w:val="1"/>
      <w:numFmt w:val="lowerRoman"/>
      <w:lvlText w:val="%9"/>
      <w:lvlJc w:val="left"/>
      <w:pPr>
        <w:ind w:left="63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5C5A280A"/>
    <w:multiLevelType w:val="hybridMultilevel"/>
    <w:tmpl w:val="97A4D7A8"/>
    <w:lvl w:ilvl="0" w:tplc="DEBEB0CE">
      <w:start w:val="1"/>
      <w:numFmt w:val="decimal"/>
      <w:lvlText w:val="%1."/>
      <w:lvlJc w:val="left"/>
      <w:pPr>
        <w:ind w:left="3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96AEBAC">
      <w:start w:val="1"/>
      <w:numFmt w:val="lowerLetter"/>
      <w:lvlText w:val="%2"/>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F4072B4">
      <w:start w:val="1"/>
      <w:numFmt w:val="lowerRoman"/>
      <w:lvlText w:val="%3"/>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7328C18">
      <w:start w:val="1"/>
      <w:numFmt w:val="decimal"/>
      <w:lvlText w:val="%4"/>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11A8B98">
      <w:start w:val="1"/>
      <w:numFmt w:val="lowerLetter"/>
      <w:lvlText w:val="%5"/>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8F27A06">
      <w:start w:val="1"/>
      <w:numFmt w:val="lowerRoman"/>
      <w:lvlText w:val="%6"/>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D34AC36">
      <w:start w:val="1"/>
      <w:numFmt w:val="decimal"/>
      <w:lvlText w:val="%7"/>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AB04680">
      <w:start w:val="1"/>
      <w:numFmt w:val="lowerLetter"/>
      <w:lvlText w:val="%8"/>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54686E0">
      <w:start w:val="1"/>
      <w:numFmt w:val="lowerRoman"/>
      <w:lvlText w:val="%9"/>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ADA0C50"/>
    <w:multiLevelType w:val="hybridMultilevel"/>
    <w:tmpl w:val="26107D60"/>
    <w:lvl w:ilvl="0" w:tplc="48B6FFAE">
      <w:start w:val="1"/>
      <w:numFmt w:val="bullet"/>
      <w:lvlText w:val="–"/>
      <w:lvlJc w:val="left"/>
      <w:pPr>
        <w:ind w:left="5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40E3F8C">
      <w:start w:val="1"/>
      <w:numFmt w:val="bullet"/>
      <w:lvlText w:val="o"/>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87E1362">
      <w:start w:val="1"/>
      <w:numFmt w:val="bullet"/>
      <w:lvlText w:val="▪"/>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AD4C1CC">
      <w:start w:val="1"/>
      <w:numFmt w:val="bullet"/>
      <w:lvlText w:val="•"/>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59AC512">
      <w:start w:val="1"/>
      <w:numFmt w:val="bullet"/>
      <w:lvlText w:val="o"/>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1CE9388">
      <w:start w:val="1"/>
      <w:numFmt w:val="bullet"/>
      <w:lvlText w:val="▪"/>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369006">
      <w:start w:val="1"/>
      <w:numFmt w:val="bullet"/>
      <w:lvlText w:val="•"/>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434DA78">
      <w:start w:val="1"/>
      <w:numFmt w:val="bullet"/>
      <w:lvlText w:val="o"/>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9F89080">
      <w:start w:val="1"/>
      <w:numFmt w:val="bullet"/>
      <w:lvlText w:val="▪"/>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DB568C1"/>
    <w:multiLevelType w:val="hybridMultilevel"/>
    <w:tmpl w:val="183E5B58"/>
    <w:lvl w:ilvl="0" w:tplc="A8D8D61A">
      <w:start w:val="1"/>
      <w:numFmt w:val="decimal"/>
      <w:lvlText w:val="%1."/>
      <w:lvlJc w:val="left"/>
      <w:pPr>
        <w:ind w:left="17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E6A0EA8">
      <w:start w:val="1"/>
      <w:numFmt w:val="lowerLetter"/>
      <w:lvlText w:val="%2"/>
      <w:lvlJc w:val="left"/>
      <w:pPr>
        <w:ind w:left="30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110D80A">
      <w:start w:val="1"/>
      <w:numFmt w:val="lowerRoman"/>
      <w:lvlText w:val="%3"/>
      <w:lvlJc w:val="left"/>
      <w:pPr>
        <w:ind w:left="38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AC4E194">
      <w:start w:val="1"/>
      <w:numFmt w:val="decimal"/>
      <w:lvlText w:val="%4"/>
      <w:lvlJc w:val="left"/>
      <w:pPr>
        <w:ind w:left="4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4BAC7B0">
      <w:start w:val="1"/>
      <w:numFmt w:val="lowerLetter"/>
      <w:lvlText w:val="%5"/>
      <w:lvlJc w:val="left"/>
      <w:pPr>
        <w:ind w:left="5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DF05078">
      <w:start w:val="1"/>
      <w:numFmt w:val="lowerRoman"/>
      <w:lvlText w:val="%6"/>
      <w:lvlJc w:val="left"/>
      <w:pPr>
        <w:ind w:left="59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916C030">
      <w:start w:val="1"/>
      <w:numFmt w:val="decimal"/>
      <w:lvlText w:val="%7"/>
      <w:lvlJc w:val="left"/>
      <w:pPr>
        <w:ind w:left="6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7126992">
      <w:start w:val="1"/>
      <w:numFmt w:val="lowerLetter"/>
      <w:lvlText w:val="%8"/>
      <w:lvlJc w:val="left"/>
      <w:pPr>
        <w:ind w:left="74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FC789A">
      <w:start w:val="1"/>
      <w:numFmt w:val="lowerRoman"/>
      <w:lvlText w:val="%9"/>
      <w:lvlJc w:val="left"/>
      <w:pPr>
        <w:ind w:left="81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304"/>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E3F"/>
    <w:rsid w:val="00015EA3"/>
    <w:rsid w:val="001716B1"/>
    <w:rsid w:val="00215ED8"/>
    <w:rsid w:val="004707E8"/>
    <w:rsid w:val="004B717A"/>
    <w:rsid w:val="00551E3F"/>
    <w:rsid w:val="00643102"/>
    <w:rsid w:val="00651E3A"/>
    <w:rsid w:val="007058F2"/>
    <w:rsid w:val="007154F6"/>
    <w:rsid w:val="00793620"/>
    <w:rsid w:val="007D7823"/>
    <w:rsid w:val="008062AA"/>
    <w:rsid w:val="00825642"/>
    <w:rsid w:val="008802E6"/>
    <w:rsid w:val="008B7F39"/>
    <w:rsid w:val="009347B5"/>
    <w:rsid w:val="00943D0F"/>
    <w:rsid w:val="00952D25"/>
    <w:rsid w:val="009E2C4C"/>
    <w:rsid w:val="00A065E3"/>
    <w:rsid w:val="00C17EB4"/>
    <w:rsid w:val="00CC49D7"/>
    <w:rsid w:val="00DA5828"/>
    <w:rsid w:val="00DB4B0C"/>
    <w:rsid w:val="00E8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692D4"/>
  <w15:docId w15:val="{6F117386-FD52-40CE-9834-BBBB910A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3" w:line="262" w:lineRule="auto"/>
      <w:ind w:left="422" w:hanging="10"/>
      <w:jc w:val="both"/>
    </w:pPr>
    <w:rPr>
      <w:rFonts w:ascii="Times New Roman" w:hAnsi="Times New Roman"/>
      <w:color w:val="000000"/>
      <w:sz w:val="19"/>
      <w:szCs w:val="22"/>
      <w:lang w:eastAsia="sv-SE"/>
    </w:rPr>
  </w:style>
  <w:style w:type="paragraph" w:styleId="Otsikko1">
    <w:name w:val="heading 1"/>
    <w:next w:val="Normaali"/>
    <w:link w:val="Otsikko1Char"/>
    <w:uiPriority w:val="9"/>
    <w:unhideWhenUsed/>
    <w:qFormat/>
    <w:pPr>
      <w:keepNext/>
      <w:keepLines/>
      <w:spacing w:after="79" w:line="259" w:lineRule="auto"/>
      <w:ind w:left="11"/>
      <w:outlineLvl w:val="0"/>
    </w:pPr>
    <w:rPr>
      <w:rFonts w:ascii="Times New Roman" w:hAnsi="Times New Roman"/>
      <w:b/>
      <w:color w:val="000000"/>
      <w:sz w:val="21"/>
      <w:szCs w:val="22"/>
      <w:lang w:eastAsia="sv-S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Times New Roman" w:eastAsia="Times New Roman" w:hAnsi="Times New Roman" w:cs="Times New Roman"/>
      <w:b/>
      <w:color w:val="000000"/>
      <w:sz w:val="21"/>
    </w:rPr>
  </w:style>
  <w:style w:type="paragraph" w:customStyle="1" w:styleId="footnotedescription">
    <w:name w:val="footnote description"/>
    <w:next w:val="Normaali"/>
    <w:link w:val="footnotedescriptionChar"/>
    <w:hidden/>
    <w:pPr>
      <w:spacing w:line="259" w:lineRule="auto"/>
      <w:ind w:left="1111"/>
    </w:pPr>
    <w:rPr>
      <w:rFonts w:ascii="Times New Roman" w:hAnsi="Times New Roman"/>
      <w:color w:val="000000"/>
      <w:sz w:val="17"/>
      <w:szCs w:val="22"/>
      <w:lang w:eastAsia="sv-SE"/>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customStyle="1" w:styleId="RKbas">
    <w:name w:val="RKbas"/>
    <w:link w:val="RKbasChar"/>
    <w:uiPriority w:val="11"/>
    <w:semiHidden/>
    <w:rsid w:val="00DB4B0C"/>
    <w:rPr>
      <w:rFonts w:ascii="Times New Roman" w:eastAsia="SimSun" w:hAnsi="Times New Roman"/>
      <w:szCs w:val="22"/>
    </w:rPr>
  </w:style>
  <w:style w:type="character" w:customStyle="1" w:styleId="RKbasChar">
    <w:name w:val="RKbas Char"/>
    <w:link w:val="RKbas"/>
    <w:uiPriority w:val="11"/>
    <w:semiHidden/>
    <w:rsid w:val="00DB4B0C"/>
    <w:rPr>
      <w:rFonts w:ascii="Times New Roman" w:eastAsia="SimSun" w:hAnsi="Times New Roman"/>
      <w:szCs w:val="22"/>
      <w:lang w:val="fi-FI"/>
    </w:rPr>
  </w:style>
  <w:style w:type="paragraph" w:styleId="Leipteksti">
    <w:name w:val="Body Text"/>
    <w:basedOn w:val="RKbas"/>
    <w:next w:val="Sisennettyleipteksti"/>
    <w:link w:val="LeiptekstiChar"/>
    <w:qFormat/>
    <w:rsid w:val="00DB4B0C"/>
    <w:pPr>
      <w:tabs>
        <w:tab w:val="left" w:pos="227"/>
        <w:tab w:val="left" w:pos="397"/>
        <w:tab w:val="left" w:pos="3062"/>
      </w:tabs>
      <w:spacing w:line="232" w:lineRule="exact"/>
      <w:jc w:val="both"/>
    </w:pPr>
    <w:rPr>
      <w:sz w:val="19"/>
    </w:rPr>
  </w:style>
  <w:style w:type="character" w:customStyle="1" w:styleId="LeiptekstiChar">
    <w:name w:val="Leipäteksti Char"/>
    <w:link w:val="Leipteksti"/>
    <w:rsid w:val="00DB4B0C"/>
    <w:rPr>
      <w:rFonts w:ascii="Times New Roman" w:eastAsia="SimSun" w:hAnsi="Times New Roman"/>
      <w:sz w:val="19"/>
      <w:szCs w:val="22"/>
      <w:lang w:val="fi-FI"/>
    </w:rPr>
  </w:style>
  <w:style w:type="paragraph" w:styleId="Sisennettyleipteksti">
    <w:name w:val="Body Text Indent"/>
    <w:basedOn w:val="Normaali"/>
    <w:link w:val="SisennettyleiptekstiChar"/>
    <w:uiPriority w:val="99"/>
    <w:semiHidden/>
    <w:unhideWhenUsed/>
    <w:rsid w:val="00DB4B0C"/>
    <w:pPr>
      <w:spacing w:after="120"/>
      <w:ind w:left="283"/>
    </w:pPr>
  </w:style>
  <w:style w:type="character" w:customStyle="1" w:styleId="SisennettyleiptekstiChar">
    <w:name w:val="Sisennetty leipäteksti Char"/>
    <w:link w:val="Sisennettyleipteksti"/>
    <w:uiPriority w:val="99"/>
    <w:semiHidden/>
    <w:rsid w:val="00DB4B0C"/>
    <w:rPr>
      <w:rFonts w:ascii="Times New Roman" w:hAnsi="Times New Roman"/>
      <w:color w:val="000000"/>
      <w:sz w:val="19"/>
      <w:szCs w:val="22"/>
      <w:lang w:val="fi-FI" w:eastAsia="sv-SE"/>
    </w:rPr>
  </w:style>
  <w:style w:type="paragraph" w:styleId="Yltunniste">
    <w:name w:val="header"/>
    <w:basedOn w:val="Normaali"/>
    <w:link w:val="YltunnisteChar"/>
    <w:uiPriority w:val="99"/>
    <w:unhideWhenUsed/>
    <w:rsid w:val="00E812AA"/>
    <w:pPr>
      <w:tabs>
        <w:tab w:val="center" w:pos="4320"/>
        <w:tab w:val="right" w:pos="8640"/>
      </w:tabs>
    </w:pPr>
  </w:style>
  <w:style w:type="character" w:customStyle="1" w:styleId="YltunnisteChar">
    <w:name w:val="Ylätunniste Char"/>
    <w:link w:val="Yltunniste"/>
    <w:uiPriority w:val="99"/>
    <w:rsid w:val="00E812AA"/>
    <w:rPr>
      <w:rFonts w:ascii="Times New Roman" w:hAnsi="Times New Roman"/>
      <w:color w:val="000000"/>
      <w:sz w:val="19"/>
      <w:szCs w:val="22"/>
      <w:lang w:val="fi-FI" w:eastAsia="sv-SE"/>
    </w:rPr>
  </w:style>
  <w:style w:type="paragraph" w:styleId="Alatunniste">
    <w:name w:val="footer"/>
    <w:basedOn w:val="Normaali"/>
    <w:link w:val="AlatunnisteChar"/>
    <w:uiPriority w:val="99"/>
    <w:unhideWhenUsed/>
    <w:rsid w:val="00E812AA"/>
    <w:pPr>
      <w:tabs>
        <w:tab w:val="center" w:pos="4320"/>
        <w:tab w:val="right" w:pos="8640"/>
      </w:tabs>
    </w:pPr>
  </w:style>
  <w:style w:type="character" w:customStyle="1" w:styleId="AlatunnisteChar">
    <w:name w:val="Alatunniste Char"/>
    <w:link w:val="Alatunniste"/>
    <w:uiPriority w:val="99"/>
    <w:rsid w:val="00E812AA"/>
    <w:rPr>
      <w:rFonts w:ascii="Times New Roman" w:hAnsi="Times New Roman"/>
      <w:color w:val="000000"/>
      <w:sz w:val="19"/>
      <w:szCs w:val="22"/>
      <w:lang w:val="fi-FI" w:eastAsia="sv-SE"/>
    </w:rPr>
  </w:style>
  <w:style w:type="paragraph" w:styleId="Alaviitteenteksti">
    <w:name w:val="footnote text"/>
    <w:basedOn w:val="Normaali"/>
    <w:link w:val="AlaviitteentekstiChar"/>
    <w:uiPriority w:val="99"/>
    <w:semiHidden/>
    <w:unhideWhenUsed/>
    <w:rsid w:val="00E812AA"/>
    <w:rPr>
      <w:sz w:val="20"/>
      <w:szCs w:val="20"/>
    </w:rPr>
  </w:style>
  <w:style w:type="character" w:customStyle="1" w:styleId="AlaviitteentekstiChar">
    <w:name w:val="Alaviitteen teksti Char"/>
    <w:link w:val="Alaviitteenteksti"/>
    <w:uiPriority w:val="99"/>
    <w:semiHidden/>
    <w:rsid w:val="00E812AA"/>
    <w:rPr>
      <w:rFonts w:ascii="Times New Roman" w:hAnsi="Times New Roman"/>
      <w:color w:val="000000"/>
      <w:lang w:val="fi-FI" w:eastAsia="sv-SE"/>
    </w:rPr>
  </w:style>
  <w:style w:type="character" w:styleId="Alaviitteenviite">
    <w:name w:val="footnote reference"/>
    <w:uiPriority w:val="99"/>
    <w:semiHidden/>
    <w:unhideWhenUsed/>
    <w:rsid w:val="00E812AA"/>
    <w:rPr>
      <w:vertAlign w:val="superscript"/>
    </w:rPr>
  </w:style>
  <w:style w:type="paragraph" w:styleId="Vaintekstin">
    <w:name w:val="Plain Text"/>
    <w:basedOn w:val="Normaali"/>
    <w:link w:val="VaintekstinChar"/>
    <w:uiPriority w:val="99"/>
    <w:unhideWhenUsed/>
    <w:rsid w:val="00943D0F"/>
    <w:pPr>
      <w:spacing w:after="0" w:line="240" w:lineRule="auto"/>
      <w:ind w:left="0" w:firstLine="0"/>
      <w:jc w:val="left"/>
    </w:pPr>
    <w:rPr>
      <w:rFonts w:ascii="Consolas" w:hAnsi="Consolas"/>
      <w:color w:val="auto"/>
      <w:sz w:val="21"/>
      <w:szCs w:val="21"/>
      <w:lang w:eastAsia="en-US"/>
    </w:rPr>
  </w:style>
  <w:style w:type="character" w:customStyle="1" w:styleId="VaintekstinChar">
    <w:name w:val="Vain tekstinä Char"/>
    <w:basedOn w:val="Kappaleenoletusfontti"/>
    <w:link w:val="Vaintekstin"/>
    <w:uiPriority w:val="99"/>
    <w:rsid w:val="00943D0F"/>
    <w:rPr>
      <w:rFonts w:ascii="Consolas" w:hAnsi="Consolas"/>
      <w:sz w:val="21"/>
      <w:szCs w:val="21"/>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3B2B9-B91E-412E-8D63-DE4BFC71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581</Words>
  <Characters>4715</Characters>
  <Application>Microsoft Office Word</Application>
  <DocSecurity>0</DocSecurity>
  <Lines>39</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0055.fm</vt:lpstr>
      <vt:lpstr>0055.fm</vt:lpstr>
    </vt:vector>
  </TitlesOfParts>
  <Company>Kommerskollegium</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0055.fm</dc:title>
  <dc:subject/>
  <dc:creator>leer01</dc:creator>
  <cp:keywords/>
  <cp:lastModifiedBy>H H</cp:lastModifiedBy>
  <cp:revision>5</cp:revision>
  <dcterms:created xsi:type="dcterms:W3CDTF">2019-04-30T10:57:00Z</dcterms:created>
  <dcterms:modified xsi:type="dcterms:W3CDTF">2019-05-07T12:36:00Z</dcterms:modified>
</cp:coreProperties>
</file>