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0F" w:rsidRPr="00B00403" w:rsidRDefault="00943D0F" w:rsidP="00943D0F">
      <w:pPr>
        <w:pStyle w:val="PlainText"/>
        <w:rPr>
          <w:rFonts w:ascii="Courier New" w:hAnsi="Courier New" w:cs="Courier New"/>
          <w:sz w:val="20"/>
          <w:szCs w:val="20"/>
        </w:rPr>
      </w:pPr>
      <w:r>
        <w:rPr>
          <w:rFonts w:ascii="Courier New" w:hAnsi="Courier New"/>
          <w:sz w:val="20"/>
        </w:rPr>
        <w:t xml:space="preserve">1. ------IND- 2017 0284 S-- PT- ------ 20190508 --- --- FINAL </w:t>
      </w:r>
    </w:p>
    <w:p w:rsidR="00943D0F" w:rsidRDefault="00943D0F" w:rsidP="00015EA3">
      <w:pPr>
        <w:spacing w:after="120" w:line="259" w:lineRule="auto"/>
        <w:ind w:left="0" w:firstLine="0"/>
        <w:jc w:val="left"/>
        <w:rPr>
          <w:b/>
          <w:sz w:val="36"/>
        </w:rPr>
      </w:pPr>
    </w:p>
    <w:p w:rsidR="00DB4B0C" w:rsidRDefault="00643102" w:rsidP="00015EA3">
      <w:pPr>
        <w:spacing w:after="120" w:line="259" w:lineRule="auto"/>
        <w:ind w:left="0" w:firstLine="0"/>
        <w:jc w:val="left"/>
        <w:rPr>
          <w:b/>
          <w:sz w:val="36"/>
        </w:rPr>
      </w:pPr>
      <w:r>
        <w:rPr>
          <w:noProof/>
          <w:lang w:val="en-US" w:eastAsia="zh-CN" w:bidi="ar-SA"/>
        </w:rPr>
        <w:drawing>
          <wp:anchor distT="0" distB="0" distL="114300" distR="114300" simplePos="0" relativeHeight="251658240" behindDoc="0" locked="0" layoutInCell="1" allowOverlap="1">
            <wp:simplePos x="0" y="0"/>
            <wp:positionH relativeFrom="column">
              <wp:posOffset>3790950</wp:posOffset>
            </wp:positionH>
            <wp:positionV relativeFrom="paragraph">
              <wp:posOffset>-212725</wp:posOffset>
            </wp:positionV>
            <wp:extent cx="431800" cy="768985"/>
            <wp:effectExtent l="0" t="0" r="635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768985"/>
                    </a:xfrm>
                    <a:prstGeom prst="rect">
                      <a:avLst/>
                    </a:prstGeom>
                    <a:noFill/>
                  </pic:spPr>
                </pic:pic>
              </a:graphicData>
            </a:graphic>
            <wp14:sizeRelH relativeFrom="page">
              <wp14:pctWidth>0</wp14:pctWidth>
            </wp14:sizeRelH>
            <wp14:sizeRelV relativeFrom="page">
              <wp14:pctHeight>0</wp14:pctHeight>
            </wp14:sizeRelV>
          </wp:anchor>
        </w:drawing>
      </w:r>
      <w:r>
        <w:rPr>
          <w:b/>
          <w:sz w:val="36"/>
        </w:rPr>
        <w:t>Coletânea Legislativa da Suécia</w:t>
      </w:r>
    </w:p>
    <w:p w:rsidR="00015EA3" w:rsidRDefault="00643102" w:rsidP="00015EA3">
      <w:pPr>
        <w:pBdr>
          <w:bottom w:val="single" w:sz="4" w:space="1" w:color="auto"/>
        </w:pBdr>
        <w:spacing w:after="120" w:line="259" w:lineRule="auto"/>
        <w:ind w:left="0" w:firstLine="0"/>
        <w:jc w:val="left"/>
        <w:rPr>
          <w:b/>
          <w:sz w:val="36"/>
        </w:rPr>
      </w:pPr>
      <w:r>
        <w:rPr>
          <w:b/>
          <w:noProof/>
          <w:sz w:val="26"/>
          <w:lang w:val="en-US" w:eastAsia="zh-CN" w:bidi="ar-SA"/>
        </w:rPr>
        <mc:AlternateContent>
          <mc:Choice Requires="wps">
            <w:drawing>
              <wp:anchor distT="0" distB="0" distL="114300" distR="114300" simplePos="0" relativeHeight="251657216" behindDoc="0" locked="0" layoutInCell="1" allowOverlap="1">
                <wp:simplePos x="0" y="0"/>
                <wp:positionH relativeFrom="column">
                  <wp:posOffset>3745865</wp:posOffset>
                </wp:positionH>
                <wp:positionV relativeFrom="paragraph">
                  <wp:posOffset>337820</wp:posOffset>
                </wp:positionV>
                <wp:extent cx="1264920" cy="828040"/>
                <wp:effectExtent l="0" t="0" r="3175" b="4445"/>
                <wp:wrapNone/>
                <wp:docPr id="3"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828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B4B0C" w:rsidRDefault="00DB4B0C" w:rsidP="00DB4B0C">
                            <w:pPr>
                              <w:spacing w:after="160" w:line="259" w:lineRule="auto"/>
                              <w:ind w:left="0" w:firstLine="0"/>
                              <w:jc w:val="left"/>
                              <w:rPr>
                                <w:b/>
                                <w:sz w:val="26"/>
                              </w:rPr>
                            </w:pPr>
                            <w:r>
                              <w:rPr>
                                <w:b/>
                                <w:sz w:val="26"/>
                              </w:rPr>
                              <w:t>SFS 2018:55</w:t>
                            </w:r>
                          </w:p>
                          <w:p w:rsidR="00DB4B0C" w:rsidRPr="00D30131" w:rsidRDefault="00DB4B0C" w:rsidP="00DB4B0C">
                            <w:pPr>
                              <w:spacing w:after="160" w:line="259" w:lineRule="auto"/>
                              <w:ind w:left="0" w:firstLine="0"/>
                              <w:jc w:val="left"/>
                              <w:rPr>
                                <w:sz w:val="17"/>
                                <w:szCs w:val="17"/>
                              </w:rPr>
                            </w:pPr>
                            <w:r>
                              <w:t>Publicado</w:t>
                            </w:r>
                            <w:r>
                              <w:br/>
                              <w:t>em 13 de fevereiro de 2018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5" o:spid="_x0000_s1026" type="#_x0000_t202" style="position:absolute;margin-left:294.95pt;margin-top:26.6pt;width:99.6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" stroked="f" strokeweight=".5pt">
                <v:textbox inset="0,0,0,0">
                  <w:txbxContent>
                    <w:p w:rsidR="00DB4B0C" w:rsidRDefault="00DB4B0C" w:rsidP="00DB4B0C">
                      <w:pPr>
                        <w:spacing w:after="160" w:line="259" w:lineRule="auto"/>
                        <w:ind w:left="0" w:firstLine="0"/>
                        <w:jc w:val="left"/>
                        <w:rPr>
                          <w:b/>
                          <w:sz w:val="26"/>
                        </w:rPr>
                      </w:pPr>
                      <w:r>
                        <w:rPr>
                          <w:b/>
                          <w:sz w:val="26"/>
                        </w:rPr>
                        <w:t>SFS 2018:55</w:t>
                      </w:r>
                    </w:p>
                    <w:p w:rsidR="00DB4B0C" w:rsidRPr="00D30131" w:rsidRDefault="00DB4B0C" w:rsidP="00DB4B0C">
                      <w:pPr>
                        <w:spacing w:after="160" w:line="259" w:lineRule="auto"/>
                        <w:ind w:left="0" w:firstLine="0"/>
                        <w:jc w:val="left"/>
                        <w:rPr>
                          <w:sz w:val="17"/>
                          <w:szCs w:val="17"/>
                        </w:rPr>
                      </w:pPr>
                      <w:r>
                        <w:t>Publicado</w:t>
                      </w:r>
                      <w:r>
                        <w:br/>
                        <w:t>em 13 de fevereiro de 2018</w:t>
                      </w:r>
                    </w:p>
                  </w:txbxContent>
                </v:textbox>
              </v:shape>
            </w:pict>
          </mc:Fallback>
        </mc:AlternateContent>
      </w:r>
    </w:p>
    <w:p w:rsidR="00551E3F" w:rsidRDefault="00DB4B0C" w:rsidP="00DA5828">
      <w:pPr>
        <w:spacing w:before="240" w:after="240" w:line="216" w:lineRule="auto"/>
        <w:ind w:left="0" w:firstLine="0"/>
        <w:jc w:val="left"/>
      </w:pPr>
      <w:r>
        <w:rPr>
          <w:b/>
          <w:sz w:val="26"/>
        </w:rPr>
        <w:t>Portaria que altera a Portaria relativa aos produtos químicos (proibições em matéria de manuseamento, importação e exportação) (1998:944);</w:t>
      </w:r>
    </w:p>
    <w:p w:rsidR="00551E3F" w:rsidRDefault="00CC49D7" w:rsidP="00DA5828">
      <w:pPr>
        <w:spacing w:after="221"/>
        <w:ind w:left="0" w:firstLine="0"/>
      </w:pPr>
      <w:r>
        <w:t>emitida em 1 de fevereiro de 2018.</w:t>
      </w:r>
    </w:p>
    <w:p w:rsidR="00551E3F" w:rsidRDefault="00CC49D7" w:rsidP="00015EA3">
      <w:pPr>
        <w:spacing w:after="240"/>
        <w:ind w:left="0" w:firstLine="193"/>
      </w:pPr>
      <w:r>
        <w:t>No que se refere à Portaria relativa aos produtos químicos (proibições em matéria de manuseamento, importação e exportação) (1998:944), pelo presente, o Governo estabelece</w:t>
      </w:r>
      <w:r>
        <w:rPr>
          <w:vertAlign w:val="superscript"/>
        </w:rPr>
        <w:footnoteReference w:id="1"/>
      </w:r>
      <w:r>
        <w:t xml:space="preserve"> que os artigos 1.º e 5.º devem ler-se conforme indicado infra e que as quatro novas disposições indicadas infra [artigos 1.º-A, 4.º (incluindo o título que o precede), 4.º-A e 4.º-B] são aditadas à portaria.</w:t>
      </w:r>
    </w:p>
    <w:p w:rsidR="00551E3F" w:rsidRDefault="00CC49D7" w:rsidP="00DA5828">
      <w:pPr>
        <w:keepNext/>
        <w:keepLines/>
        <w:ind w:left="0" w:firstLine="0"/>
      </w:pPr>
      <w:r>
        <w:rPr>
          <w:b/>
        </w:rPr>
        <w:t>Artigo 1.º</w:t>
      </w:r>
      <w:r>
        <w:rPr>
          <w:vertAlign w:val="superscript"/>
        </w:rPr>
        <w:footnoteReference w:id="2"/>
      </w:r>
      <w:r>
        <w:t xml:space="preserve"> A presente portaria contém disposições especiais no que se refere à proibição ou a outras restrições aplicáveis ao manuseamento de: </w:t>
      </w:r>
    </w:p>
    <w:p w:rsidR="00551E3F" w:rsidRDefault="00CC49D7" w:rsidP="00015EA3">
      <w:pPr>
        <w:numPr>
          <w:ilvl w:val="0"/>
          <w:numId w:val="1"/>
        </w:numPr>
        <w:tabs>
          <w:tab w:val="left" w:pos="567"/>
        </w:tabs>
        <w:ind w:left="0" w:firstLine="192"/>
      </w:pPr>
      <w:r>
        <w:t>epóxis de dois componentes contendo bisfenol A ou éter diglicídico de bisfenol A;</w:t>
      </w:r>
    </w:p>
    <w:p w:rsidR="00551E3F" w:rsidRDefault="00CC49D7" w:rsidP="00015EA3">
      <w:pPr>
        <w:numPr>
          <w:ilvl w:val="0"/>
          <w:numId w:val="1"/>
        </w:numPr>
        <w:tabs>
          <w:tab w:val="left" w:pos="567"/>
        </w:tabs>
        <w:ind w:left="0" w:firstLine="192"/>
      </w:pPr>
      <w:r>
        <w:t>cádmio;</w:t>
      </w:r>
    </w:p>
    <w:p w:rsidR="00551E3F" w:rsidRDefault="00CC49D7" w:rsidP="00015EA3">
      <w:pPr>
        <w:numPr>
          <w:ilvl w:val="0"/>
          <w:numId w:val="1"/>
        </w:numPr>
        <w:pBdr>
          <w:left w:val="single" w:sz="4" w:space="4" w:color="auto"/>
        </w:pBdr>
        <w:tabs>
          <w:tab w:val="left" w:pos="567"/>
        </w:tabs>
        <w:ind w:left="0" w:firstLine="192"/>
      </w:pPr>
      <w:r>
        <w:t>microplásticos em produtos cosméticos;</w:t>
      </w:r>
    </w:p>
    <w:p w:rsidR="00551E3F" w:rsidRDefault="00CC49D7" w:rsidP="00015EA3">
      <w:pPr>
        <w:numPr>
          <w:ilvl w:val="0"/>
          <w:numId w:val="1"/>
        </w:numPr>
        <w:pBdr>
          <w:left w:val="single" w:sz="4" w:space="4" w:color="auto"/>
        </w:pBdr>
        <w:tabs>
          <w:tab w:val="left" w:pos="567"/>
        </w:tabs>
        <w:ind w:left="0" w:firstLine="192"/>
      </w:pPr>
      <w:r>
        <w:t>solventes clorados;</w:t>
      </w:r>
    </w:p>
    <w:p w:rsidR="00551E3F" w:rsidRDefault="00CC49D7" w:rsidP="00015EA3">
      <w:pPr>
        <w:numPr>
          <w:ilvl w:val="0"/>
          <w:numId w:val="1"/>
        </w:numPr>
        <w:pBdr>
          <w:left w:val="single" w:sz="4" w:space="4" w:color="auto"/>
        </w:pBdr>
        <w:tabs>
          <w:tab w:val="left" w:pos="567"/>
        </w:tabs>
        <w:ind w:left="0" w:firstLine="192"/>
      </w:pPr>
      <w:r>
        <w:t>mercúrio;</w:t>
      </w:r>
    </w:p>
    <w:p w:rsidR="00551E3F" w:rsidRDefault="00CC49D7" w:rsidP="00015EA3">
      <w:pPr>
        <w:numPr>
          <w:ilvl w:val="0"/>
          <w:numId w:val="1"/>
        </w:numPr>
        <w:pBdr>
          <w:left w:val="single" w:sz="4" w:space="4" w:color="auto"/>
        </w:pBdr>
        <w:tabs>
          <w:tab w:val="left" w:pos="567"/>
        </w:tabs>
        <w:ind w:left="0" w:firstLine="192"/>
      </w:pPr>
      <w:r>
        <w:t>cádmio e mercúrio em baterias;</w:t>
      </w:r>
    </w:p>
    <w:p w:rsidR="00551E3F" w:rsidRDefault="00CC49D7" w:rsidP="00015EA3">
      <w:pPr>
        <w:numPr>
          <w:ilvl w:val="0"/>
          <w:numId w:val="1"/>
        </w:numPr>
        <w:pBdr>
          <w:left w:val="single" w:sz="4" w:space="4" w:color="auto"/>
        </w:pBdr>
        <w:tabs>
          <w:tab w:val="left" w:pos="567"/>
        </w:tabs>
        <w:ind w:left="0" w:firstLine="192"/>
      </w:pPr>
      <w:r>
        <w:t>metais pesados em embalagem;</w:t>
      </w:r>
    </w:p>
    <w:p w:rsidR="00551E3F" w:rsidRDefault="00CC49D7" w:rsidP="00015EA3">
      <w:pPr>
        <w:numPr>
          <w:ilvl w:val="0"/>
          <w:numId w:val="1"/>
        </w:numPr>
        <w:pBdr>
          <w:left w:val="single" w:sz="4" w:space="4" w:color="auto"/>
        </w:pBdr>
        <w:tabs>
          <w:tab w:val="left" w:pos="567"/>
        </w:tabs>
        <w:ind w:left="0" w:firstLine="192"/>
      </w:pPr>
      <w:r>
        <w:t>munição contendo chumbo;</w:t>
      </w:r>
    </w:p>
    <w:p w:rsidR="00551E3F" w:rsidRDefault="00CC49D7" w:rsidP="00015EA3">
      <w:pPr>
        <w:numPr>
          <w:ilvl w:val="0"/>
          <w:numId w:val="1"/>
        </w:numPr>
        <w:pBdr>
          <w:left w:val="single" w:sz="4" w:space="4" w:color="auto"/>
        </w:pBdr>
        <w:tabs>
          <w:tab w:val="left" w:pos="567"/>
        </w:tabs>
        <w:ind w:left="0" w:firstLine="192"/>
      </w:pPr>
      <w:r>
        <w:t>detergentes contendo fosfatos; e</w:t>
      </w:r>
    </w:p>
    <w:p w:rsidR="00551E3F" w:rsidRDefault="00CC49D7" w:rsidP="00015EA3">
      <w:pPr>
        <w:numPr>
          <w:ilvl w:val="0"/>
          <w:numId w:val="1"/>
        </w:numPr>
        <w:pBdr>
          <w:left w:val="single" w:sz="4" w:space="4" w:color="auto"/>
        </w:pBdr>
        <w:tabs>
          <w:tab w:val="left" w:pos="567"/>
        </w:tabs>
        <w:ind w:left="0" w:firstLine="192"/>
      </w:pPr>
      <w:r>
        <w:t>outros produtos químicos específicos e mercadorias que apresentem perigo para a saúde ou para o ambiente.</w:t>
      </w:r>
    </w:p>
    <w:p w:rsidR="00551E3F" w:rsidRDefault="00CC49D7" w:rsidP="00015EA3">
      <w:pPr>
        <w:spacing w:after="249"/>
        <w:ind w:left="0" w:firstLine="192"/>
      </w:pPr>
      <w:r>
        <w:t>A presente portaria não é aplicável a produtos químicos e organismos biotécnicos regidos pela Lei relativa aos géneros alimentícios (2006:804), pela Lei relativa aos alimentos para animais e aos subprodutos animais (2006:805) ou pela Lei relativa aos medicamentos (2015:315).</w:t>
      </w:r>
    </w:p>
    <w:p w:rsidR="00551E3F" w:rsidRDefault="00CC49D7" w:rsidP="00DA5828">
      <w:pPr>
        <w:keepNext/>
        <w:keepLines/>
        <w:pBdr>
          <w:left w:val="single" w:sz="4" w:space="4" w:color="auto"/>
        </w:pBdr>
        <w:ind w:left="0" w:firstLine="0"/>
      </w:pPr>
      <w:r>
        <w:rPr>
          <w:b/>
        </w:rPr>
        <w:lastRenderedPageBreak/>
        <w:t>Artigo 1.º-A</w:t>
      </w:r>
      <w:r>
        <w:t> A portaria é emitida em virtude do:</w:t>
      </w:r>
    </w:p>
    <w:p w:rsidR="00551E3F" w:rsidRDefault="00CC49D7" w:rsidP="007058F2">
      <w:pPr>
        <w:numPr>
          <w:ilvl w:val="0"/>
          <w:numId w:val="2"/>
        </w:numPr>
        <w:pBdr>
          <w:left w:val="single" w:sz="4" w:space="4" w:color="auto"/>
        </w:pBdr>
        <w:ind w:left="426" w:hanging="285"/>
      </w:pPr>
      <w:r>
        <w:t>capítulo 14, artigo 8.º, do Código Ambiental, no que se refere aos artigos 2.º e 3.º, 5.º a 11.º, 11.º-C a 14.º e 14.º-B a 20.º-A,</w:t>
      </w:r>
    </w:p>
    <w:p w:rsidR="00551E3F" w:rsidRDefault="00CC49D7" w:rsidP="007058F2">
      <w:pPr>
        <w:numPr>
          <w:ilvl w:val="0"/>
          <w:numId w:val="2"/>
        </w:numPr>
        <w:pBdr>
          <w:left w:val="single" w:sz="4" w:space="4" w:color="auto"/>
        </w:pBdr>
        <w:ind w:left="426" w:hanging="285"/>
      </w:pPr>
      <w:r>
        <w:t xml:space="preserve">capítulo 15, artigo 40.º, do Código Ambiental, no que se refere ao artigo 4.º-A, </w:t>
      </w:r>
    </w:p>
    <w:p w:rsidR="00551E3F" w:rsidRDefault="00CC49D7" w:rsidP="007058F2">
      <w:pPr>
        <w:numPr>
          <w:ilvl w:val="0"/>
          <w:numId w:val="2"/>
        </w:numPr>
        <w:pBdr>
          <w:left w:val="single" w:sz="4" w:space="4" w:color="auto"/>
        </w:pBdr>
        <w:ind w:left="426" w:hanging="285"/>
      </w:pPr>
      <w:r>
        <w:t>capítulo 8, artigo 11.º, do Instrumento do Governo, no que se refere ao artigo 21º e</w:t>
      </w:r>
    </w:p>
    <w:p w:rsidR="00551E3F" w:rsidRDefault="00CC49D7" w:rsidP="007058F2">
      <w:pPr>
        <w:numPr>
          <w:ilvl w:val="0"/>
          <w:numId w:val="2"/>
        </w:numPr>
        <w:pBdr>
          <w:left w:val="single" w:sz="4" w:space="4" w:color="auto"/>
        </w:pBdr>
        <w:ind w:left="426" w:hanging="285"/>
      </w:pPr>
      <w:r>
        <w:t>capítulo 8, artigo 7.º, do Instrumento do Governo, no que se refere a outras disposições.</w:t>
      </w:r>
    </w:p>
    <w:p w:rsidR="00551E3F" w:rsidRDefault="00CC49D7" w:rsidP="00DA5828">
      <w:pPr>
        <w:pStyle w:val="Heading1"/>
        <w:pBdr>
          <w:left w:val="single" w:sz="4" w:space="4" w:color="auto"/>
        </w:pBdr>
        <w:ind w:left="0"/>
      </w:pPr>
      <w:r>
        <w:t>Microplásticos em produtos cosméticos</w:t>
      </w:r>
    </w:p>
    <w:p w:rsidR="00551E3F" w:rsidRDefault="00CC49D7" w:rsidP="00DA5828">
      <w:pPr>
        <w:pBdr>
          <w:left w:val="single" w:sz="4" w:space="4" w:color="auto"/>
        </w:pBdr>
        <w:ind w:left="0" w:firstLine="0"/>
      </w:pPr>
      <w:r>
        <w:rPr>
          <w:b/>
        </w:rPr>
        <w:t>Artigo 4.º</w:t>
      </w:r>
      <w:r>
        <w:rPr>
          <w:vertAlign w:val="superscript"/>
        </w:rPr>
        <w:footnoteReference w:id="3"/>
      </w:r>
      <w:r>
        <w:rPr>
          <w:b/>
        </w:rPr>
        <w:t> </w:t>
      </w:r>
      <w:r>
        <w:t>Para os efeitos do presente artigo e dos artigos 4.º-A e 4.º-B, entende-se por:</w:t>
      </w:r>
      <w:r>
        <w:br/>
      </w:r>
      <w:r>
        <w:rPr>
          <w:i/>
        </w:rPr>
        <w:t>Produto cosmético:</w:t>
      </w:r>
      <w:r>
        <w:t xml:space="preserve"> um produto cosmético na aceção do Regulamento (CE) n.º 1223/2009 do Parlamento Europeu e do Conselho relativo aos produtos cosméticos; </w:t>
      </w:r>
    </w:p>
    <w:p w:rsidR="008062AA" w:rsidRDefault="00CC49D7" w:rsidP="008062AA">
      <w:pPr>
        <w:pBdr>
          <w:left w:val="single" w:sz="4" w:space="4" w:color="auto"/>
        </w:pBdr>
        <w:spacing w:after="0"/>
        <w:ind w:left="0" w:firstLine="193"/>
      </w:pPr>
      <w:r>
        <w:rPr>
          <w:i/>
        </w:rPr>
        <w:t xml:space="preserve">Plástico: </w:t>
      </w:r>
      <w:r>
        <w:t>um polímero na aceção do artigo 3.º, ponto 5, do Regulamento (CE) n.º 1907/2006 do Parlamento Europeu e do Conselho, de 18 de dezembro de 2006, relativo ao registo, avaliação, autorização e restrição dos produtos químicos (REACH), que cria a Agência Europeia dos Produtos Químicos, que altera a Diretiva 1999/45/CE e revoga o Regulamento (CEE) n.º 793/93 do Conselho e o Regulamento (CE) n.º 1488/94 da Comissão, bem como a Diretiva 76/769/CEE do Conselho e as Diretivas 91/155/CEE, 93/67/CEE, 93/105/CE e 2000/21/CE da Comissão, ao qual poderão ter sido adicionados aditivos ou outras substâncias;</w:t>
      </w:r>
      <w:r>
        <w:br/>
      </w:r>
      <w:r>
        <w:rPr>
          <w:i/>
        </w:rPr>
        <w:t>Microplásticos</w:t>
      </w:r>
      <w:r>
        <w:t>: partículas sólidas de plástico com menos de 5 mm e insolúveis em água;</w:t>
      </w:r>
    </w:p>
    <w:p w:rsidR="008062AA" w:rsidRDefault="00CC49D7" w:rsidP="008062AA">
      <w:pPr>
        <w:pBdr>
          <w:left w:val="single" w:sz="4" w:space="4" w:color="auto"/>
        </w:pBdr>
        <w:spacing w:after="0"/>
        <w:ind w:left="0" w:firstLine="193"/>
      </w:pPr>
      <w:r>
        <w:rPr>
          <w:i/>
        </w:rPr>
        <w:t>Polímero que ocorre na natureza</w:t>
      </w:r>
      <w:r>
        <w:t>: um polímero que ocorre naturalmente no ambiente e cuja estrutura química não tenha sido alterada, caso tenha sido sujeito a um processo ou tratamento químico ou uma transformação mineralógica física;</w:t>
      </w:r>
    </w:p>
    <w:p w:rsidR="00551E3F" w:rsidRDefault="00CC49D7" w:rsidP="007058F2">
      <w:pPr>
        <w:pBdr>
          <w:left w:val="single" w:sz="4" w:space="4" w:color="auto"/>
        </w:pBdr>
        <w:spacing w:after="232"/>
        <w:ind w:left="0" w:firstLine="192"/>
      </w:pPr>
      <w:r>
        <w:rPr>
          <w:i/>
        </w:rPr>
        <w:t>Disponibilizar no mercado</w:t>
      </w:r>
      <w:r>
        <w:t>: sempre que um produto é disponibilizado para distribuição, consumo ou uso no mercado sueco no decurso de uma atividade comercial, quer mediante pagamento ou gratuitamente.</w:t>
      </w:r>
    </w:p>
    <w:p w:rsidR="00551E3F" w:rsidRDefault="00CC49D7" w:rsidP="00DA5828">
      <w:pPr>
        <w:pBdr>
          <w:left w:val="single" w:sz="4" w:space="4" w:color="auto"/>
        </w:pBdr>
        <w:ind w:left="0" w:firstLine="0"/>
      </w:pPr>
      <w:r>
        <w:rPr>
          <w:b/>
        </w:rPr>
        <w:t>Artigo 4.º-A</w:t>
      </w:r>
      <w:r>
        <w:rPr>
          <w:vertAlign w:val="superscript"/>
        </w:rPr>
        <w:footnoteReference w:id="4"/>
      </w:r>
      <w:r>
        <w:t> É proibido disponibilizar no mercado um produto cosmético destinado a ser enxaguado ou cuspido após utilização na cabeça, no cabelo, nas membranas mucosas ou nos dentes e que contenha microplásticos que tenham sido adicionados para limpar, esfoliar ou polir.</w:t>
      </w:r>
    </w:p>
    <w:p w:rsidR="00551E3F" w:rsidRDefault="00CC49D7" w:rsidP="007058F2">
      <w:pPr>
        <w:pBdr>
          <w:left w:val="single" w:sz="4" w:space="4" w:color="auto"/>
        </w:pBdr>
        <w:spacing w:after="232"/>
        <w:ind w:left="0" w:firstLine="192"/>
      </w:pPr>
      <w:r>
        <w:t xml:space="preserve">A proibição não é aplicável a produtos cosméticos que contenham microplásticos que apenas consistam em polímeros que ocorram na natureza. </w:t>
      </w:r>
    </w:p>
    <w:p w:rsidR="00551E3F" w:rsidRDefault="00CC49D7" w:rsidP="00DA5828">
      <w:pPr>
        <w:keepNext/>
        <w:keepLines/>
        <w:pBdr>
          <w:left w:val="single" w:sz="4" w:space="4" w:color="auto"/>
        </w:pBdr>
        <w:ind w:left="0" w:firstLine="0"/>
      </w:pPr>
      <w:r>
        <w:rPr>
          <w:b/>
        </w:rPr>
        <w:lastRenderedPageBreak/>
        <w:t>Artigo 4.º-B</w:t>
      </w:r>
      <w:r>
        <w:rPr>
          <w:vertAlign w:val="superscript"/>
        </w:rPr>
        <w:footnoteReference w:id="5"/>
      </w:r>
      <w:r>
        <w:t xml:space="preserve"> A Agência dos Produtos Químicos da Suécia pode notificar regulamentos referentes a isenções ou, em casos específicos, conceder uma isenção da proibição constante no artigo 4.º-A para produtos cosméticos contendo microplásticos, que sejam: </w:t>
      </w:r>
    </w:p>
    <w:p w:rsidR="00551E3F" w:rsidRDefault="00CC49D7" w:rsidP="007058F2">
      <w:pPr>
        <w:numPr>
          <w:ilvl w:val="0"/>
          <w:numId w:val="3"/>
        </w:numPr>
        <w:pBdr>
          <w:left w:val="single" w:sz="4" w:space="4" w:color="auto"/>
        </w:pBdr>
        <w:tabs>
          <w:tab w:val="left" w:pos="567"/>
        </w:tabs>
        <w:ind w:left="0" w:firstLine="192"/>
      </w:pPr>
      <w:r>
        <w:t xml:space="preserve">produzidos utilizando polímeros que ocorram na natureza enquanto matéria-prima; e </w:t>
      </w:r>
    </w:p>
    <w:p w:rsidR="00551E3F" w:rsidRDefault="00CC49D7" w:rsidP="007058F2">
      <w:pPr>
        <w:numPr>
          <w:ilvl w:val="0"/>
          <w:numId w:val="3"/>
        </w:numPr>
        <w:pBdr>
          <w:left w:val="single" w:sz="4" w:space="4" w:color="auto"/>
        </w:pBdr>
        <w:tabs>
          <w:tab w:val="left" w:pos="567"/>
        </w:tabs>
        <w:ind w:left="0" w:firstLine="192"/>
      </w:pPr>
      <w:r>
        <w:t xml:space="preserve">rapidamente decompostos em monómeros no ambiente aquático e que não representem qualquer risco para organismos aquáticos. </w:t>
      </w:r>
    </w:p>
    <w:p w:rsidR="00551E3F" w:rsidRDefault="00CC49D7" w:rsidP="007058F2">
      <w:pPr>
        <w:pBdr>
          <w:left w:val="single" w:sz="4" w:space="4" w:color="auto"/>
        </w:pBdr>
        <w:spacing w:after="231"/>
        <w:ind w:left="0" w:firstLine="192"/>
      </w:pPr>
      <w:r>
        <w:t>Os produtos cosméticos legalmente vendidos em conformidade com legislação existente noutros Estados-Membros da União Europeia ou na Turquia, ou legalmente produzidos num Estado signatário do Acordo sobre o Espaço Económico Europeu estão isentos, desde que o referido quadro regulamentar assegure um nível de proteção equivalente.</w:t>
      </w:r>
    </w:p>
    <w:p w:rsidR="00551E3F" w:rsidRDefault="00CC49D7" w:rsidP="00DA5828">
      <w:pPr>
        <w:ind w:left="0" w:firstLine="0"/>
      </w:pPr>
      <w:r>
        <w:rPr>
          <w:b/>
        </w:rPr>
        <w:t>Artigo</w:t>
      </w:r>
      <w:r>
        <w:t> </w:t>
      </w:r>
      <w:r>
        <w:rPr>
          <w:b/>
        </w:rPr>
        <w:t>5.º</w:t>
      </w:r>
      <w:r>
        <w:rPr>
          <w:rStyle w:val="FootnoteReference"/>
          <w:b/>
        </w:rPr>
        <w:footnoteReference w:id="6"/>
      </w:r>
      <w:r>
        <w:t> Os produtos químicos constituídos, total ou parcialmente, por cloreto de metileno ou tetracloroetileno não podem ser comercializados ou cedidos ao consumidor final para utilização individual.</w:t>
      </w:r>
    </w:p>
    <w:p w:rsidR="00551E3F" w:rsidRDefault="00CC49D7" w:rsidP="00E812AA">
      <w:pPr>
        <w:spacing w:after="0"/>
        <w:ind w:left="0" w:firstLine="193"/>
      </w:pPr>
      <w:r>
        <w:t>A Agência dos Produtos Químicos da Suécia pode emitir regulamentações que estipulem que os produtos químicos constituídos, total ou parcialmente, por cloreto de metileno ou tetracloroetileno não podem ser comercializados ou cedidos ao consumidor final para utilização individual.</w:t>
      </w:r>
    </w:p>
    <w:p w:rsidR="00551E3F" w:rsidRDefault="00CC49D7" w:rsidP="007058F2">
      <w:pPr>
        <w:pBdr>
          <w:left w:val="single" w:sz="4" w:space="4" w:color="auto"/>
        </w:pBdr>
        <w:spacing w:after="241"/>
        <w:ind w:left="0" w:firstLine="192"/>
      </w:pPr>
      <w:r>
        <w:t>A proibição de cloreto de metileno apenas é aplicável caso não exista uma proibição equivalente decorrente do anexo XVII, ponto 59, n.º 1, do Regulamento CE) n.º 1907/2006.</w:t>
      </w:r>
    </w:p>
    <w:p w:rsidR="007058F2" w:rsidRDefault="007058F2" w:rsidP="007058F2">
      <w:pPr>
        <w:tabs>
          <w:tab w:val="left" w:leader="underscore" w:pos="1276"/>
        </w:tabs>
        <w:spacing w:after="120"/>
        <w:ind w:left="0" w:firstLine="142"/>
      </w:pPr>
      <w:r>
        <w:tab/>
      </w:r>
    </w:p>
    <w:p w:rsidR="00551E3F" w:rsidRDefault="00CC49D7" w:rsidP="00E812AA">
      <w:pPr>
        <w:numPr>
          <w:ilvl w:val="0"/>
          <w:numId w:val="4"/>
        </w:numPr>
        <w:tabs>
          <w:tab w:val="left" w:pos="567"/>
        </w:tabs>
        <w:ind w:left="0" w:firstLine="192"/>
      </w:pPr>
      <w:r>
        <w:t>A presente portaria entra em vigor em 1 de julho de 2018.</w:t>
      </w:r>
    </w:p>
    <w:p w:rsidR="00551E3F" w:rsidRDefault="00CC49D7" w:rsidP="00E812AA">
      <w:pPr>
        <w:numPr>
          <w:ilvl w:val="0"/>
          <w:numId w:val="4"/>
        </w:numPr>
        <w:tabs>
          <w:tab w:val="left" w:pos="567"/>
        </w:tabs>
        <w:spacing w:after="224"/>
        <w:ind w:left="0" w:firstLine="192"/>
      </w:pPr>
      <w:r>
        <w:t xml:space="preserve">Apesar da proibição estipulada no artigo 4.º-A, as existências de produtos cosméticos legalmente disponibilizadas no mercado antes de 1 de julho de 2018 podem continuar a ser disponibilizadas até ao final de dezembro de 2018. </w:t>
      </w:r>
    </w:p>
    <w:p w:rsidR="00551E3F" w:rsidRDefault="00CC49D7" w:rsidP="00DA5828">
      <w:pPr>
        <w:spacing w:after="225"/>
        <w:ind w:left="0" w:firstLine="0"/>
      </w:pPr>
      <w:r>
        <w:t>Em representação do Governo</w:t>
      </w:r>
    </w:p>
    <w:p w:rsidR="00551E3F" w:rsidRDefault="00CC49D7" w:rsidP="00DA5828">
      <w:pPr>
        <w:ind w:left="0" w:firstLine="0"/>
      </w:pPr>
      <w:r>
        <w:t>KAROLINA SKOG</w:t>
      </w:r>
    </w:p>
    <w:p w:rsidR="00551E3F" w:rsidRDefault="00CC49D7" w:rsidP="00825642">
      <w:pPr>
        <w:keepNext/>
        <w:keepLines/>
        <w:spacing w:after="0" w:line="265" w:lineRule="auto"/>
        <w:ind w:left="2835" w:firstLine="0"/>
        <w:jc w:val="left"/>
      </w:pPr>
      <w:r>
        <w:t>Egon Abresparr</w:t>
      </w:r>
    </w:p>
    <w:p w:rsidR="00551E3F" w:rsidRDefault="00CC49D7" w:rsidP="00825642">
      <w:pPr>
        <w:spacing w:after="0" w:line="264" w:lineRule="auto"/>
        <w:ind w:left="2835" w:firstLine="0"/>
        <w:jc w:val="left"/>
      </w:pPr>
      <w:r>
        <w:t>(Ministério do Ambiente e da Energia)</w:t>
      </w:r>
    </w:p>
    <w:p w:rsidR="003D5315" w:rsidRDefault="003D5315" w:rsidP="003D5315">
      <w:pPr>
        <w:spacing w:before="10920" w:after="0" w:line="259" w:lineRule="auto"/>
        <w:ind w:left="0" w:firstLine="0"/>
        <w:jc w:val="right"/>
        <w:rPr>
          <w:sz w:val="11"/>
        </w:rPr>
      </w:pPr>
    </w:p>
    <w:p w:rsidR="007058F2" w:rsidRDefault="00CC49D7" w:rsidP="003D5315">
      <w:pPr>
        <w:spacing w:before="10920" w:after="0" w:line="259" w:lineRule="auto"/>
        <w:ind w:left="0" w:firstLine="0"/>
        <w:jc w:val="right"/>
        <w:rPr>
          <w:sz w:val="11"/>
        </w:rPr>
      </w:pPr>
      <w:bookmarkStart w:id="0" w:name="_GoBack"/>
      <w:bookmarkEnd w:id="0"/>
      <w:proofErr w:type="spellStart"/>
      <w:r>
        <w:rPr>
          <w:sz w:val="11"/>
        </w:rPr>
        <w:t>Norstedts</w:t>
      </w:r>
      <w:proofErr w:type="spellEnd"/>
      <w:r>
        <w:rPr>
          <w:sz w:val="11"/>
        </w:rPr>
        <w:t xml:space="preserve"> </w:t>
      </w:r>
      <w:proofErr w:type="spellStart"/>
      <w:r>
        <w:rPr>
          <w:sz w:val="11"/>
        </w:rPr>
        <w:t>Juridik</w:t>
      </w:r>
      <w:proofErr w:type="spellEnd"/>
      <w:r>
        <w:rPr>
          <w:sz w:val="11"/>
        </w:rPr>
        <w:t xml:space="preserve"> AB</w:t>
      </w:r>
    </w:p>
    <w:p w:rsidR="00551E3F" w:rsidRPr="007058F2" w:rsidRDefault="00CC49D7" w:rsidP="007058F2">
      <w:pPr>
        <w:spacing w:after="0" w:line="259" w:lineRule="auto"/>
        <w:ind w:left="0" w:firstLine="0"/>
        <w:jc w:val="right"/>
        <w:rPr>
          <w:sz w:val="11"/>
        </w:rPr>
      </w:pPr>
      <w:r>
        <w:rPr>
          <w:sz w:val="11"/>
        </w:rPr>
        <w:t>Elanders Sverige AB, 2018</w:t>
      </w:r>
    </w:p>
    <w:sectPr w:rsidR="00551E3F" w:rsidRPr="007058F2" w:rsidSect="00E812AA">
      <w:headerReference w:type="even" r:id="rId9"/>
      <w:headerReference w:type="default" r:id="rId10"/>
      <w:footerReference w:type="even" r:id="rId11"/>
      <w:footerReference w:type="default" r:id="rId12"/>
      <w:footerReference w:type="first" r:id="rId13"/>
      <w:pgSz w:w="9354" w:h="13720"/>
      <w:pgMar w:top="680" w:right="2353" w:bottom="1361" w:left="1134" w:header="720" w:footer="720"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64C" w:rsidRDefault="0036764C">
      <w:pPr>
        <w:spacing w:after="0" w:line="240" w:lineRule="auto"/>
      </w:pPr>
      <w:r>
        <w:separator/>
      </w:r>
    </w:p>
  </w:endnote>
  <w:endnote w:type="continuationSeparator" w:id="0">
    <w:p w:rsidR="0036764C" w:rsidRDefault="0036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1276" w:firstLine="0"/>
      <w:jc w:val="left"/>
    </w:pPr>
    <w:r>
      <w:fldChar w:fldCharType="begin"/>
    </w:r>
    <w:r>
      <w:instrText xml:space="preserve"> PAGE   \* MERGEFORMAT </w:instrText>
    </w:r>
    <w:r>
      <w:fldChar w:fldCharType="separate"/>
    </w:r>
    <w:r w:rsidR="003D531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3D5315">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3D531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64C" w:rsidRDefault="0036764C" w:rsidP="00E812AA">
      <w:pPr>
        <w:spacing w:after="0" w:line="230" w:lineRule="auto"/>
        <w:ind w:left="0" w:right="1837" w:firstLine="0"/>
      </w:pPr>
      <w:r>
        <w:separator/>
      </w:r>
    </w:p>
  </w:footnote>
  <w:footnote w:type="continuationSeparator" w:id="0">
    <w:p w:rsidR="0036764C" w:rsidRDefault="0036764C">
      <w:pPr>
        <w:spacing w:after="0" w:line="230" w:lineRule="auto"/>
        <w:ind w:left="412" w:right="1837" w:firstLine="0"/>
      </w:pPr>
      <w:r>
        <w:continuationSeparator/>
      </w:r>
    </w:p>
  </w:footnote>
  <w:footnote w:id="1">
    <w:p w:rsidR="00551E3F" w:rsidRPr="00E812AA" w:rsidRDefault="00CC49D7" w:rsidP="00E812AA">
      <w:pPr>
        <w:pStyle w:val="footnotedescription"/>
        <w:spacing w:line="240" w:lineRule="auto"/>
        <w:ind w:left="0"/>
        <w:jc w:val="both"/>
        <w:rPr>
          <w:szCs w:val="17"/>
        </w:rPr>
      </w:pPr>
      <w:r>
        <w:rPr>
          <w:rStyle w:val="footnotemark"/>
        </w:rPr>
        <w:footnoteRef/>
      </w:r>
      <w:r>
        <w:t xml:space="preserve"> Ver a Diretiva (UE) 2015/1535 do Parlamento Europeu e do Conselho, de 9 de setembro de 2015, relativa a um procedimento de informação no domínio das regulamentações técnicas e das regras relativas aos serviços da sociedade da informação.</w:t>
      </w:r>
    </w:p>
  </w:footnote>
  <w:footnote w:id="2">
    <w:p w:rsidR="00551E3F" w:rsidRPr="00E812AA" w:rsidRDefault="00CC49D7" w:rsidP="00E812AA">
      <w:pPr>
        <w:pStyle w:val="footnotedescription"/>
        <w:tabs>
          <w:tab w:val="center" w:pos="1348"/>
          <w:tab w:val="right" w:pos="8146"/>
        </w:tabs>
        <w:spacing w:line="240" w:lineRule="auto"/>
        <w:ind w:left="0"/>
        <w:jc w:val="both"/>
        <w:rPr>
          <w:szCs w:val="17"/>
        </w:rPr>
      </w:pPr>
      <w:r>
        <w:rPr>
          <w:rStyle w:val="footnotemark"/>
        </w:rPr>
        <w:footnoteRef/>
      </w:r>
      <w:r>
        <w:t xml:space="preserve"> Última redação 2016:829.</w:t>
      </w:r>
    </w:p>
  </w:footnote>
  <w:footnote w:id="3">
    <w:p w:rsidR="00551E3F" w:rsidRPr="00E812AA" w:rsidRDefault="00CC49D7" w:rsidP="00E812AA">
      <w:pPr>
        <w:pStyle w:val="footnotedescription"/>
        <w:spacing w:line="240" w:lineRule="auto"/>
        <w:ind w:left="0"/>
        <w:jc w:val="both"/>
        <w:rPr>
          <w:szCs w:val="17"/>
        </w:rPr>
      </w:pPr>
      <w:r>
        <w:rPr>
          <w:rStyle w:val="footnotemark"/>
        </w:rPr>
        <w:footnoteRef/>
      </w:r>
      <w:r>
        <w:t xml:space="preserve"> Anterior artigo 4.º revogado pelo ato 2009:954.</w:t>
      </w:r>
    </w:p>
  </w:footnote>
  <w:footnote w:id="4">
    <w:p w:rsidR="00551E3F" w:rsidRPr="00E812AA" w:rsidRDefault="00CC49D7" w:rsidP="00E812AA">
      <w:pPr>
        <w:pStyle w:val="footnotedescription"/>
        <w:spacing w:line="240" w:lineRule="auto"/>
        <w:ind w:left="0"/>
        <w:jc w:val="both"/>
        <w:rPr>
          <w:szCs w:val="17"/>
        </w:rPr>
      </w:pPr>
      <w:r>
        <w:rPr>
          <w:rStyle w:val="footnotemark"/>
        </w:rPr>
        <w:footnoteRef/>
      </w:r>
      <w:r>
        <w:t xml:space="preserve"> Anterior artigo 4.º-A revogado pelo ato 2008:255.</w:t>
      </w:r>
    </w:p>
  </w:footnote>
  <w:footnote w:id="5">
    <w:p w:rsidR="00551E3F" w:rsidRPr="00E812AA" w:rsidRDefault="00CC49D7" w:rsidP="00825642">
      <w:pPr>
        <w:pStyle w:val="footnotedescription"/>
        <w:spacing w:line="240" w:lineRule="auto"/>
        <w:ind w:left="0"/>
        <w:jc w:val="both"/>
        <w:rPr>
          <w:szCs w:val="17"/>
        </w:rPr>
      </w:pPr>
      <w:r>
        <w:rPr>
          <w:rStyle w:val="footnotemark"/>
        </w:rPr>
        <w:footnoteRef/>
      </w:r>
      <w:r>
        <w:t xml:space="preserve"> Anterior artigo 4.º-B revogado pelo ato 2008:255.</w:t>
      </w:r>
    </w:p>
  </w:footnote>
  <w:footnote w:id="6">
    <w:p w:rsidR="00E812AA" w:rsidRPr="00E812AA" w:rsidRDefault="00E812AA" w:rsidP="00825642">
      <w:pPr>
        <w:pStyle w:val="footnotedescription"/>
        <w:spacing w:line="240" w:lineRule="auto"/>
        <w:ind w:left="0"/>
        <w:jc w:val="both"/>
        <w:rPr>
          <w:rFonts w:eastAsia="宋体"/>
          <w:szCs w:val="17"/>
          <w:lang w:eastAsia="zh-CN"/>
        </w:rPr>
      </w:pPr>
      <w:r>
        <w:rPr>
          <w:vertAlign w:val="superscript"/>
        </w:rPr>
        <w:footnoteRef/>
      </w:r>
      <w:r>
        <w:t xml:space="preserve"> Última redação 2016:144.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Default="00643102" w:rsidP="00E812AA">
    <w:pPr>
      <w:pStyle w:val="Header"/>
      <w:ind w:left="0" w:firstLine="0"/>
    </w:pPr>
    <w:r>
      <w:rPr>
        <w:noProof/>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-1273810</wp:posOffset>
              </wp:positionH>
              <wp:positionV relativeFrom="paragraph">
                <wp:posOffset>104775</wp:posOffset>
              </wp:positionV>
              <wp:extent cx="1143000" cy="45720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rsidP="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00.3pt;margin-top:8.2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" stroked="f">
              <v:textbox>
                <w:txbxContent>
                  <w:p w:rsidR="00E812AA" w:rsidRPr="00E812AA" w:rsidRDefault="00E812AA" w:rsidP="00E812AA">
                    <w:pPr>
                      <w:ind w:left="0"/>
                      <w:rPr>
                        <w:b/>
                      </w:rPr>
                    </w:pPr>
                    <w:r>
                      <w:rPr>
                        <w:b/>
                      </w:rPr>
                      <w:t>SFS 2018:55</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Pr="00E812AA" w:rsidRDefault="00643102" w:rsidP="00E812AA">
    <w:pPr>
      <w:pStyle w:val="Header"/>
      <w:ind w:left="-1701" w:firstLine="0"/>
      <w:rPr>
        <w:b/>
      </w:rPr>
    </w:pPr>
    <w:r>
      <w:rPr>
        <w:b/>
        <w:noProof/>
        <w:lang w:val="en-US" w:eastAsia="zh-CN" w:bidi="ar-SA"/>
      </w:rPr>
      <mc:AlternateContent>
        <mc:Choice Requires="wps">
          <w:drawing>
            <wp:anchor distT="0" distB="0" distL="114300" distR="114300" simplePos="0" relativeHeight="251657216" behindDoc="0" locked="0" layoutInCell="1" allowOverlap="1">
              <wp:simplePos x="0" y="0"/>
              <wp:positionH relativeFrom="column">
                <wp:posOffset>3977005</wp:posOffset>
              </wp:positionH>
              <wp:positionV relativeFrom="paragraph">
                <wp:posOffset>114300</wp:posOffset>
              </wp:positionV>
              <wp:extent cx="1143000" cy="4572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13.15pt;margin-top:9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" stroked="f">
              <v:textbox>
                <w:txbxContent>
                  <w:p w:rsidR="00E812AA" w:rsidRPr="00E812AA" w:rsidRDefault="00E812AA">
                    <w:pPr>
                      <w:ind w:left="0"/>
                      <w:rPr>
                        <w:b/>
                      </w:rPr>
                    </w:pPr>
                    <w:r>
                      <w:rPr>
                        <w:b/>
                      </w:rPr>
                      <w:t>SFS 2018:55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338C0"/>
    <w:multiLevelType w:val="hybridMultilevel"/>
    <w:tmpl w:val="B5A2AEDA"/>
    <w:lvl w:ilvl="0" w:tplc="88E671A2">
      <w:start w:val="1"/>
      <w:numFmt w:val="decimal"/>
      <w:lvlText w:val="%1."/>
      <w:lvlJc w:val="left"/>
      <w:pPr>
        <w:ind w:left="4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6E0632">
      <w:start w:val="1"/>
      <w:numFmt w:val="lowerLetter"/>
      <w:lvlText w:val="%2"/>
      <w:lvlJc w:val="left"/>
      <w:pPr>
        <w:ind w:left="1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7A40B8">
      <w:start w:val="1"/>
      <w:numFmt w:val="lowerRoman"/>
      <w:lvlText w:val="%3"/>
      <w:lvlJc w:val="left"/>
      <w:pPr>
        <w:ind w:left="1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4EE1A4">
      <w:start w:val="1"/>
      <w:numFmt w:val="decimal"/>
      <w:lvlText w:val="%4"/>
      <w:lvlJc w:val="left"/>
      <w:pPr>
        <w:ind w:left="27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CADB12">
      <w:start w:val="1"/>
      <w:numFmt w:val="lowerLetter"/>
      <w:lvlText w:val="%5"/>
      <w:lvlJc w:val="left"/>
      <w:pPr>
        <w:ind w:left="34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FEE712">
      <w:start w:val="1"/>
      <w:numFmt w:val="lowerRoman"/>
      <w:lvlText w:val="%6"/>
      <w:lvlJc w:val="left"/>
      <w:pPr>
        <w:ind w:left="41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8E30C6">
      <w:start w:val="1"/>
      <w:numFmt w:val="decimal"/>
      <w:lvlText w:val="%7"/>
      <w:lvlJc w:val="left"/>
      <w:pPr>
        <w:ind w:left="48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C012C">
      <w:start w:val="1"/>
      <w:numFmt w:val="lowerLetter"/>
      <w:lvlText w:val="%8"/>
      <w:lvlJc w:val="left"/>
      <w:pPr>
        <w:ind w:left="55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1661DFE">
      <w:start w:val="1"/>
      <w:numFmt w:val="lowerRoman"/>
      <w:lvlText w:val="%9"/>
      <w:lvlJc w:val="left"/>
      <w:pPr>
        <w:ind w:left="63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5A280A"/>
    <w:multiLevelType w:val="hybridMultilevel"/>
    <w:tmpl w:val="36F83CD6"/>
    <w:lvl w:ilvl="0" w:tplc="04090011">
      <w:start w:val="1"/>
      <w:numFmt w:val="decimal"/>
      <w:lvlText w:val="%1)"/>
      <w:lvlJc w:val="left"/>
      <w:pPr>
        <w:ind w:left="397"/>
      </w:pPr>
      <w:rPr>
        <w:b w:val="0"/>
        <w:i w:val="0"/>
        <w:strike w:val="0"/>
        <w:dstrike w:val="0"/>
        <w:color w:val="000000"/>
        <w:sz w:val="19"/>
        <w:szCs w:val="19"/>
        <w:u w:val="none" w:color="000000"/>
        <w:bdr w:val="none" w:sz="0" w:space="0" w:color="auto"/>
        <w:shd w:val="clear" w:color="auto" w:fill="auto"/>
        <w:vertAlign w:val="baseline"/>
      </w:rPr>
    </w:lvl>
    <w:lvl w:ilvl="1" w:tplc="496AEBAC">
      <w:start w:val="1"/>
      <w:numFmt w:val="lowerLetter"/>
      <w:lvlText w:val="%2"/>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4072B4">
      <w:start w:val="1"/>
      <w:numFmt w:val="lowerRoman"/>
      <w:lvlText w:val="%3"/>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328C18">
      <w:start w:val="1"/>
      <w:numFmt w:val="decimal"/>
      <w:lvlText w:val="%4"/>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1A8B98">
      <w:start w:val="1"/>
      <w:numFmt w:val="lowerLetter"/>
      <w:lvlText w:val="%5"/>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F27A06">
      <w:start w:val="1"/>
      <w:numFmt w:val="lowerRoman"/>
      <w:lvlText w:val="%6"/>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34AC36">
      <w:start w:val="1"/>
      <w:numFmt w:val="decimal"/>
      <w:lvlText w:val="%7"/>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B04680">
      <w:start w:val="1"/>
      <w:numFmt w:val="lowerLetter"/>
      <w:lvlText w:val="%8"/>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4686E0">
      <w:start w:val="1"/>
      <w:numFmt w:val="lowerRoman"/>
      <w:lvlText w:val="%9"/>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DA0C50"/>
    <w:multiLevelType w:val="hybridMultilevel"/>
    <w:tmpl w:val="26107D60"/>
    <w:lvl w:ilvl="0" w:tplc="48B6FFAE">
      <w:start w:val="1"/>
      <w:numFmt w:val="bullet"/>
      <w:lvlText w:val="–"/>
      <w:lvlJc w:val="left"/>
      <w:pPr>
        <w:ind w:left="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40E3F8C">
      <w:start w:val="1"/>
      <w:numFmt w:val="bullet"/>
      <w:lvlText w:val="o"/>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87E1362">
      <w:start w:val="1"/>
      <w:numFmt w:val="bullet"/>
      <w:lvlText w:val="▪"/>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D4C1CC">
      <w:start w:val="1"/>
      <w:numFmt w:val="bullet"/>
      <w:lvlText w:val="•"/>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59AC512">
      <w:start w:val="1"/>
      <w:numFmt w:val="bullet"/>
      <w:lvlText w:val="o"/>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CE9388">
      <w:start w:val="1"/>
      <w:numFmt w:val="bullet"/>
      <w:lvlText w:val="▪"/>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369006">
      <w:start w:val="1"/>
      <w:numFmt w:val="bullet"/>
      <w:lvlText w:val="•"/>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34DA78">
      <w:start w:val="1"/>
      <w:numFmt w:val="bullet"/>
      <w:lvlText w:val="o"/>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89080">
      <w:start w:val="1"/>
      <w:numFmt w:val="bullet"/>
      <w:lvlText w:val="▪"/>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DB568C1"/>
    <w:multiLevelType w:val="hybridMultilevel"/>
    <w:tmpl w:val="61963B5C"/>
    <w:lvl w:ilvl="0" w:tplc="04090011">
      <w:start w:val="1"/>
      <w:numFmt w:val="decimal"/>
      <w:lvlText w:val="%1)"/>
      <w:lvlJc w:val="left"/>
      <w:pPr>
        <w:ind w:left="1714"/>
      </w:pPr>
      <w:rPr>
        <w:b w:val="0"/>
        <w:i w:val="0"/>
        <w:strike w:val="0"/>
        <w:dstrike w:val="0"/>
        <w:color w:val="000000"/>
        <w:sz w:val="19"/>
        <w:szCs w:val="19"/>
        <w:u w:val="none" w:color="000000"/>
        <w:bdr w:val="none" w:sz="0" w:space="0" w:color="auto"/>
        <w:shd w:val="clear" w:color="auto" w:fill="auto"/>
        <w:vertAlign w:val="baseline"/>
      </w:rPr>
    </w:lvl>
    <w:lvl w:ilvl="1" w:tplc="1E6A0EA8">
      <w:start w:val="1"/>
      <w:numFmt w:val="lowerLetter"/>
      <w:lvlText w:val="%2"/>
      <w:lvlJc w:val="left"/>
      <w:pPr>
        <w:ind w:left="3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110D80A">
      <w:start w:val="1"/>
      <w:numFmt w:val="lowerRoman"/>
      <w:lvlText w:val="%3"/>
      <w:lvlJc w:val="left"/>
      <w:pPr>
        <w:ind w:left="3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AC4E194">
      <w:start w:val="1"/>
      <w:numFmt w:val="decimal"/>
      <w:lvlText w:val="%4"/>
      <w:lvlJc w:val="left"/>
      <w:pPr>
        <w:ind w:left="4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BAC7B0">
      <w:start w:val="1"/>
      <w:numFmt w:val="lowerLetter"/>
      <w:lvlText w:val="%5"/>
      <w:lvlJc w:val="left"/>
      <w:pPr>
        <w:ind w:left="5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F05078">
      <w:start w:val="1"/>
      <w:numFmt w:val="lowerRoman"/>
      <w:lvlText w:val="%6"/>
      <w:lvlJc w:val="left"/>
      <w:pPr>
        <w:ind w:left="5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916C030">
      <w:start w:val="1"/>
      <w:numFmt w:val="decimal"/>
      <w:lvlText w:val="%7"/>
      <w:lvlJc w:val="left"/>
      <w:pPr>
        <w:ind w:left="6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126992">
      <w:start w:val="1"/>
      <w:numFmt w:val="lowerLetter"/>
      <w:lvlText w:val="%8"/>
      <w:lvlJc w:val="left"/>
      <w:pPr>
        <w:ind w:left="7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FC789A">
      <w:start w:val="1"/>
      <w:numFmt w:val="lowerRoman"/>
      <w:lvlText w:val="%9"/>
      <w:lvlJc w:val="left"/>
      <w:pPr>
        <w:ind w:left="8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1304"/>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3F"/>
    <w:rsid w:val="00015EA3"/>
    <w:rsid w:val="001716B1"/>
    <w:rsid w:val="00215ED8"/>
    <w:rsid w:val="002619B5"/>
    <w:rsid w:val="0036764C"/>
    <w:rsid w:val="003D5315"/>
    <w:rsid w:val="004707E8"/>
    <w:rsid w:val="004B717A"/>
    <w:rsid w:val="00551E3F"/>
    <w:rsid w:val="00643102"/>
    <w:rsid w:val="00651E3A"/>
    <w:rsid w:val="007058F2"/>
    <w:rsid w:val="007154F6"/>
    <w:rsid w:val="00793620"/>
    <w:rsid w:val="007D7823"/>
    <w:rsid w:val="008062AA"/>
    <w:rsid w:val="00825642"/>
    <w:rsid w:val="008802E6"/>
    <w:rsid w:val="008B7F39"/>
    <w:rsid w:val="00943D0F"/>
    <w:rsid w:val="00952D25"/>
    <w:rsid w:val="00A065E3"/>
    <w:rsid w:val="00CC49D7"/>
    <w:rsid w:val="00DA5828"/>
    <w:rsid w:val="00DB4B0C"/>
    <w:rsid w:val="00E8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117386-FD52-40CE-9834-BBBB910A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PT" w:eastAsia="pt-PT" w:bidi="pt-P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2" w:lineRule="auto"/>
      <w:ind w:left="422" w:hanging="10"/>
      <w:jc w:val="both"/>
    </w:pPr>
    <w:rPr>
      <w:rFonts w:ascii="Times New Roman" w:hAnsi="Times New Roman"/>
      <w:color w:val="000000"/>
      <w:sz w:val="19"/>
      <w:szCs w:val="22"/>
    </w:rPr>
  </w:style>
  <w:style w:type="paragraph" w:styleId="Heading1">
    <w:name w:val="heading 1"/>
    <w:next w:val="Normal"/>
    <w:link w:val="Heading1Char"/>
    <w:uiPriority w:val="9"/>
    <w:unhideWhenUsed/>
    <w:qFormat/>
    <w:pPr>
      <w:keepNext/>
      <w:keepLines/>
      <w:spacing w:after="79" w:line="259" w:lineRule="auto"/>
      <w:ind w:left="11"/>
      <w:outlineLvl w:val="0"/>
    </w:pPr>
    <w:rPr>
      <w:rFonts w:ascii="Times New Roman" w:hAnsi="Times New Roman"/>
      <w:b/>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rPr>
  </w:style>
  <w:style w:type="paragraph" w:customStyle="1" w:styleId="footnotedescription">
    <w:name w:val="footnote description"/>
    <w:next w:val="Normal"/>
    <w:link w:val="footnotedescriptionChar"/>
    <w:hidden/>
    <w:pPr>
      <w:spacing w:line="259" w:lineRule="auto"/>
      <w:ind w:left="1111"/>
    </w:pPr>
    <w:rPr>
      <w:rFonts w:ascii="Times New Roman" w:hAnsi="Times New Roman"/>
      <w:color w:val="000000"/>
      <w:sz w:val="17"/>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customStyle="1" w:styleId="RKbas">
    <w:name w:val="RKbas"/>
    <w:link w:val="RKbasChar"/>
    <w:uiPriority w:val="11"/>
    <w:semiHidden/>
    <w:rsid w:val="00DB4B0C"/>
    <w:rPr>
      <w:rFonts w:ascii="Times New Roman" w:eastAsia="宋体" w:hAnsi="Times New Roman"/>
      <w:szCs w:val="22"/>
    </w:rPr>
  </w:style>
  <w:style w:type="character" w:customStyle="1" w:styleId="RKbasChar">
    <w:name w:val="RKbas Char"/>
    <w:link w:val="RKbas"/>
    <w:uiPriority w:val="11"/>
    <w:semiHidden/>
    <w:rsid w:val="00DB4B0C"/>
    <w:rPr>
      <w:rFonts w:ascii="Times New Roman" w:eastAsia="宋体" w:hAnsi="Times New Roman"/>
      <w:szCs w:val="22"/>
      <w:lang w:val="pt-PT"/>
    </w:rPr>
  </w:style>
  <w:style w:type="paragraph" w:styleId="BodyText">
    <w:name w:val="Body Text"/>
    <w:basedOn w:val="RKbas"/>
    <w:next w:val="BodyTextIndent"/>
    <w:link w:val="BodyTextChar"/>
    <w:qFormat/>
    <w:rsid w:val="00DB4B0C"/>
    <w:pPr>
      <w:tabs>
        <w:tab w:val="left" w:pos="227"/>
        <w:tab w:val="left" w:pos="397"/>
        <w:tab w:val="left" w:pos="3062"/>
      </w:tabs>
      <w:spacing w:line="232" w:lineRule="exact"/>
      <w:jc w:val="both"/>
    </w:pPr>
    <w:rPr>
      <w:sz w:val="19"/>
    </w:rPr>
  </w:style>
  <w:style w:type="character" w:customStyle="1" w:styleId="BodyTextChar">
    <w:name w:val="Body Text Char"/>
    <w:link w:val="BodyText"/>
    <w:rsid w:val="00DB4B0C"/>
    <w:rPr>
      <w:rFonts w:ascii="Times New Roman" w:eastAsia="宋体" w:hAnsi="Times New Roman"/>
      <w:sz w:val="19"/>
      <w:szCs w:val="22"/>
      <w:lang w:val="pt-PT"/>
    </w:rPr>
  </w:style>
  <w:style w:type="paragraph" w:styleId="BodyTextIndent">
    <w:name w:val="Body Text Indent"/>
    <w:basedOn w:val="Normal"/>
    <w:link w:val="BodyTextIndentChar"/>
    <w:uiPriority w:val="99"/>
    <w:semiHidden/>
    <w:unhideWhenUsed/>
    <w:rsid w:val="00DB4B0C"/>
    <w:pPr>
      <w:spacing w:after="120"/>
      <w:ind w:left="283"/>
    </w:pPr>
  </w:style>
  <w:style w:type="character" w:customStyle="1" w:styleId="BodyTextIndentChar">
    <w:name w:val="Body Text Indent Char"/>
    <w:link w:val="BodyTextIndent"/>
    <w:uiPriority w:val="99"/>
    <w:semiHidden/>
    <w:rsid w:val="00DB4B0C"/>
    <w:rPr>
      <w:rFonts w:ascii="Times New Roman" w:hAnsi="Times New Roman"/>
      <w:color w:val="000000"/>
      <w:sz w:val="19"/>
      <w:szCs w:val="22"/>
      <w:lang w:val="pt-PT" w:eastAsia="pt-PT"/>
    </w:rPr>
  </w:style>
  <w:style w:type="paragraph" w:styleId="Header">
    <w:name w:val="header"/>
    <w:basedOn w:val="Normal"/>
    <w:link w:val="HeaderChar"/>
    <w:uiPriority w:val="99"/>
    <w:unhideWhenUsed/>
    <w:rsid w:val="00E812AA"/>
    <w:pPr>
      <w:tabs>
        <w:tab w:val="center" w:pos="4320"/>
        <w:tab w:val="right" w:pos="8640"/>
      </w:tabs>
    </w:pPr>
  </w:style>
  <w:style w:type="character" w:customStyle="1" w:styleId="HeaderChar">
    <w:name w:val="Header Char"/>
    <w:link w:val="Header"/>
    <w:uiPriority w:val="99"/>
    <w:rsid w:val="00E812AA"/>
    <w:rPr>
      <w:rFonts w:ascii="Times New Roman" w:hAnsi="Times New Roman"/>
      <w:color w:val="000000"/>
      <w:sz w:val="19"/>
      <w:szCs w:val="22"/>
      <w:lang w:val="pt-PT" w:eastAsia="pt-PT"/>
    </w:rPr>
  </w:style>
  <w:style w:type="paragraph" w:styleId="Footer">
    <w:name w:val="footer"/>
    <w:basedOn w:val="Normal"/>
    <w:link w:val="FooterChar"/>
    <w:uiPriority w:val="99"/>
    <w:unhideWhenUsed/>
    <w:rsid w:val="00E812AA"/>
    <w:pPr>
      <w:tabs>
        <w:tab w:val="center" w:pos="4320"/>
        <w:tab w:val="right" w:pos="8640"/>
      </w:tabs>
    </w:pPr>
  </w:style>
  <w:style w:type="character" w:customStyle="1" w:styleId="FooterChar">
    <w:name w:val="Footer Char"/>
    <w:link w:val="Footer"/>
    <w:uiPriority w:val="99"/>
    <w:rsid w:val="00E812AA"/>
    <w:rPr>
      <w:rFonts w:ascii="Times New Roman" w:hAnsi="Times New Roman"/>
      <w:color w:val="000000"/>
      <w:sz w:val="19"/>
      <w:szCs w:val="22"/>
      <w:lang w:val="pt-PT" w:eastAsia="pt-PT"/>
    </w:rPr>
  </w:style>
  <w:style w:type="paragraph" w:styleId="FootnoteText">
    <w:name w:val="footnote text"/>
    <w:basedOn w:val="Normal"/>
    <w:link w:val="FootnoteTextChar"/>
    <w:uiPriority w:val="99"/>
    <w:semiHidden/>
    <w:unhideWhenUsed/>
    <w:rsid w:val="00E812AA"/>
    <w:rPr>
      <w:sz w:val="20"/>
      <w:szCs w:val="20"/>
    </w:rPr>
  </w:style>
  <w:style w:type="character" w:customStyle="1" w:styleId="FootnoteTextChar">
    <w:name w:val="Footnote Text Char"/>
    <w:link w:val="FootnoteText"/>
    <w:uiPriority w:val="99"/>
    <w:semiHidden/>
    <w:rsid w:val="00E812AA"/>
    <w:rPr>
      <w:rFonts w:ascii="Times New Roman" w:hAnsi="Times New Roman"/>
      <w:color w:val="000000"/>
      <w:lang w:val="pt-PT" w:eastAsia="pt-PT"/>
    </w:rPr>
  </w:style>
  <w:style w:type="character" w:styleId="FootnoteReference">
    <w:name w:val="footnote reference"/>
    <w:uiPriority w:val="99"/>
    <w:semiHidden/>
    <w:unhideWhenUsed/>
    <w:rsid w:val="00E812AA"/>
    <w:rPr>
      <w:vertAlign w:val="superscript"/>
    </w:rPr>
  </w:style>
  <w:style w:type="paragraph" w:styleId="PlainText">
    <w:name w:val="Plain Text"/>
    <w:basedOn w:val="Normal"/>
    <w:link w:val="PlainTextChar"/>
    <w:uiPriority w:val="99"/>
    <w:unhideWhenUsed/>
    <w:rsid w:val="00943D0F"/>
    <w:pPr>
      <w:spacing w:after="0" w:line="240" w:lineRule="auto"/>
      <w:ind w:lef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943D0F"/>
    <w:rPr>
      <w:rFonts w:ascii="Consolas" w:hAnsi="Consolas"/>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74A1C-42BF-4DC5-8795-A94C9185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835</Words>
  <Characters>4762</Characters>
  <Application>Microsoft Office Word</Application>
  <DocSecurity>0</DocSecurity>
  <Lines>39</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0055.fm</vt:lpstr>
      <vt:lpstr>0055.fm</vt:lpstr>
    </vt:vector>
  </TitlesOfParts>
  <Company>Kommerskollegium</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0055.fm</dc:title>
  <dc:subject/>
  <dc:creator>leer01</dc:creator>
  <cp:keywords/>
  <cp:lastModifiedBy>Liu, Lei</cp:lastModifiedBy>
  <cp:revision>5</cp:revision>
  <dcterms:created xsi:type="dcterms:W3CDTF">2019-04-30T10:57:00Z</dcterms:created>
  <dcterms:modified xsi:type="dcterms:W3CDTF">2019-05-08T12:31:00Z</dcterms:modified>
</cp:coreProperties>
</file>