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1E35" w:rsidRPr="00A92569" w:rsidRDefault="00971E35" w:rsidP="00971E35">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0791 F-- DE- ------ 20201221 ---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21B80" w:rsidRPr="006C397D">
        <w:trPr>
          <w:cantSplit/>
        </w:trPr>
        <w:tc>
          <w:tcPr>
            <w:tcW w:w="3982" w:type="dxa"/>
            <w:gridSpan w:val="3"/>
            <w:shd w:val="clear" w:color="auto" w:fill="auto"/>
          </w:tcPr>
          <w:bookmarkEnd w:id="0"/>
          <w:p w:rsidR="00121B80" w:rsidRPr="006C397D" w:rsidRDefault="00121B80">
            <w:pPr>
              <w:pStyle w:val="SNREPUBLIQUE"/>
              <w:snapToGrid w:val="0"/>
            </w:pPr>
            <w:r>
              <w:t xml:space="preserve">FRANZÖSISCHE REPUBLIK</w:t>
            </w:r>
          </w:p>
        </w:tc>
      </w:tr>
      <w:tr w:rsidR="00D85F5D" w:rsidRPr="006C397D" w:rsidTr="00A73D1D">
        <w:trPr>
          <w:cantSplit/>
          <w:trHeight w:hRule="exact" w:val="113"/>
        </w:trPr>
        <w:tc>
          <w:tcPr>
            <w:tcW w:w="1527" w:type="dxa"/>
            <w:shd w:val="clear" w:color="auto" w:fill="auto"/>
          </w:tcPr>
          <w:p w:rsidR="00121B80" w:rsidRPr="006C397D" w:rsidRDefault="00121B80">
            <w:pPr>
              <w:snapToGrid w:val="0"/>
            </w:pPr>
          </w:p>
        </w:tc>
        <w:tc>
          <w:tcPr>
            <w:tcW w:w="968" w:type="dxa"/>
            <w:tcBorders>
              <w:bottom w:val="single" w:sz="4" w:space="0" w:color="auto"/>
            </w:tcBorders>
            <w:shd w:val="clear" w:color="auto" w:fill="auto"/>
          </w:tcPr>
          <w:p w:rsidR="00121B80" w:rsidRPr="006C397D" w:rsidRDefault="00121B80">
            <w:pPr>
              <w:snapToGrid w:val="0"/>
            </w:pPr>
          </w:p>
        </w:tc>
        <w:tc>
          <w:tcPr>
            <w:tcW w:w="1487" w:type="dxa"/>
            <w:shd w:val="clear" w:color="auto" w:fill="auto"/>
          </w:tcPr>
          <w:p w:rsidR="00121B80" w:rsidRPr="006C397D" w:rsidRDefault="00121B80">
            <w:pPr>
              <w:snapToGrid w:val="0"/>
            </w:pPr>
          </w:p>
        </w:tc>
      </w:tr>
      <w:tr w:rsidR="00121B80" w:rsidRPr="006C397D">
        <w:trPr>
          <w:cantSplit/>
        </w:trPr>
        <w:tc>
          <w:tcPr>
            <w:tcW w:w="3982" w:type="dxa"/>
            <w:gridSpan w:val="3"/>
            <w:shd w:val="clear" w:color="auto" w:fill="auto"/>
          </w:tcPr>
          <w:p w:rsidR="00121B80" w:rsidRPr="006C397D" w:rsidRDefault="00121B80">
            <w:pPr>
              <w:pStyle w:val="SNTimbre"/>
            </w:pPr>
            <w:r>
              <w:t xml:space="preserve">Ministerium für den ökologischen Wandel</w:t>
            </w:r>
            <w:r>
              <w:t xml:space="preserve"> </w:t>
            </w:r>
          </w:p>
        </w:tc>
      </w:tr>
      <w:tr w:rsidR="00121B80" w:rsidRPr="006C397D">
        <w:trPr>
          <w:cantSplit/>
        </w:trPr>
        <w:tc>
          <w:tcPr>
            <w:tcW w:w="3982" w:type="dxa"/>
            <w:gridSpan w:val="3"/>
            <w:shd w:val="clear" w:color="auto" w:fill="auto"/>
          </w:tcPr>
          <w:p w:rsidR="00121B80" w:rsidRPr="006C397D" w:rsidRDefault="00304F7E">
            <w:pPr>
              <w:pStyle w:val="SNTimbre"/>
              <w:jc w:val="left"/>
            </w:pPr>
            <w: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6C169"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2mgIAAHs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" strokeweight=".18mm">
                      <v:stroke joinstyle="miter"/>
                    </v:line>
                  </w:pict>
                </mc:Fallback>
              </mc:AlternateContent>
            </w:r>
          </w:p>
        </w:tc>
      </w:tr>
      <w:tr w:rsidR="00121B80" w:rsidRPr="006C397D">
        <w:trPr>
          <w:cantSplit/>
        </w:trPr>
        <w:tc>
          <w:tcPr>
            <w:tcW w:w="3982" w:type="dxa"/>
            <w:gridSpan w:val="3"/>
            <w:shd w:val="clear" w:color="auto" w:fill="auto"/>
          </w:tcPr>
          <w:p w:rsidR="00121B80" w:rsidRPr="006C397D" w:rsidRDefault="00121B80">
            <w:pPr>
              <w:pStyle w:val="SNTimbre"/>
              <w:spacing w:before="0" w:after="160"/>
            </w:pPr>
            <w:r>
              <w:t xml:space="preserve">Wohnungswesen</w:t>
            </w:r>
          </w:p>
        </w:tc>
      </w:tr>
      <w:tr w:rsidR="00121B80" w:rsidRPr="006C397D">
        <w:trPr>
          <w:cantSplit/>
        </w:trPr>
        <w:tc>
          <w:tcPr>
            <w:tcW w:w="3982" w:type="dxa"/>
            <w:gridSpan w:val="3"/>
            <w:shd w:val="clear" w:color="auto" w:fill="auto"/>
          </w:tcPr>
          <w:p w:rsidR="00121B80" w:rsidRPr="006C397D" w:rsidRDefault="00121B80">
            <w:pPr>
              <w:pStyle w:val="SNTimbre"/>
              <w:jc w:val="left"/>
              <w:rPr>
                <w:highlight w:val="yellow"/>
              </w:rPr>
            </w:pPr>
          </w:p>
        </w:tc>
      </w:tr>
    </w:tbl>
    <w:p w:rsidR="00121B80" w:rsidRPr="006C397D" w:rsidRDefault="00121B80">
      <w:pPr>
        <w:widowControl w:val="0"/>
        <w:spacing w:after="0" w:line="240" w:lineRule="auto"/>
        <w:jc w:val="center"/>
      </w:pPr>
      <w:r>
        <w:rPr>
          <w:b/>
          <w:sz w:val="24"/>
          <w:rFonts w:ascii="Times New Roman" w:hAnsi="Times New Roman"/>
        </w:rPr>
        <w:t xml:space="preserve">Erlass vom</w:t>
      </w:r>
    </w:p>
    <w:p w:rsidR="00121B80" w:rsidRPr="006C397D" w:rsidRDefault="00371CC6" w:rsidP="00D125B4">
      <w:pPr>
        <w:widowControl w:val="0"/>
        <w:spacing w:after="0" w:line="240" w:lineRule="auto"/>
        <w:jc w:val="center"/>
      </w:pPr>
      <w:r>
        <w:rPr>
          <w:b/>
          <w:sz w:val="24"/>
          <w:rFonts w:ascii="Times New Roman" w:hAnsi="Times New Roman"/>
        </w:rPr>
        <w:t xml:space="preserve">zur Genehmigung des Berechnungsverfahrens gemäß Artikel R. 111-20-5 der Bau- und Wohnungsordnung</w:t>
      </w:r>
    </w:p>
    <w:p w:rsidR="00121B80" w:rsidRPr="006C397D" w:rsidRDefault="00121B80">
      <w:pPr>
        <w:pStyle w:val="SNNORCentr"/>
      </w:pPr>
      <w:r>
        <w:t xml:space="preserve">NOR-Nr.:</w:t>
      </w:r>
      <w:r>
        <w:t xml:space="preserve"> </w:t>
      </w:r>
    </w:p>
    <w:p w:rsidR="00121B80" w:rsidRPr="006C397D" w:rsidRDefault="00121B80">
      <w:pPr>
        <w:jc w:val="both"/>
        <w:rPr>
          <w:rFonts w:ascii="Times New Roman" w:eastAsia="Arial" w:hAnsi="Times New Roman" w:cs="Times New Roman"/>
          <w:bCs/>
          <w:i/>
          <w:iCs/>
          <w:sz w:val="24"/>
          <w:szCs w:val="24"/>
          <w:u w:val="single"/>
        </w:rPr>
      </w:pPr>
    </w:p>
    <w:p w:rsidR="00121B80" w:rsidRPr="006C397D" w:rsidRDefault="00121B80" w:rsidP="00371CC6">
      <w:pPr>
        <w:jc w:val="both"/>
      </w:pPr>
      <w:r>
        <w:rPr>
          <w:i/>
          <w:sz w:val="24"/>
          <w:u w:val="single"/>
          <w:rFonts w:ascii="Times New Roman" w:hAnsi="Times New Roman"/>
        </w:rPr>
        <w:t xml:space="preserve">Betroffene Zielgruppen</w:t>
      </w:r>
      <w:r>
        <w:rPr>
          <w:i/>
          <w:sz w:val="24"/>
          <w:rFonts w:ascii="Times New Roman" w:hAnsi="Times New Roman"/>
        </w:rPr>
        <w:t xml:space="preserve">:</w:t>
      </w:r>
      <w:r>
        <w:rPr>
          <w:i/>
          <w:sz w:val="24"/>
          <w:rFonts w:ascii="Times New Roman" w:hAnsi="Times New Roman"/>
        </w:rPr>
        <w:t xml:space="preserve"> </w:t>
      </w:r>
      <w:r>
        <w:rPr>
          <w:i/>
          <w:sz w:val="24"/>
          <w:rFonts w:ascii="Times New Roman" w:hAnsi="Times New Roman"/>
        </w:rPr>
        <w:t xml:space="preserve">Bauherren, Bauleiter, Konstrukteure und Bauträger, Architekten, Büros für Wärme- und Umweltstudien, Gebäudeökonomen, technische Prüfer, Bauunternehmen, Hersteller von Baumaterialien und technischen Gebäudesystemen, Energielieferanten im französischen Mutterland.</w:t>
      </w:r>
    </w:p>
    <w:p w:rsidR="00121B80" w:rsidRPr="006C397D" w:rsidRDefault="00121B80">
      <w:pPr>
        <w:jc w:val="both"/>
      </w:pPr>
      <w:r>
        <w:rPr>
          <w:i/>
          <w:sz w:val="24"/>
          <w:u w:val="single"/>
          <w:rFonts w:ascii="Times New Roman" w:hAnsi="Times New Roman"/>
        </w:rPr>
        <w:t xml:space="preserve">Gegenstand</w:t>
      </w:r>
      <w:r>
        <w:rPr>
          <w:i/>
          <w:sz w:val="24"/>
          <w:rFonts w:ascii="Times New Roman" w:hAnsi="Times New Roman"/>
        </w:rPr>
        <w:t xml:space="preserve">: Festlegung des Verfahrens für die Berechnung der Energieeffizienz und Umweltverträglichkeit von Wohn- und Bürogebäuden sowie Gebäuden des Grund- und Oberschulwesens im französischen Mutterland für die Anwendung des Erlasses vom </w:t>
      </w:r>
      <w:r>
        <w:rPr>
          <w:i/>
          <w:sz w:val="24"/>
          <w:highlight w:val="yellow"/>
          <w:rFonts w:ascii="Times New Roman" w:hAnsi="Times New Roman"/>
        </w:rPr>
        <w:t xml:space="preserve">XXX</w:t>
      </w:r>
      <w:r>
        <w:rPr>
          <w:i/>
          <w:sz w:val="24"/>
          <w:rFonts w:ascii="Times New Roman" w:hAnsi="Times New Roman"/>
        </w:rPr>
        <w:t xml:space="preserve"> über die Anforderungen an die Energieeffizienz und Umweltverträglichkeit von Wohn- und Bürogebäuden sowie Gebäuden des Grund- und Oberschulwesens im französischen Mutterland</w:t>
      </w:r>
    </w:p>
    <w:p w:rsidR="00371CC6" w:rsidRPr="006C397D" w:rsidRDefault="00121B80">
      <w:pPr>
        <w:spacing w:after="0" w:line="240" w:lineRule="auto"/>
        <w:jc w:val="both"/>
        <w:rPr>
          <w:i/>
          <w:iCs/>
          <w:kern w:val="2"/>
          <w:sz w:val="24"/>
          <w:szCs w:val="24"/>
          <w:rFonts w:ascii="Times New Roman" w:eastAsia="Times New Roman" w:hAnsi="Times New Roman" w:cs="Times New Roman"/>
        </w:rPr>
      </w:pPr>
      <w:r>
        <w:rPr>
          <w:i/>
          <w:sz w:val="24"/>
          <w:u w:val="single"/>
          <w:rFonts w:ascii="Times New Roman" w:hAnsi="Times New Roman"/>
        </w:rPr>
        <w:t xml:space="preserve">Inkrafttreten</w:t>
      </w:r>
      <w:r>
        <w:rPr>
          <w:i/>
          <w:sz w:val="24"/>
          <w:rFonts w:ascii="Times New Roman" w:hAnsi="Times New Roman"/>
        </w:rPr>
        <w:t xml:space="preserve">:</w:t>
      </w:r>
      <w:r>
        <w:rPr>
          <w:i/>
          <w:sz w:val="24"/>
          <w:rFonts w:ascii="Times New Roman" w:hAnsi="Times New Roman"/>
        </w:rPr>
        <w:t xml:space="preserve"> </w:t>
      </w:r>
      <w:r>
        <w:rPr>
          <w:i/>
          <w:sz w:val="24"/>
          <w:rFonts w:ascii="Times New Roman" w:hAnsi="Times New Roman"/>
        </w:rPr>
        <w:t xml:space="preserve">Der vorliegende Erlass findet ab dem 1. Juli 2021 Anwendung.</w:t>
      </w:r>
    </w:p>
    <w:p w:rsidR="00371CC6" w:rsidRPr="006C397D" w:rsidRDefault="00371CC6">
      <w:pPr>
        <w:spacing w:after="0" w:line="240" w:lineRule="auto"/>
        <w:jc w:val="both"/>
        <w:rPr>
          <w:rFonts w:ascii="Times New Roman" w:eastAsia="Times New Roman" w:hAnsi="Times New Roman" w:cs="Times New Roman"/>
          <w:i/>
          <w:iCs/>
          <w:kern w:val="2"/>
          <w:sz w:val="24"/>
          <w:szCs w:val="24"/>
          <w:lang w:eastAsia="zh-CN"/>
        </w:rPr>
      </w:pPr>
    </w:p>
    <w:p w:rsidR="00371CC6" w:rsidRPr="006C397D" w:rsidRDefault="00121B80" w:rsidP="006C397D">
      <w:pPr>
        <w:keepNext/>
        <w:spacing w:after="0" w:line="240" w:lineRule="auto"/>
        <w:jc w:val="both"/>
        <w:rPr>
          <w:i/>
          <w:iCs/>
          <w:sz w:val="24"/>
          <w:szCs w:val="24"/>
          <w:rFonts w:ascii="Times New Roman" w:hAnsi="Times New Roman" w:cs="Times New Roman"/>
        </w:rPr>
      </w:pPr>
      <w:r>
        <w:rPr>
          <w:i/>
          <w:sz w:val="24"/>
          <w:u w:val="single"/>
          <w:rFonts w:ascii="Times New Roman" w:hAnsi="Times New Roman"/>
        </w:rPr>
        <w:t xml:space="preserve">Hinweis</w:t>
      </w:r>
      <w:r>
        <w:rPr>
          <w:i/>
          <w:sz w:val="24"/>
          <w:rFonts w:ascii="Times New Roman" w:hAnsi="Times New Roman"/>
        </w:rPr>
        <w:t xml:space="preserve">:</w:t>
      </w:r>
      <w:r>
        <w:rPr>
          <w:i/>
          <w:sz w:val="24"/>
          <w:rFonts w:ascii="Times New Roman" w:hAnsi="Times New Roman"/>
        </w:rPr>
        <w:t xml:space="preserve"> </w:t>
      </w:r>
      <w:r>
        <w:rPr>
          <w:i/>
          <w:sz w:val="24"/>
          <w:rFonts w:ascii="Times New Roman" w:hAnsi="Times New Roman"/>
        </w:rPr>
        <w:t xml:space="preserve">In dem Erlass wird das Verfahren für die Berechnung der Energieeffizienz und Umweltverträglichkeit von Wohn- und Bürogebäuden sowie Gebäuden des Grund- und Oberschulwesens im französischen Mutterland durch drei Anhänge geregelt:</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sz w:val="24"/>
          <w:rFonts w:ascii="Times New Roman" w:hAnsi="Times New Roman"/>
        </w:rPr>
        <w:t xml:space="preserve">Anhang I:</w:t>
      </w:r>
      <w:r>
        <w:rPr>
          <w:i/>
          <w:sz w:val="24"/>
          <w:rFonts w:ascii="Times New Roman" w:hAnsi="Times New Roman"/>
        </w:rPr>
        <w:t xml:space="preserve"> </w:t>
      </w:r>
      <w:r>
        <w:rPr>
          <w:i/>
          <w:sz w:val="24"/>
          <w:rFonts w:ascii="Times New Roman" w:hAnsi="Times New Roman"/>
        </w:rPr>
        <w:t xml:space="preserve">Allgemeine Regeln für die Berechnung der Energieeffizienz und Umweltverträglichkeit</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sz w:val="24"/>
          <w:rFonts w:ascii="Times New Roman" w:hAnsi="Times New Roman"/>
        </w:rPr>
        <w:t xml:space="preserve">Anhang II:</w:t>
      </w:r>
      <w:r>
        <w:rPr>
          <w:i/>
          <w:sz w:val="24"/>
          <w:rFonts w:ascii="Times New Roman" w:hAnsi="Times New Roman"/>
        </w:rPr>
        <w:t xml:space="preserve"> </w:t>
      </w:r>
      <w:r>
        <w:rPr>
          <w:i/>
          <w:sz w:val="24"/>
          <w:rFonts w:ascii="Times New Roman" w:hAnsi="Times New Roman"/>
        </w:rPr>
        <w:t xml:space="preserve">Berechnungsverfahren „Th-BCE 2020“, in dem die Regeln für die Berechnung der Energieeffizienz in Verbindung mit dem in Artikel L. 111-9-1-A der Bau- und Wohnungsordnung vorgesehenen Berechnungstool ausführlich beschrieben sind</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sz w:val="24"/>
          <w:rFonts w:ascii="Times New Roman" w:hAnsi="Times New Roman"/>
        </w:rPr>
        <w:t xml:space="preserve">Anhang III:</w:t>
      </w:r>
      <w:r>
        <w:rPr>
          <w:i/>
          <w:sz w:val="24"/>
          <w:rFonts w:ascii="Times New Roman" w:hAnsi="Times New Roman"/>
        </w:rPr>
        <w:t xml:space="preserve"> </w:t>
      </w:r>
      <w:r>
        <w:rPr>
          <w:i/>
          <w:sz w:val="24"/>
          <w:rFonts w:ascii="Times New Roman" w:hAnsi="Times New Roman"/>
        </w:rPr>
        <w:t xml:space="preserve">Regeln „Th-Bat 2020“ zur Bestimmung der Eingangsdaten zur Berechnung der Energieeffizienz von Gebäuden für die vorgeschriebene Berechnung</w:t>
      </w:r>
    </w:p>
    <w:p w:rsidR="00121B80" w:rsidRPr="006C397D" w:rsidRDefault="00121B80" w:rsidP="00371CC6">
      <w:pPr>
        <w:spacing w:after="0" w:line="240" w:lineRule="auto"/>
        <w:jc w:val="both"/>
      </w:pPr>
    </w:p>
    <w:p w:rsidR="00121B80" w:rsidRPr="006C397D" w:rsidRDefault="00121B80">
      <w:pPr>
        <w:jc w:val="both"/>
      </w:pPr>
      <w:r>
        <w:rPr>
          <w:i/>
          <w:sz w:val="24"/>
          <w:u w:val="single"/>
          <w:rFonts w:ascii="Times New Roman" w:hAnsi="Times New Roman"/>
        </w:rPr>
        <w:t xml:space="preserve">Verweise</w:t>
      </w:r>
      <w:r>
        <w:rPr>
          <w:i/>
          <w:sz w:val="24"/>
          <w:rFonts w:ascii="Times New Roman" w:hAnsi="Times New Roman"/>
        </w:rPr>
        <w:t xml:space="preserve">: Der Wortlaut in seiner durch den vorliegenden Erlass </w:t>
      </w:r>
      <w:r>
        <w:rPr>
          <w:i/>
          <w:sz w:val="24"/>
          <w:highlight w:val="yellow"/>
          <w:rFonts w:ascii="Times New Roman" w:hAnsi="Times New Roman"/>
        </w:rPr>
        <w:t xml:space="preserve">geänderten</w:t>
      </w:r>
      <w:r>
        <w:rPr>
          <w:i/>
          <w:sz w:val="24"/>
          <w:rFonts w:ascii="Times New Roman" w:hAnsi="Times New Roman"/>
        </w:rPr>
        <w:t xml:space="preserve"> Fassung kann auf der Website Legifrance (</w:t>
      </w:r>
      <w:hyperlink r:id="rId7" w:history="1">
        <w:r>
          <w:rPr>
            <w:rStyle w:val="Hyperlink"/>
            <w:i/>
            <w:iCs/>
            <w:sz w:val="24"/>
            <w:szCs w:val="24"/>
            <w:rFonts w:ascii="Times New Roman" w:hAnsi="Times New Roman"/>
          </w:rPr>
          <w:t xml:space="preserve">www.legifrance.gouv.fr</w:t>
        </w:r>
      </w:hyperlink>
      <w:r>
        <w:rPr>
          <w:i/>
          <w:sz w:val="24"/>
          <w:rFonts w:ascii="Times New Roman" w:hAnsi="Times New Roman"/>
        </w:rPr>
        <w:t xml:space="preserve">) eingesehen werden.</w:t>
      </w:r>
    </w:p>
    <w:p w:rsidR="00121B80" w:rsidRPr="006C397D" w:rsidRDefault="00121B80">
      <w:pPr>
        <w:rPr>
          <w:rFonts w:ascii="Times New Roman" w:eastAsia="Times New Roman" w:hAnsi="Times New Roman" w:cs="Times New Roman"/>
          <w:kern w:val="2"/>
          <w:sz w:val="24"/>
          <w:szCs w:val="24"/>
        </w:rPr>
      </w:pPr>
    </w:p>
    <w:p w:rsidR="00371CC6" w:rsidRPr="006C397D" w:rsidRDefault="00121B80" w:rsidP="00371CC6">
      <w:pPr>
        <w:pStyle w:val="SNAutorit"/>
        <w:pageBreakBefore/>
        <w:suppressAutoHyphens w:val="0"/>
        <w:ind w:firstLine="0"/>
        <w:jc w:val="both"/>
        <w:rPr>
          <w:b w:val="0"/>
        </w:rPr>
      </w:pPr>
      <w:r>
        <w:rPr>
          <w:b w:val="0"/>
          <w:highlight w:val="yellow"/>
        </w:rPr>
        <w:t xml:space="preserve">Die Ministerin für den ökologischen Wandel, die beigeordnete Ministerin für das Wohnungswesen bei der Ministerin für den ökologischen Wandel,</w:t>
      </w:r>
    </w:p>
    <w:p w:rsidR="000A64C4" w:rsidRPr="006C397D" w:rsidRDefault="00972FD1" w:rsidP="00371CC6">
      <w:pPr>
        <w:jc w:val="both"/>
        <w:rPr>
          <w:sz w:val="24"/>
          <w:szCs w:val="24"/>
          <w:rFonts w:ascii="Times New Roman" w:hAnsi="Times New Roman" w:cs="Times New Roman"/>
        </w:rPr>
      </w:pPr>
      <w:r>
        <w:rPr>
          <w:sz w:val="24"/>
          <w:rFonts w:ascii="Times New Roman" w:hAnsi="Times New Roman"/>
        </w:rPr>
        <w:t xml:space="preserve">gestützt auf die Richtlinie (EU) 2015/1535 des Europäischen Parlaments und des Rates vom 9. September 2015 über ein Informationsverfahren auf dem Gebiet der technischen Vorschriften und der Vorschriften für die Dienste der Informationsgesellschaft (kodifizierter Text), insbesondere auf die Notifizierung Nr. </w:t>
      </w:r>
      <w:r>
        <w:rPr>
          <w:sz w:val="24"/>
          <w:highlight w:val="yellow"/>
          <w:rFonts w:ascii="Times New Roman" w:hAnsi="Times New Roman"/>
        </w:rPr>
        <w:t xml:space="preserve">Jahr/XXX/F</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die Richtlinie 2010/31/EU des Europäischen Parlaments und des Rates vom 19. Mai 2010 über die Gesamtenergieeffizienz von Gebäuden, geändert durch die Richtlinie (EU) 2018/844 des Europäischen Parlaments und des Rates vom 30. Mai 2018, insbesondere auf die Artikel 3, 4 und 6;</w:t>
      </w:r>
    </w:p>
    <w:p w:rsidR="00837B47" w:rsidRPr="006C397D" w:rsidRDefault="00837B47" w:rsidP="00371CC6">
      <w:pPr>
        <w:jc w:val="both"/>
        <w:rPr>
          <w:sz w:val="24"/>
          <w:szCs w:val="24"/>
          <w:rFonts w:ascii="Times New Roman" w:hAnsi="Times New Roman" w:cs="Times New Roman"/>
        </w:rPr>
      </w:pPr>
      <w:r>
        <w:rPr>
          <w:sz w:val="24"/>
          <w:rFonts w:ascii="Times New Roman" w:hAnsi="Times New Roman"/>
        </w:rPr>
        <w:t xml:space="preserve">gestützt auf die Bau- und Wohnungsordnung, insbesondere auf Artikel R. 111-20-5;</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den Erlass vom </w:t>
      </w:r>
      <w:r>
        <w:rPr>
          <w:sz w:val="24"/>
          <w:highlight w:val="yellow"/>
          <w:rFonts w:ascii="Times New Roman" w:hAnsi="Times New Roman"/>
        </w:rPr>
        <w:t xml:space="preserve">XXX</w:t>
      </w:r>
      <w:r>
        <w:rPr>
          <w:sz w:val="24"/>
          <w:rFonts w:ascii="Times New Roman" w:hAnsi="Times New Roman"/>
        </w:rPr>
        <w:t xml:space="preserve"> über die Anforderungen an die Energieeffizienz und Umweltverträglichkeit von Wohn- und Bürogebäuden sowie Gebäuden des Grund- und Oberschulwesens im französischen Mutterland;</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die Bemerkungen, die im Rahmen der öffentlichen Konsultation vom </w:t>
      </w:r>
      <w:r>
        <w:rPr>
          <w:sz w:val="24"/>
          <w:highlight w:val="yellow"/>
          <w:rFonts w:ascii="Times New Roman" w:hAnsi="Times New Roman"/>
        </w:rPr>
        <w:t xml:space="preserve">XXX </w:t>
      </w:r>
      <w:r>
        <w:rPr>
          <w:sz w:val="24"/>
          <w:rFonts w:ascii="Times New Roman" w:hAnsi="Times New Roman"/>
        </w:rPr>
        <w:t xml:space="preserve">bis </w:t>
      </w:r>
      <w:r>
        <w:rPr>
          <w:sz w:val="24"/>
          <w:highlight w:val="yellow"/>
          <w:rFonts w:ascii="Times New Roman" w:hAnsi="Times New Roman"/>
        </w:rPr>
        <w:t xml:space="preserve">XXX</w:t>
      </w:r>
      <w:r>
        <w:rPr>
          <w:sz w:val="24"/>
          <w:rFonts w:ascii="Times New Roman" w:hAnsi="Times New Roman"/>
        </w:rPr>
        <w:t xml:space="preserve"> in Anwendung des Artikels L. 120-1 des Umweltgesetzbuchs vorgebracht wurden;</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die Stellungnahme des </w:t>
      </w:r>
      <w:r>
        <w:rPr>
          <w:sz w:val="24"/>
          <w:highlight w:val="yellow"/>
          <w:rFonts w:ascii="Times New Roman" w:hAnsi="Times New Roman"/>
        </w:rPr>
        <w:t xml:space="preserve">Nationalen Rates für die Bewertung von Normen</w:t>
      </w:r>
      <w:r>
        <w:rPr>
          <w:sz w:val="24"/>
          <w:rFonts w:ascii="Times New Roman" w:hAnsi="Times New Roman"/>
        </w:rPr>
        <w:t xml:space="preserve">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die Stellungnahme des </w:t>
      </w:r>
      <w:r>
        <w:rPr>
          <w:sz w:val="24"/>
          <w:highlight w:val="yellow"/>
          <w:rFonts w:ascii="Times New Roman" w:hAnsi="Times New Roman"/>
        </w:rPr>
        <w:t xml:space="preserve">Obersten Rates für Energie</w:t>
      </w:r>
      <w:r>
        <w:rPr>
          <w:sz w:val="24"/>
          <w:rFonts w:ascii="Times New Roman" w:hAnsi="Times New Roman"/>
        </w:rPr>
        <w:t xml:space="preserve">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die Stellungnahme des Obersten Rates für Bauwesen und Energieeffizienz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der Versammlung von Französisch-Guayana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der Versammlung von Martinique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des Departementsrates von Guadeloupe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des Departementsrates von Réunion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des Regionalrates von Guadeloupe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des Regionalrates von Reunion vom </w:t>
      </w:r>
      <w:r>
        <w:rPr>
          <w:sz w:val="24"/>
          <w:highlight w:val="yellow"/>
          <w:rFonts w:ascii="Times New Roman" w:hAnsi="Times New Roman"/>
        </w:rPr>
        <w:t xml:space="preserve">XXX</w:t>
      </w:r>
      <w:r>
        <w:rPr>
          <w:sz w:val="24"/>
          <w:rFonts w:ascii="Times New Roman" w:hAnsi="Times New Roman"/>
        </w:rPr>
        <w:t xml:space="preserve">;</w:t>
      </w:r>
    </w:p>
    <w:p w:rsidR="00121B80" w:rsidRPr="006C397D" w:rsidRDefault="00371CC6" w:rsidP="00371CC6">
      <w:pPr>
        <w:jc w:val="both"/>
        <w:rPr>
          <w:sz w:val="24"/>
          <w:szCs w:val="24"/>
          <w:rFonts w:ascii="Times New Roman" w:hAnsi="Times New Roman" w:cs="Times New Roman"/>
        </w:rPr>
      </w:pPr>
      <w:r>
        <w:rPr>
          <w:sz w:val="24"/>
          <w:rFonts w:ascii="Times New Roman" w:hAnsi="Times New Roman"/>
        </w:rPr>
        <w:t xml:space="preserve">gestützt auf das Schreiben zur Anrufung des Departementsrates von Mayotte vom </w:t>
      </w:r>
      <w:r>
        <w:rPr>
          <w:sz w:val="24"/>
          <w:highlight w:val="yellow"/>
          <w:rFonts w:ascii="Times New Roman" w:hAnsi="Times New Roman"/>
        </w:rPr>
        <w:t xml:space="preserve">XXX</w:t>
      </w:r>
      <w:r>
        <w:rPr>
          <w:sz w:val="24"/>
          <w:rFonts w:ascii="Times New Roman" w:hAnsi="Times New Roman"/>
        </w:rPr>
        <w:t xml:space="preserve">;</w:t>
      </w:r>
    </w:p>
    <w:p w:rsidR="00371CC6" w:rsidRPr="006C397D" w:rsidRDefault="00371CC6" w:rsidP="00371CC6">
      <w:pPr>
        <w:jc w:val="both"/>
        <w:rPr>
          <w:rFonts w:ascii="Times New Roman" w:hAnsi="Times New Roman" w:cs="Times New Roman"/>
          <w:sz w:val="24"/>
          <w:szCs w:val="24"/>
        </w:rPr>
      </w:pPr>
    </w:p>
    <w:p w:rsidR="00121B80" w:rsidRPr="006C397D" w:rsidRDefault="00121B80">
      <w:pPr>
        <w:widowControl w:val="0"/>
        <w:spacing w:after="0" w:line="240" w:lineRule="auto"/>
        <w:rPr>
          <w:rFonts w:ascii="Times New Roman" w:hAnsi="Times New Roman" w:cs="Times New Roman"/>
          <w:sz w:val="24"/>
          <w:szCs w:val="24"/>
        </w:rPr>
      </w:pPr>
    </w:p>
    <w:p w:rsidR="00121B80" w:rsidRPr="006C397D" w:rsidRDefault="00121B80" w:rsidP="006C397D">
      <w:pPr>
        <w:keepNext/>
        <w:widowControl w:val="0"/>
        <w:spacing w:after="0" w:line="240" w:lineRule="auto"/>
        <w:jc w:val="center"/>
      </w:pPr>
      <w:r>
        <w:rPr>
          <w:b/>
          <w:sz w:val="24"/>
          <w:rFonts w:ascii="Times New Roman" w:hAnsi="Times New Roman"/>
        </w:rPr>
        <w:t xml:space="preserve">Erlassen:</w:t>
      </w:r>
    </w:p>
    <w:p w:rsidR="00121B80" w:rsidRPr="006C397D" w:rsidRDefault="00121B80" w:rsidP="006C397D">
      <w:pPr>
        <w:keepNext/>
        <w:widowControl w:val="0"/>
        <w:spacing w:after="0" w:line="240" w:lineRule="auto"/>
      </w:pPr>
      <w:r>
        <w:rPr>
          <w:sz w:val="24"/>
          <w:rFonts w:ascii="Times New Roman" w:hAnsi="Times New Roman"/>
        </w:rPr>
        <w:t xml:space="preserve"> </w:t>
      </w:r>
    </w:p>
    <w:p w:rsidR="00121B80" w:rsidRPr="006C397D" w:rsidRDefault="00121B80" w:rsidP="006C397D">
      <w:pPr>
        <w:keepNext/>
        <w:widowControl w:val="0"/>
        <w:tabs>
          <w:tab w:val="left" w:pos="3030"/>
        </w:tabs>
        <w:spacing w:after="0" w:line="240" w:lineRule="auto"/>
      </w:pPr>
      <w:r>
        <w:rPr>
          <w:sz w:val="24"/>
          <w:rFonts w:ascii="Times New Roman" w:hAnsi="Times New Roman"/>
        </w:rPr>
        <w:t xml:space="preserve"> </w:t>
      </w:r>
    </w:p>
    <w:p w:rsidR="00121B80" w:rsidRPr="006C397D" w:rsidRDefault="00121B80" w:rsidP="006C397D">
      <w:pPr>
        <w:pStyle w:val="SNArticle"/>
        <w:keepNext/>
        <w:rPr>
          <w:rFonts w:ascii="Times New Roman" w:hAnsi="Times New Roman" w:cs="Times New Roman"/>
        </w:rPr>
      </w:pPr>
      <w:r>
        <w:rPr>
          <w:rFonts w:ascii="Times New Roman" w:hAnsi="Times New Roman"/>
        </w:rPr>
        <w:t xml:space="preserve">Artikel 1</w:t>
      </w:r>
    </w:p>
    <w:p w:rsidR="00121B80" w:rsidRPr="006C397D" w:rsidRDefault="00371CC6">
      <w:pPr>
        <w:widowControl w:val="0"/>
        <w:spacing w:after="0" w:line="240" w:lineRule="auto"/>
        <w:rPr>
          <w:bCs/>
          <w:sz w:val="24"/>
          <w:szCs w:val="24"/>
          <w:rFonts w:ascii="Times New Roman" w:hAnsi="Times New Roman" w:cs="Times New Roman"/>
        </w:rPr>
      </w:pPr>
      <w:r>
        <w:rPr>
          <w:sz w:val="24"/>
          <w:rFonts w:ascii="Times New Roman" w:hAnsi="Times New Roman"/>
        </w:rPr>
        <w:t xml:space="preserve">Das im Anhang zu dem vorliegenden Erlass beigefügte Berechnungsverfahren gemäß dem Artikel R. 111-20-5 der Bau- und Wohnungsordnung wird genehmigt.</w:t>
      </w:r>
    </w:p>
    <w:p w:rsidR="001776C9" w:rsidRPr="006C397D" w:rsidRDefault="001776C9">
      <w:pPr>
        <w:widowControl w:val="0"/>
        <w:spacing w:after="0" w:line="240" w:lineRule="auto"/>
        <w:rPr>
          <w:rFonts w:ascii="Times New Roman" w:hAnsi="Times New Roman" w:cs="Times New Roman"/>
          <w:bCs/>
          <w:sz w:val="24"/>
          <w:szCs w:val="24"/>
        </w:rPr>
      </w:pPr>
    </w:p>
    <w:p w:rsidR="006C397D" w:rsidRPr="006C397D" w:rsidRDefault="006C397D">
      <w:pPr>
        <w:widowControl w:val="0"/>
        <w:spacing w:after="0" w:line="240" w:lineRule="auto"/>
        <w:rPr>
          <w:rFonts w:ascii="Times New Roman" w:hAnsi="Times New Roman" w:cs="Times New Roman"/>
          <w:bCs/>
          <w:sz w:val="24"/>
          <w:szCs w:val="24"/>
        </w:rPr>
      </w:pPr>
    </w:p>
    <w:p w:rsidR="00121B80" w:rsidRPr="006C397D" w:rsidRDefault="00121B80" w:rsidP="006C397D">
      <w:pPr>
        <w:keepNext/>
        <w:widowControl w:val="0"/>
        <w:spacing w:after="0" w:line="240" w:lineRule="auto"/>
        <w:jc w:val="center"/>
      </w:pPr>
      <w:r>
        <w:rPr>
          <w:b/>
          <w:sz w:val="24"/>
          <w:rFonts w:ascii="Times New Roman" w:hAnsi="Times New Roman"/>
        </w:rPr>
        <w:t xml:space="preserve">Artikel 2</w:t>
      </w:r>
    </w:p>
    <w:p w:rsidR="00121B80" w:rsidRPr="006C397D" w:rsidRDefault="00121B80" w:rsidP="006C397D">
      <w:pPr>
        <w:keepNext/>
        <w:widowControl w:val="0"/>
        <w:spacing w:after="0" w:line="240" w:lineRule="auto"/>
        <w:jc w:val="center"/>
        <w:rPr>
          <w:rFonts w:ascii="Times New Roman" w:hAnsi="Times New Roman" w:cs="Times New Roman"/>
          <w:sz w:val="24"/>
          <w:szCs w:val="24"/>
        </w:rPr>
      </w:pPr>
    </w:p>
    <w:p w:rsidR="00121B80" w:rsidRPr="006C397D" w:rsidRDefault="00371CC6" w:rsidP="006C397D">
      <w:pPr>
        <w:widowControl w:val="0"/>
        <w:spacing w:after="0" w:line="240" w:lineRule="auto"/>
        <w:jc w:val="both"/>
      </w:pPr>
      <w:r>
        <w:rPr>
          <w:color w:val="000000"/>
          <w:sz w:val="24"/>
          <w:rFonts w:ascii="Times New Roman" w:hAnsi="Times New Roman"/>
        </w:rPr>
        <w:t xml:space="preserve">Der Direktor für Wohnungswesen, Städtebau und Landschaftsplanung und der Generaldirektor für Energie und Klima werden in ihrem jeweiligen Zuständigkeitsbereich mit der Durchführung des vorliegenden Erlasses beauftragt, der im Amtsblatt des Ministeriums für den ökologischen und solidarischen Wandel veröffentlicht wird.</w:t>
      </w:r>
    </w:p>
    <w:p w:rsidR="00121B80" w:rsidRPr="006C397D" w:rsidRDefault="00121B80">
      <w:pPr>
        <w:widowControl w:val="0"/>
        <w:spacing w:after="0" w:line="240" w:lineRule="auto"/>
        <w:jc w:val="both"/>
      </w:pPr>
    </w:p>
    <w:p w:rsidR="00121B80" w:rsidRPr="006C397D" w:rsidRDefault="00121B80">
      <w:pPr>
        <w:widowControl w:val="0"/>
        <w:spacing w:after="0" w:line="240" w:lineRule="auto"/>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widowControl w:val="0"/>
        <w:spacing w:after="0" w:line="240" w:lineRule="auto"/>
      </w:pPr>
    </w:p>
    <w:p w:rsidR="00121B80" w:rsidRPr="006C397D" w:rsidRDefault="00121B80">
      <w:pPr>
        <w:pStyle w:val="SNSignatureDroite"/>
        <w:jc w:val="left"/>
      </w:pPr>
      <w:r>
        <w:t xml:space="preserve">Die Ministerin für den ökologischen Wandel</w:t>
      </w:r>
      <w:r>
        <w:t xml:space="preserve"> </w:t>
      </w:r>
    </w:p>
    <w:p w:rsidR="00121B80" w:rsidRPr="006C397D" w:rsidRDefault="00121B80">
      <w:pPr>
        <w:pStyle w:val="SNSignatureDroite"/>
        <w:jc w:val="left"/>
      </w:pPr>
      <w:r>
        <w:t xml:space="preserve">Im Auftrag der Ministerin:</w:t>
      </w:r>
    </w:p>
    <w:p w:rsidR="00371CC6" w:rsidRPr="006C397D" w:rsidRDefault="00121B80">
      <w:pPr>
        <w:pStyle w:val="SNSignatureDroite"/>
        <w:jc w:val="left"/>
      </w:pPr>
      <w:r>
        <w:t xml:space="preserve">Der Direktor für Wohnungswesen, Städtebau und Landschaftsplanung,</w:t>
      </w: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
        <w:ind w:firstLine="0"/>
      </w:pPr>
    </w:p>
    <w:p w:rsidR="00121B80" w:rsidRPr="006C397D" w:rsidRDefault="00121B80">
      <w:pPr>
        <w:pStyle w:val="SNSignature"/>
        <w:ind w:firstLine="0"/>
        <w:jc w:val="right"/>
      </w:pPr>
      <w:r>
        <w:t xml:space="preserve">Die Ministerin für den ökologischen Wandel,</w:t>
      </w:r>
    </w:p>
    <w:p w:rsidR="00121B80" w:rsidRPr="006C397D" w:rsidRDefault="00121B80">
      <w:pPr>
        <w:pStyle w:val="SNSignature"/>
        <w:ind w:firstLine="0"/>
        <w:jc w:val="right"/>
      </w:pPr>
      <w:r>
        <w:t xml:space="preserve">Im Auftrag der Ministerin:</w:t>
      </w:r>
    </w:p>
    <w:p w:rsidR="00121B80" w:rsidRPr="006C397D" w:rsidRDefault="00121B80">
      <w:pPr>
        <w:pStyle w:val="SNSignature"/>
        <w:ind w:firstLine="0"/>
        <w:jc w:val="right"/>
      </w:pPr>
      <w:r>
        <w:t xml:space="preserve">Der Generaldirektor für Energie und Klima,</w:t>
      </w: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pStyle w:val="SNSignature"/>
        <w:ind w:firstLine="0"/>
      </w:pPr>
    </w:p>
    <w:p w:rsidR="00121B80" w:rsidRPr="006C397D" w:rsidRDefault="00121B80">
      <w:pPr>
        <w:pStyle w:val="SNSignatureDroite"/>
        <w:jc w:val="left"/>
      </w:pPr>
      <w:r>
        <w:t xml:space="preserve">Die beigeordnete Ministerin für das Wohnungswesen bei der Ministerin für den ökologischen Wandel</w:t>
      </w:r>
      <w:r>
        <w:t xml:space="preserve"> </w:t>
      </w:r>
    </w:p>
    <w:p w:rsidR="00121B80" w:rsidRPr="006C397D" w:rsidRDefault="00121B80">
      <w:pPr>
        <w:pStyle w:val="SNSignatureDroite"/>
        <w:jc w:val="left"/>
      </w:pPr>
    </w:p>
    <w:p w:rsidR="00121B80" w:rsidRPr="006C397D" w:rsidRDefault="00121B80">
      <w:pPr>
        <w:pStyle w:val="SNSignatureDroite"/>
        <w:jc w:val="left"/>
      </w:pPr>
      <w:r>
        <w:t xml:space="preserve">Im Auftrag der Ministerin:</w:t>
      </w:r>
    </w:p>
    <w:p w:rsidR="00121B80" w:rsidRPr="006C397D" w:rsidRDefault="00121B80">
      <w:pPr>
        <w:pStyle w:val="SNSignatureDroite"/>
        <w:jc w:val="left"/>
      </w:pPr>
      <w:r>
        <w:t xml:space="preserve">Der Direktor für Wohnungswesen, Städtebau und Landschaftsplanung,</w:t>
      </w:r>
    </w:p>
    <w:sectPr w:rsidR="00121B80" w:rsidRPr="006C397D">
      <w:pgSz w:w="11906" w:h="16838"/>
      <w:pgMar w:top="1133" w:right="1133" w:bottom="1133" w:left="1133"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A1" w:rsidRDefault="00D269A1" w:rsidP="0079276F">
      <w:pPr>
        <w:spacing w:after="0" w:line="240" w:lineRule="auto"/>
      </w:pPr>
      <w:r>
        <w:separator/>
      </w:r>
    </w:p>
  </w:endnote>
  <w:endnote w:type="continuationSeparator" w:id="0">
    <w:p w:rsidR="00D269A1" w:rsidRDefault="00D269A1" w:rsidP="0079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443">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A1" w:rsidRDefault="00D269A1" w:rsidP="0079276F">
      <w:pPr>
        <w:spacing w:after="0" w:line="240" w:lineRule="auto"/>
      </w:pPr>
      <w:r>
        <w:separator/>
      </w:r>
    </w:p>
  </w:footnote>
  <w:footnote w:type="continuationSeparator" w:id="0">
    <w:p w:rsidR="00D269A1" w:rsidRDefault="00D269A1" w:rsidP="0079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4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dirty"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7E"/>
    <w:rsid w:val="000370CB"/>
    <w:rsid w:val="000A64C4"/>
    <w:rsid w:val="00121B80"/>
    <w:rsid w:val="001776C9"/>
    <w:rsid w:val="002B5C7E"/>
    <w:rsid w:val="00304F7E"/>
    <w:rsid w:val="003305DB"/>
    <w:rsid w:val="00371CC6"/>
    <w:rsid w:val="0049409A"/>
    <w:rsid w:val="006C397D"/>
    <w:rsid w:val="0078501D"/>
    <w:rsid w:val="0079276F"/>
    <w:rsid w:val="00837B47"/>
    <w:rsid w:val="00890FE9"/>
    <w:rsid w:val="008F5F95"/>
    <w:rsid w:val="00971E35"/>
    <w:rsid w:val="00972FD1"/>
    <w:rsid w:val="00A73D1D"/>
    <w:rsid w:val="00A92569"/>
    <w:rsid w:val="00AA1C12"/>
    <w:rsid w:val="00D125B4"/>
    <w:rsid w:val="00D269A1"/>
    <w:rsid w:val="00D85F5D"/>
    <w:rsid w:val="00F475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BE0C78"/>
  <w15:chartTrackingRefBased/>
  <w15:docId w15:val="{43D3994F-6DA6-47FF-AAD0-60A77FD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2" w:lineRule="auto"/>
    </w:pPr>
    <w:rPr>
      <w:rFonts w:ascii="Calibri" w:eastAsia="font443" w:hAnsi="Calibri" w:cs="font44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lev1">
    <w:name w:val="Élevé1"/>
    <w:rPr>
      <w:b/>
      <w:bCs/>
    </w:rPr>
  </w:style>
  <w:style w:type="character" w:customStyle="1" w:styleId="CorpsdetexteCar">
    <w:name w:val="Corps de texte Car"/>
    <w:rPr>
      <w:rFonts w:ascii="Times New Roman" w:eastAsia="Times New Roman" w:hAnsi="Times New Roman" w:cs="Times New Roman"/>
      <w:kern w:val="2"/>
      <w:sz w:val="24"/>
      <w:szCs w:val="24"/>
      <w:lang w:eastAsia="zh-CN"/>
    </w:rPr>
  </w:style>
  <w:style w:type="character" w:customStyle="1" w:styleId="SNArticleCar">
    <w:name w:val="SNArticle Car"/>
    <w:rPr>
      <w:b/>
      <w:sz w:val="24"/>
      <w:szCs w:val="24"/>
    </w:rPr>
  </w:style>
  <w:style w:type="character" w:styleId="Hyperlink">
    <w:name w:val="Hyperlink"/>
    <w:rPr>
      <w:color w:val="0563C1"/>
      <w:u w:val="single"/>
    </w:rPr>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eastAsia="font443" w:cs="Times New Roman"/>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font443"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hAnsi="Times New Roman" w:cs="Times New Roman"/>
      <w:i/>
      <w:iCs/>
      <w:sz w:val="24"/>
      <w:szCs w:val="24"/>
    </w:rPr>
  </w:style>
  <w:style w:type="paragraph" w:customStyle="1" w:styleId="Titre1">
    <w:name w:val="Titre1"/>
    <w:basedOn w:val="Normal"/>
    <w:next w:val="BodyText"/>
    <w:pPr>
      <w:keepNext/>
      <w:spacing w:before="240" w:after="120"/>
    </w:pPr>
    <w:rPr>
      <w:rFonts w:ascii="Liberation Sans" w:eastAsia="微软雅黑" w:hAnsi="Liberation Sans" w:cs="Lucida Sans"/>
      <w:sz w:val="28"/>
      <w:szCs w:val="28"/>
    </w:rPr>
  </w:style>
  <w:style w:type="paragraph" w:styleId="BodyText">
    <w:name w:val="Body Text"/>
    <w:basedOn w:val="Normal"/>
    <w:pPr>
      <w:spacing w:after="120" w:line="240" w:lineRule="auto"/>
      <w:jc w:val="both"/>
    </w:pPr>
    <w:rPr>
      <w:rFonts w:ascii="Times New Roman" w:eastAsia="Times New Roman" w:hAnsi="Times New Roman" w:cs="Times New Roman"/>
      <w:kern w:val="2"/>
      <w:sz w:val="24"/>
      <w:szCs w:val="24"/>
      <w:lang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NNORCentr">
    <w:name w:val="SNNOR+Centré"/>
    <w:next w:val="Normal"/>
    <w:pPr>
      <w:suppressAutoHyphens/>
      <w:jc w:val="center"/>
    </w:pPr>
    <w:rPr>
      <w:bCs/>
      <w:kern w:val="2"/>
      <w:sz w:val="24"/>
      <w:lang w:eastAsia="zh-CN"/>
    </w:rPr>
  </w:style>
  <w:style w:type="paragraph" w:customStyle="1" w:styleId="Corpsdetexte21">
    <w:name w:val="Corps de texte 21"/>
    <w:basedOn w:val="Normal"/>
    <w:pPr>
      <w:spacing w:after="0" w:line="240" w:lineRule="auto"/>
      <w:jc w:val="center"/>
    </w:pPr>
    <w:rPr>
      <w:rFonts w:ascii="Times New Roman" w:eastAsia="Times New Roman" w:hAnsi="Times New Roman" w:cs="Times New Roman"/>
      <w:b/>
      <w:bCs/>
      <w:kern w:val="2"/>
      <w:sz w:val="24"/>
      <w:szCs w:val="24"/>
      <w:lang w:eastAsia="zh-CN"/>
    </w:rPr>
  </w:style>
  <w:style w:type="paragraph" w:customStyle="1" w:styleId="western">
    <w:name w:val="western"/>
    <w:basedOn w:val="Normal"/>
    <w:pPr>
      <w:spacing w:before="100" w:after="119" w:line="240" w:lineRule="auto"/>
      <w:jc w:val="both"/>
    </w:pPr>
    <w:rPr>
      <w:rFonts w:ascii="Times New Roman" w:eastAsia="Times New Roman" w:hAnsi="Times New Roman" w:cs="Times New Roman"/>
      <w:kern w:val="2"/>
      <w:sz w:val="24"/>
      <w:szCs w:val="24"/>
      <w:lang w:eastAsia="zh-CN"/>
    </w:rPr>
  </w:style>
  <w:style w:type="paragraph" w:customStyle="1" w:styleId="SNSignature">
    <w:name w:val="SNSignature"/>
    <w:basedOn w:val="Normal"/>
    <w:pPr>
      <w:spacing w:after="0" w:line="240" w:lineRule="auto"/>
      <w:ind w:firstLine="720"/>
    </w:pPr>
    <w:rPr>
      <w:rFonts w:ascii="Times New Roman" w:eastAsia="Times New Roman" w:hAnsi="Times New Roman" w:cs="Times New Roman"/>
      <w:kern w:val="2"/>
      <w:sz w:val="24"/>
      <w:szCs w:val="24"/>
      <w:lang w:eastAsia="zh-CN"/>
    </w:rPr>
  </w:style>
  <w:style w:type="paragraph" w:customStyle="1" w:styleId="SNSignatureDroite">
    <w:name w:val="SNSignature Droite"/>
    <w:basedOn w:val="Normal"/>
    <w:pPr>
      <w:spacing w:after="0" w:line="240" w:lineRule="auto"/>
      <w:jc w:val="right"/>
    </w:pPr>
    <w:rPr>
      <w:rFonts w:ascii="Times New Roman" w:eastAsia="Times New Roman" w:hAnsi="Times New Roman" w:cs="Times New Roman"/>
      <w:kern w:val="2"/>
      <w:sz w:val="24"/>
      <w:szCs w:val="24"/>
      <w:lang w:eastAsia="zh-CN"/>
    </w:rPr>
  </w:style>
  <w:style w:type="paragraph" w:customStyle="1" w:styleId="SNAutorit">
    <w:name w:val="SNAutorité"/>
    <w:basedOn w:val="Normal"/>
    <w:pPr>
      <w:spacing w:before="720" w:after="240" w:line="240" w:lineRule="auto"/>
      <w:ind w:firstLine="720"/>
    </w:pPr>
    <w:rPr>
      <w:rFonts w:ascii="Times New Roman" w:eastAsia="Times New Roman" w:hAnsi="Times New Roman" w:cs="Times New Roman"/>
      <w:b/>
      <w:kern w:val="2"/>
      <w:sz w:val="24"/>
      <w:szCs w:val="24"/>
      <w:lang w:eastAsia="zh-CN"/>
    </w:rPr>
  </w:style>
  <w:style w:type="paragraph" w:customStyle="1" w:styleId="SNVisa">
    <w:name w:val="SNVisa"/>
    <w:basedOn w:val="Normal"/>
    <w:pPr>
      <w:spacing w:before="120" w:after="120" w:line="240" w:lineRule="auto"/>
      <w:ind w:firstLine="720"/>
    </w:pPr>
    <w:rPr>
      <w:rFonts w:ascii="Times New Roman" w:eastAsia="Times New Roman" w:hAnsi="Times New Roman" w:cs="Times New Roman"/>
      <w:sz w:val="24"/>
      <w:szCs w:val="24"/>
    </w:r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customStyle="1" w:styleId="SNArticle">
    <w:name w:val="SNArticle"/>
    <w:basedOn w:val="Normal"/>
    <w:next w:val="BodyText"/>
    <w:pPr>
      <w:spacing w:before="240" w:after="240" w:line="240" w:lineRule="auto"/>
      <w:jc w:val="center"/>
    </w:pPr>
    <w:rPr>
      <w:b/>
      <w:sz w:val="24"/>
      <w:szCs w:val="24"/>
    </w:rPr>
  </w:style>
  <w:style w:type="paragraph" w:customStyle="1" w:styleId="Paragraphedeliste1">
    <w:name w:val="Paragraphe de liste1"/>
    <w:basedOn w:val="Normal"/>
    <w:pPr>
      <w:ind w:left="720"/>
      <w:contextualSpacing/>
    </w:pPr>
  </w:style>
  <w:style w:type="paragraph" w:customStyle="1" w:styleId="SNREPUBLIQUE">
    <w:name w:val="SNREPUBLIQUE"/>
    <w:basedOn w:val="Normal"/>
    <w:pPr>
      <w:spacing w:after="0" w:line="240" w:lineRule="auto"/>
      <w:jc w:val="center"/>
    </w:pPr>
    <w:rPr>
      <w:rFonts w:ascii="Times New Roman" w:eastAsia="Times New Roman" w:hAnsi="Times New Roman" w:cs="Times New Roman"/>
      <w:b/>
      <w:bCs/>
      <w:kern w:val="2"/>
      <w:sz w:val="24"/>
      <w:szCs w:val="20"/>
      <w:lang w:eastAsia="zh-CN"/>
    </w:rPr>
  </w:style>
  <w:style w:type="paragraph" w:customStyle="1" w:styleId="SNTimbre">
    <w:name w:val="SNTimbre"/>
    <w:basedOn w:val="Normal"/>
    <w:pPr>
      <w:widowControl w:val="0"/>
      <w:snapToGrid w:val="0"/>
      <w:spacing w:before="120" w:after="0" w:line="240" w:lineRule="auto"/>
      <w:jc w:val="center"/>
    </w:pPr>
    <w:rPr>
      <w:rFonts w:ascii="Times New Roman" w:eastAsia="Lucida Sans Unicode" w:hAnsi="Times New Roman" w:cs="Times New Roman"/>
      <w:kern w:val="2"/>
      <w:sz w:val="24"/>
      <w:szCs w:val="24"/>
      <w:lang w:eastAsia="zh-CN"/>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next w:val="Commentaire1"/>
    <w:rPr>
      <w:b/>
      <w:bCs/>
    </w:rPr>
  </w:style>
  <w:style w:type="paragraph" w:customStyle="1" w:styleId="Textedebulles1">
    <w:name w:val="Texte de bulles1"/>
    <w:basedOn w:val="Normal"/>
    <w:pPr>
      <w:spacing w:after="0" w:line="240" w:lineRule="auto"/>
    </w:pPr>
    <w:rPr>
      <w:rFonts w:ascii="Segoe UI" w:hAnsi="Segoe UI" w:cs="Segoe UI"/>
      <w:sz w:val="18"/>
      <w:szCs w:val="1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Rvision1">
    <w:name w:val="Révision1"/>
    <w:pPr>
      <w:suppressAutoHyphens/>
    </w:pPr>
    <w:rPr>
      <w:rFonts w:ascii="Calibri" w:eastAsia="font443" w:hAnsi="Calibri" w:cs="font443"/>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CommentReference">
    <w:name w:val="annotation reference"/>
    <w:uiPriority w:val="99"/>
    <w:semiHidden/>
    <w:unhideWhenUsed/>
    <w:rsid w:val="00371CC6"/>
    <w:rPr>
      <w:sz w:val="16"/>
      <w:szCs w:val="16"/>
    </w:rPr>
  </w:style>
  <w:style w:type="paragraph" w:styleId="CommentText">
    <w:name w:val="annotation text"/>
    <w:basedOn w:val="Normal"/>
    <w:link w:val="CommentTextChar"/>
    <w:uiPriority w:val="99"/>
    <w:semiHidden/>
    <w:unhideWhenUsed/>
    <w:rsid w:val="00371CC6"/>
    <w:rPr>
      <w:sz w:val="20"/>
      <w:szCs w:val="20"/>
    </w:rPr>
  </w:style>
  <w:style w:type="character" w:customStyle="1" w:styleId="CommentTextChar">
    <w:name w:val="Comment Text Char"/>
    <w:link w:val="CommentText"/>
    <w:uiPriority w:val="99"/>
    <w:semiHidden/>
    <w:rsid w:val="00371CC6"/>
    <w:rPr>
      <w:rFonts w:ascii="Calibri" w:eastAsia="font443" w:hAnsi="Calibri" w:cs="font443"/>
    </w:rPr>
  </w:style>
  <w:style w:type="paragraph" w:styleId="CommentSubject">
    <w:name w:val="annotation subject"/>
    <w:basedOn w:val="CommentText"/>
    <w:next w:val="CommentText"/>
    <w:link w:val="CommentSubjectChar"/>
    <w:uiPriority w:val="99"/>
    <w:semiHidden/>
    <w:unhideWhenUsed/>
    <w:rsid w:val="00371CC6"/>
    <w:rPr>
      <w:b/>
      <w:bCs/>
    </w:rPr>
  </w:style>
  <w:style w:type="character" w:customStyle="1" w:styleId="CommentSubjectChar">
    <w:name w:val="Comment Subject Char"/>
    <w:link w:val="CommentSubject"/>
    <w:uiPriority w:val="99"/>
    <w:semiHidden/>
    <w:rsid w:val="00371CC6"/>
    <w:rPr>
      <w:rFonts w:ascii="Calibri" w:eastAsia="font443" w:hAnsi="Calibri" w:cs="font443"/>
      <w:b/>
      <w:bCs/>
    </w:rPr>
  </w:style>
  <w:style w:type="paragraph" w:styleId="BalloonText">
    <w:name w:val="Balloon Text"/>
    <w:basedOn w:val="Normal"/>
    <w:link w:val="BalloonTextChar"/>
    <w:uiPriority w:val="99"/>
    <w:semiHidden/>
    <w:unhideWhenUsed/>
    <w:rsid w:val="00371C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1CC6"/>
    <w:rPr>
      <w:rFonts w:ascii="Segoe UI" w:eastAsia="font443"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4875</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V0.10</dc:creator>
  <cp:keywords/>
  <cp:lastModifiedBy>Liu, Lei</cp:lastModifiedBy>
  <cp:revision>5</cp:revision>
  <cp:lastPrinted>1899-12-31T23:00:00Z</cp:lastPrinted>
  <dcterms:created xsi:type="dcterms:W3CDTF">2020-12-11T13:33:00Z</dcterms:created>
  <dcterms:modified xsi:type="dcterms:W3CDTF">2020-12-14T13:00:00Z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jforCreatedThisOn">
    <vt:lpwstr>Wed Jan 15 14:01:39 CET 2020</vt:lpwstr>
  </property>
  <property fmtid="{D5CDD505-2E9C-101B-9397-08002B2CF9AE}" pid="9" name="jforVersion">
    <vt:lpwstr>jfor V0.7.2rc1 - see http://www.jfor.org</vt:lpwstr>
  </property>
</Properties>
</file>