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4. augusti 2021. aasta määrus Prantsuse emamaa hoonete energia- ja keskkonnatõhususe nõuete kohta ning ehitus- ja elamuseadustiku artiklis R. 172-6 ettenähtud arvutusmeetodi heakskiitmise kohta</w:t>
      </w:r>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jagu. ÜLDSÄTTED (artiklid 1–7)</w:t>
      </w:r>
    </w:p>
    <w:p w14:paraId="6FFF2A3F"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 jagu. ENERGIA- JA KESKKONNATÕHUSUSE NÕUETE VÄLJENDAMISE SPETSIFIKATSIOONID (artiklid 8–18)</w:t>
      </w:r>
    </w:p>
    <w:p w14:paraId="2B04B68A"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jagu. TERMILISED OMADUSED JA NÕUDED VAHENDITELE (DETAILIDE KAUPA) (artiklid 19–40)</w:t>
      </w:r>
    </w:p>
    <w:p w14:paraId="6EDB852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IV jagu. ETTEPANEK LIHTSUSTATUD RAKENDUSMEETODITE JAOKS ÜKSIKHOONETES (artiklid 41–42)</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 jagu ERIJUHTUMID (artiklid 43–44)</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VI jagu. MITMESUGUSED SÄTTED (artiklid 45–52)</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Lisa</w:t>
      </w:r>
    </w:p>
    <w:p w14:paraId="3DE0623C" w14:textId="763FC88E"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Sihtrühmad: ehitusprojekti omanikud, töödejuhatajad, ehitajad ja arendajad, arhitektid, termiliste protsesside uuringute ja keskkonnauuringute bürood, ehitusprojekti juhid, tehnilise järelevalve teostajad, ehitusettevõtted, ehitusmaterjalide ja hoone tehnosüsteemide tootjad, energiatarnijad Prantsuse emamaal, tarkvaraarendajad. </w:t>
      </w:r>
      <w:r>
        <w:rPr>
          <w:rFonts w:ascii="Times New Roman" w:hAnsi="Times New Roman"/>
          <w:sz w:val="24"/>
        </w:rPr>
        <w:br/>
        <w:t xml:space="preserve">Eesmärk: uutele hoonetele ja hoonete laiendustele Prantsuse emamaal, nende energia- ja keskkonnatõhususe nõuete kehtestamine; nende energia- ja keskkonnatoime kindlaksmääramise täpsus; nende energia- ja keskkonnatõhususe arvutusmeetodi kindlaksmääramine. </w:t>
      </w:r>
      <w:r>
        <w:rPr>
          <w:rFonts w:ascii="Times New Roman" w:hAnsi="Times New Roman"/>
          <w:sz w:val="24"/>
        </w:rPr>
        <w:br/>
        <w:t xml:space="preserve">Jõustumine: neid nõudeid ja arvutusmeetodit kohaldatakse alates 1. jaanuarist 2022 eluhoonete või nende osade ehitamise suhtes ning alates 1. juulist 2022 kontori- või alg- või keskharidushoonete või hooneosade ehitamise suhtes. Samuti kohaldatakse neid alates 1. jaanuarist 2023 samal otstarbel kasutatavate ajutiste ehitiste ja laienduste suhtes, sõltuvalt nende pindalast. Neid nõudeid kohaldatakse ka ehitiste suhtes, sealhulgas selliste ehitiste suhtes, mille puhul ei nõuta ehitusluba või eelnevat deklareerimist. </w:t>
      </w:r>
      <w:r>
        <w:rPr>
          <w:rFonts w:ascii="Times New Roman" w:hAnsi="Times New Roman"/>
          <w:sz w:val="24"/>
        </w:rPr>
        <w:br/>
        <w:t xml:space="preserve">Märkus: käesoleva määrusega kehtestatakse nõuded ressurssidele (või igale detailile), millele eespool nimetatud Prantsuse emamaal asuvad hooned peavad vastama. Selles täpsustatakse, kuidas määrata kindlaks järgmised viis (või kõik) tuleminõuet: 1) hoone energiaprojekti optimeerimine rakendatud energiasüsteemidest sõltumatult; 2) primaarenergia tarbimise piiramine, 3) sellise tarbimisega seotud kliimamuutustele avalduva mõju piiramine; 4) ehitusdetailide mõju piiramine kliimamuutustele; 5) suvel avalduvate ebamugavusolukordade piiramine hoonetes. Lõpetuseks: määrusega määratakse kindlaks arvutusmeetod elamute, kontorihoonete või põhi- või keskharidushoonete ehituse energia- ja keskkonnatõhususe arvutamiseks Prantsusmaa emamaal kolmes järgmises lisas: </w:t>
      </w:r>
      <w:r>
        <w:rPr>
          <w:rFonts w:ascii="Times New Roman" w:hAnsi="Times New Roman"/>
          <w:sz w:val="24"/>
        </w:rPr>
        <w:br/>
      </w:r>
      <w:r w:rsidR="006E60E2">
        <w:rPr>
          <w:rFonts w:ascii="Times New Roman" w:hAnsi="Times New Roman"/>
          <w:sz w:val="24"/>
        </w:rPr>
        <w:t xml:space="preserve">- </w:t>
      </w:r>
      <w:r>
        <w:rPr>
          <w:rFonts w:ascii="Times New Roman" w:hAnsi="Times New Roman"/>
          <w:sz w:val="24"/>
        </w:rPr>
        <w:t xml:space="preserve">II </w:t>
      </w:r>
      <w:r w:rsidR="006E60E2">
        <w:rPr>
          <w:rFonts w:ascii="Times New Roman" w:hAnsi="Times New Roman"/>
          <w:sz w:val="24"/>
        </w:rPr>
        <w:t>LISA</w:t>
      </w:r>
      <w:r>
        <w:rPr>
          <w:rFonts w:ascii="Times New Roman" w:hAnsi="Times New Roman"/>
          <w:sz w:val="24"/>
        </w:rPr>
        <w:t xml:space="preserve">. Üldeeskirjad energia- ja keskkonnatõhususe arvutamiseks; </w:t>
      </w:r>
      <w:r>
        <w:rPr>
          <w:rFonts w:ascii="Times New Roman" w:hAnsi="Times New Roman"/>
          <w:sz w:val="24"/>
        </w:rPr>
        <w:br/>
      </w:r>
      <w:r w:rsidR="006E60E2">
        <w:rPr>
          <w:rFonts w:ascii="Times New Roman" w:hAnsi="Times New Roman"/>
          <w:sz w:val="24"/>
        </w:rPr>
        <w:t xml:space="preserve">- </w:t>
      </w:r>
      <w:r>
        <w:rPr>
          <w:rFonts w:ascii="Times New Roman" w:hAnsi="Times New Roman"/>
          <w:sz w:val="24"/>
        </w:rPr>
        <w:t xml:space="preserve">III </w:t>
      </w:r>
      <w:r w:rsidR="006E60E2">
        <w:rPr>
          <w:rFonts w:ascii="Times New Roman" w:hAnsi="Times New Roman"/>
          <w:sz w:val="24"/>
        </w:rPr>
        <w:t>LISA</w:t>
      </w:r>
      <w:r>
        <w:rPr>
          <w:rFonts w:ascii="Times New Roman" w:hAnsi="Times New Roman"/>
          <w:sz w:val="24"/>
        </w:rPr>
        <w:t xml:space="preserve">. Arvutusmeetod „Th-ECB 2020“, milles kirjeldatakse üksikasjalikult energiatõhususe arvutamise eeskirju; </w:t>
      </w:r>
      <w:r>
        <w:rPr>
          <w:rFonts w:ascii="Times New Roman" w:hAnsi="Times New Roman"/>
          <w:sz w:val="24"/>
        </w:rPr>
        <w:br/>
      </w:r>
      <w:r w:rsidR="006E60E2">
        <w:rPr>
          <w:rFonts w:ascii="Times New Roman" w:hAnsi="Times New Roman"/>
          <w:sz w:val="24"/>
        </w:rPr>
        <w:t xml:space="preserve">- </w:t>
      </w:r>
      <w:r>
        <w:rPr>
          <w:rFonts w:ascii="Times New Roman" w:hAnsi="Times New Roman"/>
          <w:sz w:val="24"/>
        </w:rPr>
        <w:t xml:space="preserve">IV </w:t>
      </w:r>
      <w:r w:rsidR="006E60E2">
        <w:rPr>
          <w:rFonts w:ascii="Times New Roman" w:hAnsi="Times New Roman"/>
          <w:sz w:val="24"/>
        </w:rPr>
        <w:t>LISA</w:t>
      </w:r>
      <w:r>
        <w:rPr>
          <w:rFonts w:ascii="Times New Roman" w:hAnsi="Times New Roman"/>
          <w:sz w:val="24"/>
        </w:rPr>
        <w:t xml:space="preserve">. Eeskirjad „Th-Bat 2020“, millega saab kindlaks määrata hoone energiatõhususe arvutamiseks vajalikud sisestusandmed. </w:t>
      </w:r>
      <w:r>
        <w:rPr>
          <w:rFonts w:ascii="Times New Roman" w:hAnsi="Times New Roman"/>
          <w:sz w:val="24"/>
        </w:rPr>
        <w:br/>
        <w:t xml:space="preserve">Viiteid käesoleva määrusega muudetud kirjalikule tekstile võib näha muudetud kujul, Legifrance’i kodulehel (www.legifrance.gouv.fr). </w:t>
      </w:r>
    </w:p>
    <w:p w14:paraId="6425698B" w14:textId="77777777" w:rsidR="001E2566" w:rsidRPr="001E2566" w:rsidRDefault="001E2566" w:rsidP="00875E1A">
      <w:pPr>
        <w:pStyle w:val="BodyText"/>
        <w:rPr>
          <w:rFonts w:eastAsia="Times New Roman" w:cs="Times New Roman"/>
          <w:szCs w:val="24"/>
        </w:rPr>
      </w:pPr>
      <w:r>
        <w:lastRenderedPageBreak/>
        <w:br/>
        <w:t>Ökoloogilise ülemineku minister, ökoloogilise ülemineku ministrit esindav minister, eluasemevaldkonna eest vastutaja,</w:t>
      </w:r>
      <w:r>
        <w:br/>
        <w:t>võttes arvesse Euroopa Parlamendi ja nõukogu 19. mai 2010. aasta direktiivi 2010/31/EL hoonete energiatõhususe kohta, mida on muudetud Euroopa Parlamendi ja nõukogu 30. mai 2018. aasta direktiiviga 2018/844, eeskätt selle artiklit 3,</w:t>
      </w:r>
      <w:r>
        <w:br/>
        <w:t>võttes arvesse Euroopa Parlamendi ja nõukogu 9. septembri 2015. aasta direktiivi (EL) 2015/1535, millega nähakse ette tehnilistest eeskirjadest ning infoühiskonna teenuste eeskirjadest teatamise kord (kodifitseeritud tekst),</w:t>
      </w:r>
      <w:r>
        <w:br/>
        <w:t>võttes arvesse ehitus- ja elamuseadustikku ja eelkõige selle artikleid L. 181-1, R. 172-1 kuni R. 172-9 ja R. 126-16,</w:t>
      </w:r>
      <w:r>
        <w:br/>
        <w:t>võttes arvesse energiaseadustikku, eelkõige selle artikleid R. 241-26 ja R. 241-30,</w:t>
      </w:r>
      <w:r>
        <w:br/>
        <w:t>võttes arvesse linnaplaneerimise seadustikku ja eelkõige selle artikleid L. 151-19, R* 421-2 ja R*. 421-5,</w:t>
      </w:r>
      <w:r>
        <w:br/>
        <w:t>võttes arvesse 3. mai 2007. aasta määrust olemasolevate hoonete soojusomaduste ja energiatõhususe kohta, milles loetletakse kõik asjaomased tööd ja sätestatakse nendega seotud nõuded, mida on muudetud 22. märtsi 2017. aasta määrusega,</w:t>
      </w:r>
      <w:r>
        <w:br/>
        <w:t>võttes arvesse 13. juuni 2008. aasta määrust olemasolevate üle 1000 m² pindalaga hoonete energiatõhususe kohta kapitaalrenoveerimisel;</w:t>
      </w:r>
      <w:r>
        <w:br/>
        <w:t>võttes arvesse 26. oktoobri 2010. aasta määrust uute hoonete ja hooneosade soojusomaduste ja energiatõhususe nõuete kohta,</w:t>
      </w:r>
      <w:r>
        <w:br/>
        <w:t>võttes arvesse 28. detsembri 2012. aasta määrust uute hoonete ja hooneosade soojusomaduste ja energiatõhususe nõuete kohta, välja arvatud need, mida puudutab 26. oktoobri 2010. aasta dekreedi (hoonete soojusomaduste ja energiatõhususe kohta) artikkel 2,</w:t>
      </w:r>
      <w:r>
        <w:br/>
        <w:t>võttes arvesse riikliku energianõukogu 25. märtsi 2021. aasta arvamust,</w:t>
      </w:r>
      <w:r>
        <w:br/>
        <w:t>võttes arvesse ehituse ja energiatõhususe kõrgema nõukogu 13. aprilli 2021. aasta arvamust,</w:t>
      </w:r>
      <w:r>
        <w:br/>
        <w:t>võttes arvesse riiklike standardite hindamisnõukogu 2021. aasta 1. aprilli ja 6. mai arvamusi,</w:t>
      </w:r>
      <w:r>
        <w:br/>
        <w:t>võttes arvesse 14. detsembril 2020. aastal Euroopa Komisjonile saadetud teatisi nr 2020/791/F ja 2020/792/F ning komisjoni 15. juuni 2021. aasta vastust,</w:t>
      </w:r>
      <w:r>
        <w:br/>
        <w:t>võttes arvesse 23. märts 2021 kuni 13. aprill 2021 koos laiema üldsusega läbi viidud konsultatsioonidest saadud tähelepanekuid, rakendades keskkonnaseadustiku artiklit L. 123-19-1,</w:t>
      </w:r>
      <w:r>
        <w:br/>
        <w:t>annavad välja järgmise määruse.</w:t>
      </w:r>
    </w:p>
    <w:p w14:paraId="0A4ED9D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jagu. ÜLDSÄTTED (artiklid 1–7)</w:t>
      </w:r>
    </w:p>
    <w:p w14:paraId="0E0870AB" w14:textId="6583BE4C"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 xml:space="preserve">I peatükk. </w:t>
      </w:r>
      <w:r w:rsidR="00875E1A">
        <w:rPr>
          <w:rFonts w:ascii="Times New Roman" w:hAnsi="Times New Roman"/>
          <w:b/>
          <w:sz w:val="24"/>
        </w:rPr>
        <w:t xml:space="preserve">REGULEERIMISALA </w:t>
      </w:r>
      <w:r>
        <w:rPr>
          <w:rFonts w:ascii="Times New Roman" w:hAnsi="Times New Roman"/>
          <w:b/>
          <w:sz w:val="24"/>
        </w:rPr>
        <w:t>(artiklid 1–2)</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1</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Käesoleva määruse sätteid kohaldatakse elamute, kontorihoonete ja põhi- või keskharidushoonete ning hooneosade ehitamisele, mille suhtes kohaldatakse ehitus- ja elamuseadustiku artiklit R. 172-1, samuti nende ehitistega seotud parklate ehitamisele.</w:t>
      </w:r>
      <w:r>
        <w:rPr>
          <w:rFonts w:ascii="Times New Roman" w:hAnsi="Times New Roman"/>
          <w:sz w:val="24"/>
        </w:rPr>
        <w:br/>
        <w:t>Neid ei kohaldata Guadeloupe’is, Guyanas, Martinique’is, Reunionis ja Mayotte’is asuvate hoonete suhtes.</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2</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Hooneosa võib samastada hoone põhikasutusega, kohaldades sellega seotud nõudeid, kui on täidetud järgmised kumulatiivsed tingimused:</w:t>
      </w:r>
    </w:p>
    <w:p w14:paraId="4F4022D8" w14:textId="421B606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FE38BB">
        <w:rPr>
          <w:rFonts w:ascii="Times New Roman" w:hAnsi="Times New Roman"/>
          <w:sz w:val="24"/>
        </w:rPr>
        <w:t>-</w:t>
      </w:r>
      <w:r>
        <w:rPr>
          <w:rFonts w:ascii="Times New Roman" w:hAnsi="Times New Roman"/>
          <w:sz w:val="24"/>
        </w:rPr>
        <w:t xml:space="preserve"> kõnealuse hooneosa võrdluspindala on väiksem kui 150 m² ja väiksem kui 10% hoone peamise kasutuse võrdluspinnast;</w:t>
      </w:r>
      <w:r>
        <w:rPr>
          <w:rFonts w:ascii="Times New Roman" w:hAnsi="Times New Roman"/>
          <w:sz w:val="24"/>
        </w:rPr>
        <w:br/>
      </w:r>
      <w:r w:rsidR="00FE38BB">
        <w:rPr>
          <w:rFonts w:ascii="Times New Roman" w:hAnsi="Times New Roman"/>
          <w:sz w:val="24"/>
        </w:rPr>
        <w:t>-</w:t>
      </w:r>
      <w:r>
        <w:rPr>
          <w:rFonts w:ascii="Times New Roman" w:hAnsi="Times New Roman"/>
          <w:sz w:val="24"/>
        </w:rPr>
        <w:t xml:space="preserve"> hoone peamisele kasutusotstarbele vastava osa suhtes kohaldatakse käesolevat määrust või eespool nimetatud 26. oktoobri 2010. aasta määrust või eespool nimetatud 28. detsembri 2012. aasta määrust.</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Hooneosa, mida kasutatakse eraldi majana, ei saa samastada muu kasutusotstarbega.</w:t>
      </w:r>
      <w:r>
        <w:rPr>
          <w:rFonts w:ascii="Times New Roman" w:hAnsi="Times New Roman"/>
          <w:sz w:val="24"/>
        </w:rPr>
        <w:br/>
        <w:t>Hoone võrdluspiirkond SREF on määratletud ehitus- ja elamuseadustiku artikli R. 172-4 lisa I peatüki lõikes X. Kui ei ole sätestatud teisiti, on see pindala, mida kasutatakse kogu käesoleva määruse ulatuses.</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II peatükk. AJUTISE RAKENDAMISE MENETLUSED (artikkel 3)</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3</w:t>
      </w:r>
    </w:p>
    <w:p w14:paraId="7490DDB4" w14:textId="4123C8D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A338D8">
        <w:rPr>
          <w:rFonts w:ascii="Times New Roman" w:hAnsi="Times New Roman"/>
          <w:sz w:val="24"/>
        </w:rPr>
        <w:t>-</w:t>
      </w:r>
      <w:r>
        <w:rPr>
          <w:rFonts w:ascii="Times New Roman" w:hAnsi="Times New Roman"/>
          <w:sz w:val="24"/>
        </w:rPr>
        <w:t xml:space="preserve"> Vastavalt ehitus- ja elamuseadustiku artikli R. 172-1 II lõikele kohaldatakse käesoleva määruse sätteid alates 1. jaanuarist 2023 kergete puhkeelamute suhtes linnaplaneerimise seadustiku artikli R.* 421-2 tähenduses ning ajutiste ehitiste suhtes sama seadustiku artikli R.* 421-5 tähenduses.</w:t>
      </w:r>
      <w:r>
        <w:rPr>
          <w:rFonts w:ascii="Times New Roman" w:hAnsi="Times New Roman"/>
          <w:sz w:val="24"/>
        </w:rPr>
        <w:br/>
        <w:t xml:space="preserve">II. </w:t>
      </w:r>
      <w:r w:rsidR="00A338D8">
        <w:rPr>
          <w:rFonts w:ascii="Times New Roman" w:hAnsi="Times New Roman"/>
          <w:sz w:val="24"/>
        </w:rPr>
        <w:t>-</w:t>
      </w:r>
      <w:r>
        <w:rPr>
          <w:rFonts w:ascii="Times New Roman" w:hAnsi="Times New Roman"/>
          <w:sz w:val="24"/>
        </w:rPr>
        <w:t xml:space="preserve"> Vastavalt ehitus- ja elamuseadustiku artiklile R. 172-3 kohaldatakse käesoleva määruse sätteid alates 1. jaanuarist 2023 ainult järgmise suhtes:</w:t>
      </w:r>
    </w:p>
    <w:p w14:paraId="74963075" w14:textId="38EA597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338D8">
        <w:rPr>
          <w:rFonts w:ascii="Times New Roman" w:hAnsi="Times New Roman"/>
          <w:sz w:val="24"/>
        </w:rPr>
        <w:t>-</w:t>
      </w:r>
      <w:r>
        <w:rPr>
          <w:rFonts w:ascii="Times New Roman" w:hAnsi="Times New Roman"/>
          <w:sz w:val="24"/>
        </w:rPr>
        <w:t xml:space="preserve"> hooned ja hoone laiendused võrdluspinnaga alla 50 m²;</w:t>
      </w:r>
      <w:r>
        <w:rPr>
          <w:rFonts w:ascii="Times New Roman" w:hAnsi="Times New Roman"/>
          <w:sz w:val="24"/>
        </w:rPr>
        <w:br/>
      </w:r>
      <w:r w:rsidR="00A338D8">
        <w:rPr>
          <w:rFonts w:ascii="Times New Roman" w:hAnsi="Times New Roman"/>
          <w:sz w:val="24"/>
        </w:rPr>
        <w:t>-</w:t>
      </w:r>
      <w:r>
        <w:rPr>
          <w:rFonts w:ascii="Times New Roman" w:hAnsi="Times New Roman"/>
          <w:sz w:val="24"/>
        </w:rPr>
        <w:t xml:space="preserve"> üksikhoonete või nendega külgnevate hoonete laiendused võrdluspindalaga vahemikus 50</w:t>
      </w:r>
      <w:r w:rsidR="00A338D8">
        <w:rPr>
          <w:rFonts w:ascii="Times New Roman" w:hAnsi="Times New Roman"/>
          <w:sz w:val="24"/>
        </w:rPr>
        <w:t>-</w:t>
      </w:r>
      <w:r>
        <w:rPr>
          <w:rFonts w:ascii="Times New Roman" w:hAnsi="Times New Roman"/>
          <w:sz w:val="24"/>
        </w:rPr>
        <w:t>100 m²;</w:t>
      </w:r>
      <w:r>
        <w:rPr>
          <w:rFonts w:ascii="Times New Roman" w:hAnsi="Times New Roman"/>
          <w:sz w:val="24"/>
        </w:rPr>
        <w:br/>
      </w:r>
      <w:r w:rsidR="00A338D8">
        <w:rPr>
          <w:rFonts w:ascii="Times New Roman" w:hAnsi="Times New Roman"/>
          <w:sz w:val="24"/>
        </w:rPr>
        <w:t>-</w:t>
      </w:r>
      <w:r>
        <w:rPr>
          <w:rFonts w:ascii="Times New Roman" w:hAnsi="Times New Roman"/>
          <w:sz w:val="24"/>
        </w:rPr>
        <w:t xml:space="preserve"> laiendused muuks otstarbeks kui üksikhooned, mille võrdluspindala on alla 150 m² ja 30% olemasolevate ruumide võrdluspindalast.</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Nende hoonete suhtes kohaldatakse kuni 31. detsembrini 2022 ainult eespool nimetatud 26. oktoobri 2010. aasta määruse sätteid.</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III peatükk. MÕISTED (artikkel 4)</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4</w:t>
      </w:r>
    </w:p>
    <w:p w14:paraId="5052F796" w14:textId="3C3F253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Käesoleva määruse mõistmiseks vajalikud mõisted on määratletud I lisas. Käesolevas määruses osutatud näitajad Bbio, Cep, Cep, nr, Icenergy, Icconstruction, DH, Icbuilding, StockC, Icconstruction ja Icded ning maksimaalsed väärtused Bbio_max, Cep_max, Cep, nr_max, Icenergy_max, Icconstruction_max </w:t>
      </w:r>
      <w:r>
        <w:rPr>
          <w:rFonts w:ascii="Times New Roman" w:hAnsi="Times New Roman"/>
          <w:sz w:val="24"/>
        </w:rPr>
        <w:lastRenderedPageBreak/>
        <w:t>and Dh_max on määratletud ehitus- ja elamuseadustiku artikli R. 172-4 lisa I peatüki lõigetes I–IX.</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IV peatükk. ENERGIA- JA KESKKONNATÕHUSUSE NÕUDED JA MINIMAALSED TEHNILISED OMADUSED (artiklid 5–7)</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5</w:t>
      </w:r>
    </w:p>
    <w:p w14:paraId="3B7A178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Käesoleva määrusega hõlmatud hooned või hooneosad peavad vastama ehitus- ja elamuseadustiku artiklis R. 172-4 sätestatud nõuetele, mis määratakse kindlaks selle artikli lisas ja käesoleva määruse artiklis 8 sätestatud korras.</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6</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Käesoleva määrusega hõlmatud teatavate ehitusdetailide või nende detailide koostude minimaalsed tehnilised omadused peavad vastama käesoleva määruse III jaos sätestatud nõuetele.</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7</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Käesoleva määruse nõuetele vastavaks loetakse hooned, mille omadused vastavad käesoleva määruse IV jaos kirjeldatud tingimustel heaks kiidetud lihtsustatud rakendusmeetoditele.</w:t>
      </w:r>
    </w:p>
    <w:p w14:paraId="47CB4C1A"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 jagu. ENERGIA- JA KESKKONNATÕHUSUSE NÕUETE VÄLJENDAMISE SPETSIFIKATSIOONID (artiklid 8–18)</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 peatükk. NÕUETELE VASTAVUSE HINDAMINE (artiklid 8–17)</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8</w:t>
      </w:r>
    </w:p>
    <w:p w14:paraId="5251B7C2" w14:textId="272D322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Käesoleva määruse lisadega II</w:t>
      </w:r>
      <w:r w:rsidR="008546FB">
        <w:rPr>
          <w:rFonts w:ascii="Times New Roman" w:hAnsi="Times New Roman"/>
          <w:sz w:val="24"/>
        </w:rPr>
        <w:t>-</w:t>
      </w:r>
      <w:r>
        <w:rPr>
          <w:rFonts w:ascii="Times New Roman" w:hAnsi="Times New Roman"/>
          <w:sz w:val="24"/>
        </w:rPr>
        <w:t>IV kaasa pandud ning ehitus- ja elamuseadustiku artiklis R. 172-6 ettenähtud arvutusmeetod on heaks kiidetud.</w:t>
      </w:r>
      <w:r>
        <w:rPr>
          <w:rFonts w:ascii="Times New Roman" w:hAnsi="Times New Roman"/>
          <w:sz w:val="24"/>
        </w:rPr>
        <w:br/>
        <w:t>Sama artikli I lõike kohaselt määratakse selle arvutusmeetodiga kindlaks hoone energia- ja keskkonnatõhusus, pöörates erilist tähelepanu sama seadustiku artikli R. 172-4 lisa I peatüki lõigetes I</w:t>
      </w:r>
      <w:r w:rsidR="008546FB">
        <w:rPr>
          <w:rFonts w:ascii="Times New Roman" w:hAnsi="Times New Roman"/>
          <w:sz w:val="24"/>
        </w:rPr>
        <w:t>-</w:t>
      </w:r>
      <w:r>
        <w:rPr>
          <w:rFonts w:ascii="Times New Roman" w:hAnsi="Times New Roman"/>
          <w:sz w:val="24"/>
        </w:rPr>
        <w:t>IX kirjeldatud näitajatele, tuginedes hoone ja selle detailide omadustele.</w:t>
      </w:r>
      <w:r>
        <w:rPr>
          <w:rFonts w:ascii="Times New Roman" w:hAnsi="Times New Roman"/>
          <w:sz w:val="24"/>
        </w:rPr>
        <w:br/>
        <w:t>Täpsemalt:</w:t>
      </w:r>
    </w:p>
    <w:p w14:paraId="240366CB" w14:textId="02FFE1E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8546FB">
        <w:rPr>
          <w:rFonts w:ascii="Times New Roman" w:hAnsi="Times New Roman"/>
          <w:sz w:val="24"/>
        </w:rPr>
        <w:t>-</w:t>
      </w:r>
      <w:r>
        <w:rPr>
          <w:rFonts w:ascii="Times New Roman" w:hAnsi="Times New Roman"/>
          <w:sz w:val="24"/>
        </w:rPr>
        <w:t xml:space="preserve"> need näitajad arvutatakse, pöörates erilist tähelepanu tavapärastele kliima- ja kasutusmahu andmetele;</w:t>
      </w:r>
      <w:r>
        <w:rPr>
          <w:rFonts w:ascii="Times New Roman" w:hAnsi="Times New Roman"/>
          <w:sz w:val="24"/>
        </w:rPr>
        <w:br/>
      </w:r>
      <w:r w:rsidR="008546FB">
        <w:rPr>
          <w:rFonts w:ascii="Times New Roman" w:hAnsi="Times New Roman"/>
          <w:sz w:val="24"/>
        </w:rPr>
        <w:t>-</w:t>
      </w:r>
      <w:r>
        <w:rPr>
          <w:rFonts w:ascii="Times New Roman" w:hAnsi="Times New Roman"/>
          <w:sz w:val="24"/>
        </w:rPr>
        <w:t xml:space="preserve"> näitajad Bbio, Cep, nr ja Cep arvutatakse ühe aasta kohta;</w:t>
      </w:r>
      <w:r>
        <w:rPr>
          <w:rFonts w:ascii="Times New Roman" w:hAnsi="Times New Roman"/>
          <w:sz w:val="24"/>
        </w:rPr>
        <w:br/>
      </w:r>
      <w:r w:rsidR="008546FB">
        <w:rPr>
          <w:rFonts w:ascii="Times New Roman" w:hAnsi="Times New Roman"/>
          <w:sz w:val="24"/>
        </w:rPr>
        <w:t>-</w:t>
      </w:r>
      <w:r>
        <w:rPr>
          <w:rFonts w:ascii="Times New Roman" w:hAnsi="Times New Roman"/>
          <w:sz w:val="24"/>
        </w:rPr>
        <w:t xml:space="preserve"> kliimamuutuste mõju näitajad Icenergy, Icconstruction ja Icbuilding arvutatakse artiklis 11 sätestatud koefitsientide abil ning määrates hoone kasutuseaks kokkuleppeliselt 50 aastat;</w:t>
      </w:r>
      <w:r>
        <w:rPr>
          <w:rFonts w:ascii="Times New Roman" w:hAnsi="Times New Roman"/>
          <w:sz w:val="24"/>
        </w:rPr>
        <w:br/>
      </w:r>
      <w:r w:rsidR="00BC7D1A">
        <w:rPr>
          <w:rFonts w:ascii="Times New Roman" w:hAnsi="Times New Roman"/>
          <w:sz w:val="24"/>
        </w:rPr>
        <w:lastRenderedPageBreak/>
        <w:t>-</w:t>
      </w:r>
      <w:r>
        <w:rPr>
          <w:rFonts w:ascii="Times New Roman" w:hAnsi="Times New Roman"/>
          <w:sz w:val="24"/>
        </w:rPr>
        <w:t xml:space="preserve"> näitaja Cep, nr arvutamisel võetakse arvesse artikli 9 I lõikes määratletud koefitsiente;</w:t>
      </w:r>
      <w:r>
        <w:rPr>
          <w:rFonts w:ascii="Times New Roman" w:hAnsi="Times New Roman"/>
          <w:sz w:val="24"/>
        </w:rPr>
        <w:br/>
      </w:r>
      <w:r w:rsidR="00BC7D1A">
        <w:rPr>
          <w:rFonts w:ascii="Times New Roman" w:hAnsi="Times New Roman"/>
          <w:sz w:val="24"/>
        </w:rPr>
        <w:t>-</w:t>
      </w:r>
      <w:r>
        <w:rPr>
          <w:rFonts w:ascii="Times New Roman" w:hAnsi="Times New Roman"/>
          <w:sz w:val="24"/>
        </w:rPr>
        <w:t xml:space="preserve"> näitaja Cep arvutamisel võetakse arvesse artikli 9 II lõikes määratletud koefitsiente;</w:t>
      </w:r>
      <w:r>
        <w:rPr>
          <w:rFonts w:ascii="Times New Roman" w:hAnsi="Times New Roman"/>
          <w:sz w:val="24"/>
        </w:rPr>
        <w:br/>
      </w:r>
      <w:r w:rsidR="00BC7D1A">
        <w:rPr>
          <w:rFonts w:ascii="Times New Roman" w:hAnsi="Times New Roman"/>
          <w:sz w:val="24"/>
        </w:rPr>
        <w:t>-</w:t>
      </w:r>
      <w:r>
        <w:rPr>
          <w:rFonts w:ascii="Times New Roman" w:hAnsi="Times New Roman"/>
          <w:sz w:val="24"/>
        </w:rPr>
        <w:t xml:space="preserve"> näitaja Icenergy arvutamisel võetakse arvesse artiklis 10 määratletud koefitsiente.</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9</w:t>
      </w:r>
    </w:p>
    <w:p w14:paraId="4649933D" w14:textId="5237EDE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381116">
        <w:rPr>
          <w:rFonts w:ascii="Times New Roman" w:hAnsi="Times New Roman"/>
          <w:sz w:val="24"/>
        </w:rPr>
        <w:t>-</w:t>
      </w:r>
      <w:r>
        <w:rPr>
          <w:rFonts w:ascii="Times New Roman" w:hAnsi="Times New Roman"/>
          <w:sz w:val="24"/>
        </w:rPr>
        <w:t xml:space="preserve"> Käesolevas määruses kirjeldatud näitaja Cep, nr kindlaksmääramisel kasutatakse hoonesse mittetaastuva primaarenergiana siseneva energia teisendustegureid, mis on kokkuleppeliselt võrdsed järgmisega: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5"/>
        <w:gridCol w:w="5791"/>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Hoone poolt imporditud energia liik</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Hoonesse mittetaastuva primaarenergiana siseneva energia teisendustegurid</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Puit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Kaugküttevõrk (soojus)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 Taastuvenergia või võrgu taaskasutamise suhtarv (soojus)</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Kaugküttevõrk (külm)</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Metaan (looduslik) võrkudest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Hoonel või krundil kogutud taastuvenergia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Muud energiaallikad</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211C762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Taastuvenergia või linnaküttevõrgu taaskasutamise suhtarv määratakse iga olemasoleva taristu jaoks kindlaks järjekorra alusel.</w:t>
      </w:r>
      <w:r>
        <w:rPr>
          <w:rFonts w:ascii="Times New Roman" w:hAnsi="Times New Roman"/>
          <w:sz w:val="24"/>
        </w:rPr>
        <w:br/>
        <w:t xml:space="preserve">II. </w:t>
      </w:r>
      <w:r w:rsidR="00381116">
        <w:rPr>
          <w:rFonts w:ascii="Times New Roman" w:hAnsi="Times New Roman"/>
          <w:sz w:val="24"/>
        </w:rPr>
        <w:t>-</w:t>
      </w:r>
      <w:r>
        <w:rPr>
          <w:rFonts w:ascii="Times New Roman" w:hAnsi="Times New Roman"/>
          <w:sz w:val="24"/>
        </w:rPr>
        <w:t xml:space="preserve"> Näitaja Cep kindlaksmääramisel kasutatakse hoonesse primaarenergiana siseneva energia teisendustegureid, mis on kokkuleppeliselt võrded järgmisega: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7"/>
        <w:gridCol w:w="5449"/>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Hoone poolt imporditud energia liik</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Hoonesse primaarenergiana siseneva energia teisendustegurid</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Puit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Kaugvõrk (küte)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Kaugvõrk (külm)</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Metaan (looduslik) võrkudest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Hoonel või krundil kogutud taastuvenergia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Muud energiaallikad</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Kokkuleppe kohaselt ei mõjuta hoone poolt võrgu jaoks toodetud energia ega võimalik energiakogus, mida hoone selle energia tootmiseks impordib, hoone Cep, nr, Cep ja Icenergy näitajaid.</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10</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Näitaja Icenergy kindlaksmääramisel kasutatakse hoonesse heidetud kasvuhoonegaaside kogustena siseneva energia teisenduskoefitsiente, mis on kokkuleppeliselt võrdsed järgmisega: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6"/>
        <w:gridCol w:w="5910"/>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Energialiik kWh EF LCV kohta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CO2 ekvivalent lõppenergia kilovatt-tunni kohta väikeses kütteväärtuses</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Puit, biomass – puidulaastud</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Puit, biomass – graanulid või briketid</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Puit, biomass – palgid</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Kütteks kasutatav elekter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Jahutamiseks kasutatav elekter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DHW elekter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Elekter tertsiaarvalgustuse jaoks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Elekter elamute valgustuseks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Muuks otstarbeks ettenähtud elekter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Metaan (looduslik) võrkudest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Butaangaas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Propaangaas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Muud fossiilkütused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Linnakütte- või jahutusvõrkude heitekoefitsient määratakse iga olemasoleva taristu jaoks kindlaks järjekorra alusel.</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11</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Kliimamuutuste mõjunäitajate arvutamisel kasutatavad kaalumiskoefitsiendid Icenergy, Icconstruction ja Icbuilding on sõltuvalt heite aastast ja eralduva gaasi liigist järgmised:</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Saate vaadata kogu teksti koos autenditud elektroonilise Euroopa Liidu Teataja väljavõttega, mis on kättesaadav lehekülje allosas.</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12</w:t>
      </w:r>
    </w:p>
    <w:p w14:paraId="5013377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Tarkvara, mis võimaldab ehitus- ja elamuseadustiku artikli R. 172-4 lisa I peatüki I lõigetes I–IX kirjeldatud näitajate täielikku või osalist arvutamist, et kontrollida vastavust eespool nimetatud artiklile ja käesolevale määrusele, peab järgima artiklis 8 nimetatud arvutusmeetodit.</w:t>
      </w:r>
      <w:r>
        <w:rPr>
          <w:rFonts w:ascii="Times New Roman" w:hAnsi="Times New Roman"/>
          <w:sz w:val="24"/>
        </w:rPr>
        <w:br/>
        <w:t>Selleks peab ta vastavalt ehitus- ja elamuseadustiku artiklile L. 121-2 tuginema Bbio, Cep, nr, Cep ja DH näitajate arvutustööriistale, mis tehakse taotluse korral kättesaadavaks. Selle tööriista uuendused integreeritakse ühe kuu jooksul alates nende avaldamisest asjaomasesse tarkvarasse.</w:t>
      </w:r>
      <w:r>
        <w:rPr>
          <w:rFonts w:ascii="Times New Roman" w:hAnsi="Times New Roman"/>
          <w:sz w:val="24"/>
        </w:rPr>
        <w:br/>
        <w:t>Selle tarkvara regulatiivse kasutamise peavad kõigepealt heaks kiitma energiaminister ja ehituse eest vastutav minister, eelkõige selleks, et kontrollida, kas saadud tulemused vastavad arvutusmeetodile ja kas sisendliides vähendab modelleerija sisendvigade riski.</w:t>
      </w:r>
      <w:r>
        <w:rPr>
          <w:rFonts w:ascii="Times New Roman" w:hAnsi="Times New Roman"/>
          <w:sz w:val="24"/>
        </w:rPr>
        <w:br/>
        <w:t>Üleminekumeetmena võib enesekontrolli läbinud tarkvara kasutada regulatiivsetel eesmärkidel kuni 30. juunini 2022 tehtud simulatsioonide jaoks.</w:t>
      </w:r>
      <w:r>
        <w:rPr>
          <w:rFonts w:ascii="Times New Roman" w:hAnsi="Times New Roman"/>
          <w:sz w:val="24"/>
        </w:rPr>
        <w:br/>
        <w:t xml:space="preserve">V lisas kirjeldatakse enesekontrolli menetlusi ja sellise tarkvara heakskiitmise </w:t>
      </w:r>
      <w:r>
        <w:rPr>
          <w:rFonts w:ascii="Times New Roman" w:hAnsi="Times New Roman"/>
          <w:sz w:val="24"/>
        </w:rPr>
        <w:lastRenderedPageBreak/>
        <w:t>korda.</w:t>
      </w:r>
      <w:r>
        <w:rPr>
          <w:rFonts w:ascii="Times New Roman" w:hAnsi="Times New Roman"/>
          <w:sz w:val="24"/>
        </w:rPr>
        <w:br/>
        <w:t>Heakskiitu uuendatakse pärast korrapärast läbivaatamist järgmistel tingimustel:</w:t>
      </w:r>
    </w:p>
    <w:p w14:paraId="0C449CC4" w14:textId="19AD64D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76DF1">
        <w:rPr>
          <w:rFonts w:ascii="Times New Roman" w:hAnsi="Times New Roman"/>
          <w:sz w:val="24"/>
        </w:rPr>
        <w:t>-</w:t>
      </w:r>
      <w:r>
        <w:rPr>
          <w:rFonts w:ascii="Times New Roman" w:hAnsi="Times New Roman"/>
          <w:sz w:val="24"/>
        </w:rPr>
        <w:t xml:space="preserve"> esimese kontrolli kehtivusaeg on kaks aastat;</w:t>
      </w:r>
      <w:r>
        <w:rPr>
          <w:rFonts w:ascii="Times New Roman" w:hAnsi="Times New Roman"/>
          <w:sz w:val="24"/>
        </w:rPr>
        <w:br/>
      </w:r>
      <w:r w:rsidR="00E76DF1">
        <w:rPr>
          <w:rFonts w:ascii="Times New Roman" w:hAnsi="Times New Roman"/>
          <w:sz w:val="24"/>
        </w:rPr>
        <w:t>-</w:t>
      </w:r>
      <w:r>
        <w:rPr>
          <w:rFonts w:ascii="Times New Roman" w:hAnsi="Times New Roman"/>
          <w:sz w:val="24"/>
        </w:rPr>
        <w:t xml:space="preserve"> heakskiidu kehtivusaega pikendatakse viie aasta võrra pärast läbivaatamist, mille käigus ei tuvastata olulisi kõrvalekaldeid läbivaatamistoimiku esitamise ajal kehtinud arvutusmeetodist;</w:t>
      </w:r>
      <w:r>
        <w:rPr>
          <w:rFonts w:ascii="Times New Roman" w:hAnsi="Times New Roman"/>
          <w:sz w:val="24"/>
        </w:rPr>
        <w:br/>
      </w:r>
      <w:r w:rsidR="00E76DF1">
        <w:rPr>
          <w:rFonts w:ascii="Times New Roman" w:hAnsi="Times New Roman"/>
          <w:sz w:val="24"/>
        </w:rPr>
        <w:t>-</w:t>
      </w:r>
      <w:r>
        <w:rPr>
          <w:rFonts w:ascii="Times New Roman" w:hAnsi="Times New Roman"/>
          <w:sz w:val="24"/>
        </w:rPr>
        <w:t xml:space="preserve"> heakskiidu kehtivusaega pikendatakse kahe kuni viie aasta võrra pärast läbivaatamist, mille tulemusel on parandatud olulised kõrvalekalded läbivaatamistoimiku esitamise ajal kehtinud arvutusmeetodist.</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Heakskiidu võib igal ajal tagasi võtta, eelkõige pärast seda, kui on leitud oluline kõrvalekalle vaatluse ajal kehtinud arvutusmeetodist või pärast seda, kui on täheldatud, et vähemalt kolmel korral ei ole arvesse võetud teatavaid süsteeme, mis olid kõnealuse tähelepaneku ajal kehtivas arvutusmeetodis arvesse võtmata.</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13</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Väärtused, mida kasutatakse sisendandmetena artiklis 8 täpsustatud arvutuses ja mis kirjeldavad ehitise geomeetrilisi omadusi, peavad vastama ehitusplaanidele, kui hoone ei ole valmis, või tegelikult kasutatud kogustele pärast ehitise valmimist.</w:t>
      </w:r>
      <w:r>
        <w:rPr>
          <w:rFonts w:ascii="Times New Roman" w:hAnsi="Times New Roman"/>
          <w:sz w:val="24"/>
        </w:rPr>
        <w:br/>
        <w:t>Hoone ja selle detailide pikkused, pindalad või suunad on osa hoone geomeetrilisi omadusi kirjeldavatest andmetest.</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14</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Väärtused, mida kasutatakse sisendandmetena artiklis 8 täpsustatud arvutuses ja kirjeldavad hoone kasutatud ehitustoodete või -seadmete koguseid, peavad vastama hoone ehitamiseks vajalikele eeldatavatele kogustele, kui hoone ei ole valmis, või tegelikult kasutatud kogustele pärast hoone valmimist.</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15</w:t>
      </w:r>
    </w:p>
    <w:p w14:paraId="5B4D90D0" w14:textId="139E2FD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2424C7">
        <w:rPr>
          <w:rFonts w:ascii="Times New Roman" w:hAnsi="Times New Roman"/>
          <w:sz w:val="24"/>
        </w:rPr>
        <w:t>-</w:t>
      </w:r>
      <w:r>
        <w:rPr>
          <w:rFonts w:ascii="Times New Roman" w:hAnsi="Times New Roman"/>
          <w:sz w:val="24"/>
        </w:rPr>
        <w:t xml:space="preserve"> Väärtused, mida kasutatakse sisendandmetena artiklis 8 täpsustatud arvutuses ja mis kirjeldavad hoone osade soojuslikke omadusi, peavad vastama hoone ehitamiseks ette nähtud detailide omadustele, kui hoone ei ole valmis, või tegelikult kasutatud detailide omadustele pärast ehitise valmimist.</w:t>
      </w:r>
      <w:r>
        <w:rPr>
          <w:rFonts w:ascii="Times New Roman" w:hAnsi="Times New Roman"/>
          <w:sz w:val="24"/>
        </w:rPr>
        <w:br/>
        <w:t>Need termilised omadused saadakse iga detaili puhul järgmiselt:</w:t>
      </w:r>
    </w:p>
    <w:p w14:paraId="49B964E9" w14:textId="7718A02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424C7">
        <w:rPr>
          <w:rFonts w:ascii="Times New Roman" w:hAnsi="Times New Roman"/>
          <w:sz w:val="24"/>
        </w:rPr>
        <w:t>-</w:t>
      </w:r>
      <w:r>
        <w:rPr>
          <w:rFonts w:ascii="Times New Roman" w:hAnsi="Times New Roman"/>
          <w:sz w:val="24"/>
        </w:rPr>
        <w:t xml:space="preserve"> kui osa on hõlmatud 9. märtsi 2011. aasta määrusega (EÜ) nr 305/2001 ühtlustatud tehniliste kirjeldustega, ühtlustatud standardite või Euroopa hindamisdokumentidega, mille puhul tooted kannavad CE-märgist, ja kui termilise karakteristiku väärtus on käesolevates spetsifikatsioonides kindlaks määratud, kasutatakse seda väärtust artiklis 8 sätestatud korras;</w:t>
      </w:r>
      <w:r>
        <w:rPr>
          <w:rFonts w:ascii="Times New Roman" w:hAnsi="Times New Roman"/>
          <w:sz w:val="24"/>
        </w:rPr>
        <w:br/>
      </w:r>
      <w:r w:rsidR="00584122">
        <w:rPr>
          <w:rFonts w:ascii="Times New Roman" w:hAnsi="Times New Roman"/>
          <w:sz w:val="24"/>
        </w:rPr>
        <w:lastRenderedPageBreak/>
        <w:t>-</w:t>
      </w:r>
      <w:r>
        <w:rPr>
          <w:rFonts w:ascii="Times New Roman" w:hAnsi="Times New Roman"/>
          <w:sz w:val="24"/>
        </w:rPr>
        <w:t xml:space="preserve"> kui see nii ei ole ja kui termiline karakteristik on saadud viitega Prantsusmaa standarditele või tehnilistele arvamustele või samaväärsetele siseriiklikele standarditele, mille on heaks kiitnud Euroopa Liidu liikmesriik, EMP lepingu osaline või Türgi ning mille on välja andnud direktiivi 305/2011 alusel teavitatud sõltumatu kolmas isik, keda tunnustab Euroopa Liidu liikmesriik või Euroopa Majanduspiirkonna lepingu osalisriik, kasutatakse seda väärtust artiklis 8 sätestatud korras. Käesolevast sättest tulenevat eelist kohaldatakse üksnes ühtlustatud Euroopa standardi või Euroopa tehnilise tunnustuse kohaldamisele eelneva ajavahemiku jooksul. Olenemata nende erinevate standardite või tehniliste arvamustega kehtestatud ümardamiseeskirjadest, ei tohi sisendandmetena kasutatav väärtus olla vajaduse korral soodsam kui mõõtmisel saadud väärtus.</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Kui iseloomulikku väärtust ei ole võimalik saada eespool nimetatud menetluste kohaselt, kasutatakse vaikeväärtust, mis on määratletud artiklis 8 osutatud arvutusmeetodiga, välja arvatud käesoleva määruse XII lisas määratletud biopõhise isolatsiooni kasuliku soojusjuhtivuse vaikeväärtus.</w:t>
      </w:r>
      <w:r>
        <w:rPr>
          <w:rFonts w:ascii="Times New Roman" w:hAnsi="Times New Roman"/>
          <w:sz w:val="24"/>
        </w:rPr>
        <w:br/>
        <w:t>II. Elamute puhul tuleb juhul, kui hoone üleandmisel tuleb veel teha teatavaid energiasüsteemi paigaldustöid, kasutada vaikeandmeid vastavalt artiklis 8 sätestatud meetodile.</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16</w:t>
      </w:r>
    </w:p>
    <w:p w14:paraId="741E3895" w14:textId="2A1761F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8F2FA5">
        <w:rPr>
          <w:rFonts w:ascii="Times New Roman" w:hAnsi="Times New Roman"/>
          <w:sz w:val="24"/>
        </w:rPr>
        <w:t>-</w:t>
      </w:r>
      <w:r>
        <w:rPr>
          <w:rFonts w:ascii="Times New Roman" w:hAnsi="Times New Roman"/>
          <w:sz w:val="24"/>
        </w:rPr>
        <w:t xml:space="preserve"> Näitajate Icconstruction ja Icbuilding arvutamisel sisendandmetena kasutatavad väärtused peavad vastama ehitamiseks kavandatud detailide omadustele, kui hoone ei ole valmis, või tööde lõpetamisel tegelikult kasutatud detailide omadustele. Erandina käesolevast sättest on võimalik kasutada sisendandmebaasi, mis vastab detailile, mille omadused on kavandatud või kasutatava detaili omadest paremad, tingimusel et need on osa samast tootja valikust.</w:t>
      </w:r>
      <w:r>
        <w:rPr>
          <w:rFonts w:ascii="Times New Roman" w:hAnsi="Times New Roman"/>
          <w:sz w:val="24"/>
        </w:rPr>
        <w:br/>
        <w:t>Need väärtused saadakse iga detaili kohta tootja poolt dekreedis sätestatud korras esitatud keskkonnadeklaratsioonide alusel või selliste andmete puudumisel ehitusministri poolt kättesaadavaks tehtud keskkonnaandmete vaikeandmete alusel.</w:t>
      </w:r>
      <w:r>
        <w:rPr>
          <w:rFonts w:ascii="Times New Roman" w:hAnsi="Times New Roman"/>
          <w:sz w:val="24"/>
        </w:rPr>
        <w:br/>
        <w:t>Kui hoone detaili puhul ei ole kättesaadav eelmises lõigus nimetatud omadustele vastav teave, kirjeldatakse seda detaili arvutuses ja sellega seostatakse keskkonnateave mis on määratletud kui „tühi“; lisaks sellele esitatakse taotlus detailile vastava vaikimisi keskkonnaalase andmebaasi loomiseks ehitusministeeriumi veebilehel näidatud veebisaidi kaudu.</w:t>
      </w:r>
      <w:r>
        <w:rPr>
          <w:rFonts w:ascii="Times New Roman" w:hAnsi="Times New Roman"/>
          <w:sz w:val="24"/>
        </w:rPr>
        <w:br/>
        <w:t xml:space="preserve">II. </w:t>
      </w:r>
      <w:r w:rsidR="008F2FA5">
        <w:rPr>
          <w:rFonts w:ascii="Times New Roman" w:hAnsi="Times New Roman"/>
          <w:sz w:val="24"/>
        </w:rPr>
        <w:t>-</w:t>
      </w:r>
      <w:r>
        <w:rPr>
          <w:rFonts w:ascii="Times New Roman" w:hAnsi="Times New Roman"/>
          <w:sz w:val="24"/>
        </w:rPr>
        <w:t xml:space="preserve"> Kui hoone üleandmisel tuleb veel teha teatavaid töid, kasutatakse selle töö kirjeldamiseks vaikeandmeid vastavalt artiklis 8 sätestatud meetodile.</w:t>
      </w:r>
      <w:r>
        <w:rPr>
          <w:rFonts w:ascii="Times New Roman" w:hAnsi="Times New Roman"/>
          <w:sz w:val="24"/>
        </w:rPr>
        <w:br/>
        <w:t xml:space="preserve">III. </w:t>
      </w:r>
      <w:r w:rsidR="008F2FA5">
        <w:rPr>
          <w:rFonts w:ascii="Times New Roman" w:hAnsi="Times New Roman"/>
          <w:sz w:val="24"/>
        </w:rPr>
        <w:t>-</w:t>
      </w:r>
      <w:r>
        <w:rPr>
          <w:rFonts w:ascii="Times New Roman" w:hAnsi="Times New Roman"/>
          <w:sz w:val="24"/>
        </w:rPr>
        <w:t xml:space="preserve"> Teatavate ehitusdetailide puhul ja sõltuvalt hoone kasutusest on võimalik käesoleva artikli I ja II osas nimetatud nõudeid asendada, et kirjeldada nende mõju kliimamuutustele kindlaksmääratud väärtuste abil. Asjaomased detailide komplektid ja vastavad väärtused on esitatud XI lisas.</w:t>
      </w:r>
      <w:r>
        <w:rPr>
          <w:rFonts w:ascii="Times New Roman" w:hAnsi="Times New Roman"/>
          <w:sz w:val="24"/>
        </w:rPr>
        <w:br/>
        <w:t xml:space="preserve">IV. </w:t>
      </w:r>
      <w:r w:rsidR="008F2FA5">
        <w:rPr>
          <w:rFonts w:ascii="Times New Roman" w:hAnsi="Times New Roman"/>
          <w:sz w:val="24"/>
        </w:rPr>
        <w:t>-</w:t>
      </w:r>
      <w:r>
        <w:rPr>
          <w:rFonts w:ascii="Times New Roman" w:hAnsi="Times New Roman"/>
          <w:sz w:val="24"/>
        </w:rPr>
        <w:t xml:space="preserve"> Käesoleva artikli I lõike kohaselt kasutatavad andmed on andmed, mis on kättesaadavad näitajate Icconstruction, Icded ja Icbuilding arvutamise lõpetamise kuupäeval. Kui andmeid on kasutatud nende näitajate varasemas arvutuses, mida on hiljem ajakohastatud või kustutatud, jäävad need käesoleva artikli I osas sätestatud tingimustel kasutatavaks.</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Artikkel 17</w:t>
      </w:r>
    </w:p>
    <w:p w14:paraId="765CA2F0" w14:textId="1CC51C7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7779FC">
        <w:rPr>
          <w:rFonts w:ascii="Times New Roman" w:hAnsi="Times New Roman"/>
          <w:sz w:val="24"/>
        </w:rPr>
        <w:t>-</w:t>
      </w:r>
      <w:r>
        <w:rPr>
          <w:rFonts w:ascii="Times New Roman" w:hAnsi="Times New Roman"/>
          <w:sz w:val="24"/>
        </w:rPr>
        <w:t xml:space="preserve"> Hoone õhu läbilaskvuse väärtus saadakse:</w:t>
      </w:r>
    </w:p>
    <w:p w14:paraId="5AE3B909" w14:textId="4BAEC1C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7779FC">
        <w:rPr>
          <w:rFonts w:ascii="Times New Roman" w:hAnsi="Times New Roman"/>
          <w:sz w:val="24"/>
        </w:rPr>
        <w:t>-</w:t>
      </w:r>
      <w:r>
        <w:rPr>
          <w:rFonts w:ascii="Times New Roman" w:hAnsi="Times New Roman"/>
          <w:sz w:val="24"/>
        </w:rPr>
        <w:t xml:space="preserve"> elamute puhul kas mõõtmise või hoone õhukindlust käsitleva kvaliteedimeetodi abil käesoleva määruse VII lisas määratletud korras;</w:t>
      </w:r>
      <w:r>
        <w:rPr>
          <w:rFonts w:ascii="Times New Roman" w:hAnsi="Times New Roman"/>
          <w:sz w:val="24"/>
        </w:rPr>
        <w:br/>
      </w:r>
      <w:r w:rsidR="007779FC">
        <w:rPr>
          <w:rFonts w:ascii="Times New Roman" w:hAnsi="Times New Roman"/>
          <w:sz w:val="24"/>
        </w:rPr>
        <w:t>-</w:t>
      </w:r>
      <w:r>
        <w:rPr>
          <w:rFonts w:ascii="Times New Roman" w:hAnsi="Times New Roman"/>
          <w:sz w:val="24"/>
        </w:rPr>
        <w:t xml:space="preserve"> muud liiki hoonete puhul võib hoone õhu läbilaskvuse väärtust põhjendada käesoleva määruse VII lisas määratletud meetoditega. Kui nende meetodite kohaselt mõõtmist ei toimu, on kasutatav väärtus vaikeväärtus, mis on määratletud artiklis 8 osutatud arvutusmeetodiga;</w:t>
      </w:r>
    </w:p>
    <w:p w14:paraId="6D3E852E" w14:textId="5807EC6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Kui läbilaskvust mõõdetakse proovivõtu teel, korrutatakse saadud mõõteväärtused 1,2-ga.</w:t>
      </w:r>
      <w:r>
        <w:rPr>
          <w:rFonts w:ascii="Times New Roman" w:hAnsi="Times New Roman"/>
          <w:sz w:val="24"/>
        </w:rPr>
        <w:br/>
        <w:t>Juhul kui tööd, mis võivad mõjutada eluruumide õhuläbilaskvust, tuleb teha pärast üleandmist, ja kui töö käigus ei ole lekkeid takistatud, suurendatakse saadud läbilaskvuse väärtusi 0,3 m³/(h.m²) võrra.</w:t>
      </w:r>
      <w:r>
        <w:rPr>
          <w:rFonts w:ascii="Times New Roman" w:hAnsi="Times New Roman"/>
          <w:sz w:val="24"/>
        </w:rPr>
        <w:br/>
        <w:t>Need kaks suurendamist on selles järjekorras kumulatiivsed.</w:t>
      </w:r>
      <w:r>
        <w:rPr>
          <w:rFonts w:ascii="Times New Roman" w:hAnsi="Times New Roman"/>
          <w:sz w:val="24"/>
        </w:rPr>
        <w:br/>
        <w:t xml:space="preserve">II. </w:t>
      </w:r>
      <w:r w:rsidR="007779FC">
        <w:rPr>
          <w:rFonts w:ascii="Times New Roman" w:hAnsi="Times New Roman"/>
          <w:sz w:val="24"/>
        </w:rPr>
        <w:t>-</w:t>
      </w:r>
      <w:r>
        <w:rPr>
          <w:rFonts w:ascii="Times New Roman" w:hAnsi="Times New Roman"/>
          <w:sz w:val="24"/>
        </w:rPr>
        <w:t xml:space="preserve"> Kõikide hoonete puhul saadakse õhutussvõrkude läbilaskvusväärtus kas mõõtmise teel või kasutades õhutusvõrkude õhukindlust käsitlevat kvaliteedipõhist lähenemisviisi vastavalt käesoleva määruse VII lisas sätestatud korrale. Nende meetodite kohase mõõtmise ja kvaliteedipõhise lähenemisviisi puudumise korral on kasutatav väärtus vaikeväärtus, mis on määratletud artiklis 8 osutatud arvutusmeetodiga.</w:t>
      </w:r>
      <w:r>
        <w:rPr>
          <w:rFonts w:ascii="Times New Roman" w:hAnsi="Times New Roman"/>
          <w:sz w:val="24"/>
        </w:rPr>
        <w:br/>
        <w:t>Kui mõõtmine õigustab hoone õhuläbilaskvust või õhutusvõrkude läbilaskvust, peab mõõtmist teostav isik olema ehitusministri poolt pädevaks tunnistatud isik, kes ei sõltu taotlejast ega sihthoonete teostamise või projektijuhtimisega tegelevatest organisatsioonidest.</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 peatükk. NÕUETE RAKENDAMISE PÕHJENDAMINE (artikkel 18)</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18</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Hiljemalt pärast tööde lõpetamist koostab hoone omanik artikli 12 nõuetele vastava tarkvara abil energia- ja keskkonnauuringu standarditud digitaalse kokkuvõtte.</w:t>
      </w:r>
      <w:r>
        <w:rPr>
          <w:rFonts w:ascii="Times New Roman" w:hAnsi="Times New Roman"/>
          <w:sz w:val="24"/>
        </w:rPr>
        <w:br/>
        <w:t>Koostatava energia- ja keskkonnauuringu standardkokkuvõtte sisu ja vormi on kirjeldatud VI lisas.</w:t>
      </w:r>
      <w:r>
        <w:rPr>
          <w:rFonts w:ascii="Times New Roman" w:hAnsi="Times New Roman"/>
          <w:sz w:val="24"/>
        </w:rPr>
        <w:br/>
        <w:t>Käesoleva määruse IV jaoga hõlmatud juhul, kui käesoleva määruse nõudeid kohaldatakse vastavalt heakskiidetud lihtsustatud protsessile või kohaldamisviisile, täpsustatakse kehtestatava energia- ja keskkonnauuringu standardkokkuvõtte sisu ja vorm lihtsustatud korras või -viisis.</w:t>
      </w:r>
      <w:r>
        <w:rPr>
          <w:rFonts w:ascii="Times New Roman" w:hAnsi="Times New Roman"/>
          <w:sz w:val="24"/>
        </w:rPr>
        <w:br/>
        <w:t>Neid andmeid säilitab ja edastab hoone omanik vastavalt ehitus- ja elamuseadustiku artiklile R. 172-8.</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III jagu. TERMILISED OMADUSED JA NÕUDED VAHENDITELE (DETAILIDE KAUPA) (artiklid 19–40)</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lastRenderedPageBreak/>
        <w:t>VII peatükk. TÕHUSUSE KINNITAMINE PÄRAST EHITUST (artiklid 19–20)</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19</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Individuaal- või külgnevate hoonete ja ühiselamute puhul peab hoone välispiirete õhuläbilaskvus 4 Pa (Q4Pa-surf) alusel, mis on kindlaks määratud vastavalt artiklile 17, olema väiksem kui:</w:t>
      </w:r>
      <w:r>
        <w:rPr>
          <w:rFonts w:ascii="Times New Roman" w:hAnsi="Times New Roman"/>
          <w:sz w:val="24"/>
        </w:rPr>
        <w:br/>
        <w:t>0,60 m³/(h.m²) tühjendatud seinad (v.a madal korrus) eraldatud või külgnevas hoones.</w:t>
      </w:r>
      <w:r>
        <w:rPr>
          <w:rFonts w:ascii="Times New Roman" w:hAnsi="Times New Roman"/>
          <w:sz w:val="24"/>
        </w:rPr>
        <w:br/>
        <w:t>1,00 m³/(h.m²) kaokindlad seinad (v.a madal korrus) ühiselamus.</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20</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Hoonetes ja hooneosades, mis on ette nähtud elamute nõuetekohaseks toimimiseks, kontrollib hoone ventilatsioonisüsteemi ja mõõdab selle toimivust ehitusministri poolt pädevaks tunnistatud isik vastavalt VIII lisa sätetele. See peab vastama samas lisas osutatud ventilatsioonisüsteemi vastavustõendamise protokollile.</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VIII peatükk. SOOJUSISOLATSIOON (artiklid 21–22)</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21</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Vaheseintel, mis eraldavad hoone pidevalt kasutuses olevaid osi hoone katkendlikult kasutatavatest osadest, peab olema soojusülekandetegur U, nagu on määratletud artiklis 8 osutatud arvutusmeetodis, mis ei tohi ületada keskmist väärtust 0,36 W/(m².K). Siin vaadeldavaks pindalaks on eespool nimetatud vaheseinte pindala.</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22</w:t>
      </w:r>
    </w:p>
    <w:p w14:paraId="3B7CB3F1" w14:textId="3A7B488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Selleks et vältida materjalide füüsikalise või mikrobioloogilise lagunemise ohtu, nagu isolatsiooni tihenemine või hallituse tekkimine, tuleb hoone või hoone osa projekteerida ja ehitada nii, et tavapärastes kasutustingimustes välditakse olukorda, mis võib viia kondenseerumise tekkimiseni pinnal või seinte sees kas ühel korral või hajutatult, välja arvatud juhul, kui selline kondenseerumine on üksnes ajutine.</w:t>
      </w:r>
      <w:r>
        <w:rPr>
          <w:rFonts w:ascii="Times New Roman" w:hAnsi="Times New Roman"/>
          <w:sz w:val="24"/>
        </w:rPr>
        <w:br/>
        <w:t>Selleks peab see vastama ühele käesoleva artikli I või II lõike nõudest.</w:t>
      </w:r>
      <w:r>
        <w:rPr>
          <w:rFonts w:ascii="Times New Roman" w:hAnsi="Times New Roman"/>
          <w:sz w:val="24"/>
        </w:rPr>
        <w:br/>
        <w:t xml:space="preserve">I. </w:t>
      </w:r>
      <w:r w:rsidR="00F31AD8">
        <w:rPr>
          <w:rFonts w:ascii="Times New Roman" w:hAnsi="Times New Roman"/>
          <w:sz w:val="24"/>
        </w:rPr>
        <w:t>-</w:t>
      </w:r>
      <w:r>
        <w:rPr>
          <w:rFonts w:ascii="Times New Roman" w:hAnsi="Times New Roman"/>
          <w:sz w:val="24"/>
        </w:rPr>
        <w:t xml:space="preserve"> Selle pinnatemperatuur peab talvetingimustes olema alla 15 °C isolatsiooni paljal sisemusel mis tahes punktis nendel pindadel.</w:t>
      </w:r>
      <w:r>
        <w:rPr>
          <w:rFonts w:ascii="Times New Roman" w:hAnsi="Times New Roman"/>
          <w:sz w:val="24"/>
        </w:rPr>
        <w:br/>
        <w:t xml:space="preserve">II. </w:t>
      </w:r>
      <w:r w:rsidR="00F31AD8">
        <w:rPr>
          <w:rFonts w:ascii="Times New Roman" w:hAnsi="Times New Roman"/>
          <w:sz w:val="24"/>
        </w:rPr>
        <w:t>-</w:t>
      </w:r>
      <w:r>
        <w:rPr>
          <w:rFonts w:ascii="Times New Roman" w:hAnsi="Times New Roman"/>
          <w:sz w:val="24"/>
        </w:rPr>
        <w:t xml:space="preserve"> See vastab samaaegselt järgmistele nõuetele:</w:t>
      </w:r>
    </w:p>
    <w:p w14:paraId="3A1005BC" w14:textId="23BD669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F31AD8">
        <w:rPr>
          <w:rFonts w:ascii="Times New Roman" w:hAnsi="Times New Roman"/>
          <w:sz w:val="24"/>
        </w:rPr>
        <w:t>-</w:t>
      </w:r>
      <w:r>
        <w:rPr>
          <w:rFonts w:ascii="Times New Roman" w:hAnsi="Times New Roman"/>
          <w:sz w:val="24"/>
        </w:rPr>
        <w:t xml:space="preserve"> hoone soojussildade üldine lineaarne soojusülekandearv ei tohiks ületada 0,33 W/(m²Sref.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See suhtarv kajastab hoone kõigi soojussildade soojuskadu võrreldes hoone </w:t>
      </w:r>
      <w:r>
        <w:rPr>
          <w:rFonts w:ascii="Times New Roman" w:hAnsi="Times New Roman"/>
          <w:sz w:val="24"/>
        </w:rPr>
        <w:lastRenderedPageBreak/>
        <w:t>võrdlusalaga. See määratakse kindlaks vastavalt artiklis 8 osutatud arvutusmeetodile.</w:t>
      </w:r>
    </w:p>
    <w:p w14:paraId="32C3A6AD" w14:textId="3BE8D51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9303D">
        <w:rPr>
          <w:rFonts w:ascii="Times New Roman" w:hAnsi="Times New Roman"/>
          <w:sz w:val="24"/>
        </w:rPr>
        <w:t>-</w:t>
      </w:r>
      <w:r>
        <w:rPr>
          <w:rFonts w:ascii="Times New Roman" w:hAnsi="Times New Roman"/>
          <w:sz w:val="24"/>
        </w:rPr>
        <w:t xml:space="preserve"> keskmiste põrandate ja välisseinte või -seinte vaheliste ühenduste keskmine lineaarne soojusülekandetegur Ψ 9, mis eraldab soojust soojendamata ruumidele, ei tohi ületada 0,6 W/(linear m. K).</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IX peatükk. JUURDEPÄÄS LOOMULIKULE VALGUSTUSELE (artikkel 23)</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23</w:t>
      </w:r>
    </w:p>
    <w:p w14:paraId="6019846A" w14:textId="14ABF24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Piisava loomuliku valgustuse ja välisvaate tagamiseks peavad eluhooned vastama ühele käesoleva artikli I või II lõikes sätestatud nõuetest.</w:t>
      </w:r>
      <w:r>
        <w:rPr>
          <w:rFonts w:ascii="Times New Roman" w:hAnsi="Times New Roman"/>
          <w:sz w:val="24"/>
        </w:rPr>
        <w:br/>
        <w:t xml:space="preserve">I. </w:t>
      </w:r>
      <w:r w:rsidR="00FF36CF">
        <w:rPr>
          <w:rFonts w:ascii="Times New Roman" w:hAnsi="Times New Roman"/>
          <w:sz w:val="24"/>
        </w:rPr>
        <w:t>-</w:t>
      </w:r>
      <w:r>
        <w:rPr>
          <w:rFonts w:ascii="Times New Roman" w:hAnsi="Times New Roman"/>
          <w:sz w:val="24"/>
        </w:rPr>
        <w:t xml:space="preserve"> Igal elamul peavad olema kõik järgmised omadused:</w:t>
      </w:r>
    </w:p>
    <w:p w14:paraId="4DF9AF26" w14:textId="53C3282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C62662">
        <w:rPr>
          <w:rFonts w:ascii="Times New Roman" w:hAnsi="Times New Roman"/>
          <w:sz w:val="24"/>
        </w:rPr>
        <w:t>-</w:t>
      </w:r>
      <w:r>
        <w:rPr>
          <w:rFonts w:ascii="Times New Roman" w:hAnsi="Times New Roman"/>
          <w:sz w:val="24"/>
        </w:rPr>
        <w:t xml:space="preserve"> vähemalt 300 luksi 50% eluruumides, välja arvatud ajutiselt kasutuses olevates ruumides, üle poole aasta päevavalgustundidest;</w:t>
      </w:r>
      <w:r>
        <w:rPr>
          <w:rFonts w:ascii="Times New Roman" w:hAnsi="Times New Roman"/>
          <w:sz w:val="24"/>
        </w:rPr>
        <w:br/>
      </w:r>
      <w:r w:rsidR="00C62662">
        <w:rPr>
          <w:rFonts w:ascii="Times New Roman" w:hAnsi="Times New Roman"/>
          <w:sz w:val="24"/>
        </w:rPr>
        <w:t>-</w:t>
      </w:r>
      <w:r>
        <w:rPr>
          <w:rFonts w:ascii="Times New Roman" w:hAnsi="Times New Roman"/>
          <w:sz w:val="24"/>
        </w:rPr>
        <w:t xml:space="preserve"> vähemalt 100 luksi 95% eluruumides, välja arvatud ajutiselt kasutuses olevates ruumides, üle poole aasta päevavalgustundidest;</w:t>
      </w:r>
      <w:r>
        <w:rPr>
          <w:rFonts w:ascii="Times New Roman" w:hAnsi="Times New Roman"/>
          <w:sz w:val="24"/>
        </w:rPr>
        <w:br/>
      </w:r>
      <w:r w:rsidR="00C62662">
        <w:rPr>
          <w:rFonts w:ascii="Times New Roman" w:hAnsi="Times New Roman"/>
          <w:sz w:val="24"/>
        </w:rPr>
        <w:t>-</w:t>
      </w:r>
      <w:r>
        <w:rPr>
          <w:rFonts w:ascii="Times New Roman" w:hAnsi="Times New Roman"/>
          <w:sz w:val="24"/>
        </w:rPr>
        <w:t xml:space="preserve"> vähemalt ühes elamu- ja elamuseadustiku punktis R. 111-1 määratletud elupiirkonnas on elanikul fassaadist vähemalt ühe meetri kaugusele välisvaade, mis hõlmab nii taevast kui ka silmapiiri.</w:t>
      </w:r>
    </w:p>
    <w:p w14:paraId="7EC11A12" w14:textId="32D3CDC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FA4471">
        <w:rPr>
          <w:rFonts w:ascii="Times New Roman" w:hAnsi="Times New Roman"/>
          <w:sz w:val="24"/>
        </w:rPr>
        <w:t>-</w:t>
      </w:r>
      <w:r>
        <w:rPr>
          <w:rFonts w:ascii="Times New Roman" w:hAnsi="Times New Roman"/>
          <w:sz w:val="24"/>
        </w:rPr>
        <w:t xml:space="preserve"> Tabelis mõõdetud avade kogupindala on 1/6 võrdlusalast või sellega võrdne.</w:t>
      </w:r>
      <w:r>
        <w:rPr>
          <w:rFonts w:ascii="Times New Roman" w:hAnsi="Times New Roman"/>
          <w:sz w:val="24"/>
        </w:rPr>
        <w:br/>
        <w:t>Kui hoone fassaadi olemasolev pindala on väiksem kui pool hoone elupinnast või kui eluruumide keskmine elupind on väiksem kui 25 m², võib selle avade pindala, mõõdetuna tabelis, olla eelmiste nõuete asemel suurem kui üks kolmandik fassaadi olemasolevast pindalast või sellega võrdne.</w:t>
      </w:r>
      <w:r>
        <w:rPr>
          <w:rFonts w:ascii="Times New Roman" w:hAnsi="Times New Roman"/>
          <w:sz w:val="24"/>
        </w:rPr>
        <w:br/>
        <w:t>Käesolevat artiklit ei kohaldata juhul, kui selle järgimine oleks vastuolus planeerimislubadega kaitsealadel, arhitektuuri-, linna- ja maastikupärandi kaitsealadel või edendatud arhitektuuri- ja pärandialadel, ajaloomälestiste ümbruses, registreeritud ja salastatud mälestistes, UNESCO maailmapärandi nimekirja kantud mälestistes või muudes kohalike omavalitsuste määratud säilituskohtades, samuti linnaplaneerimisseadustiku artiklis L. 151-19 määratud kohtades ja sektorites.</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 peatükk SUVINE MUGAVUS (artiklid 24–25)</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24</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Avade päikesetegur (v.a ajutise hõivatusega ruumide avad) on väiksem või võrdne allpool tabelis määratletud päikeseteguriga, kusjuures päikesevarjutusseade (kui see on olemas) on täielikult avatud asendis: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8"/>
        <w:gridCol w:w="1515"/>
        <w:gridCol w:w="1924"/>
        <w:gridCol w:w="1939"/>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Tsoon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Kõik kõrgused</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Tsoonid H1a, H1b ja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Kõrgus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Kõrgus &lt; või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Tsoonid H1c ja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Kõrgus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Kõrgus &lt; või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Tsoonid H2d ja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Kõrgus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Kõrgus &lt; või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6BCE3BFC"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BR1 kokkupuutega avad </w:t>
            </w:r>
            <w:r w:rsidR="004A2324">
              <w:rPr>
                <w:rFonts w:ascii="Times New Roman" w:hAnsi="Times New Roman"/>
                <w:sz w:val="24"/>
              </w:rPr>
              <w:t>-</w:t>
            </w:r>
            <w:r>
              <w:rPr>
                <w:rFonts w:ascii="Times New Roman" w:hAnsi="Times New Roman"/>
                <w:sz w:val="24"/>
              </w:rPr>
              <w:t xml:space="preserve"> magamistoad</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Põhjasuunas paiknev vertikaalne ava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Vertikaalne ava, mis ei paikne põhjasuunas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Horisontaalne ava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6D840A0C"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2. BR2 või BR3 kokkupuutega avad </w:t>
            </w:r>
            <w:r w:rsidR="004A2324">
              <w:rPr>
                <w:rFonts w:ascii="Times New Roman" w:hAnsi="Times New Roman"/>
                <w:sz w:val="24"/>
              </w:rPr>
              <w:t>-</w:t>
            </w:r>
            <w:r>
              <w:rPr>
                <w:rFonts w:ascii="Times New Roman" w:hAnsi="Times New Roman"/>
                <w:sz w:val="24"/>
              </w:rPr>
              <w:t xml:space="preserve"> magamistoad</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Põhjasuunas paiknev vertikaalne ava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Vertikaalne ava, mis ei paikne põhjasuunas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Horisontaalne ava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0FB2FDD2"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3. BR1 kokkupuutega avad </w:t>
            </w:r>
            <w:r w:rsidR="004A2324">
              <w:rPr>
                <w:rFonts w:ascii="Times New Roman" w:hAnsi="Times New Roman"/>
                <w:sz w:val="24"/>
              </w:rPr>
              <w:t>-</w:t>
            </w:r>
            <w:r>
              <w:rPr>
                <w:rFonts w:ascii="Times New Roman" w:hAnsi="Times New Roman"/>
                <w:sz w:val="24"/>
              </w:rPr>
              <w:t xml:space="preserve"> v.a magamistoad</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Vertikaalne ava, mis ei paikne põhjasuunas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Horisontaalne ava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4279856E"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4. Kokkupuutega avad </w:t>
            </w:r>
            <w:r w:rsidR="004A2324">
              <w:rPr>
                <w:rFonts w:ascii="Times New Roman" w:hAnsi="Times New Roman"/>
                <w:sz w:val="24"/>
              </w:rPr>
              <w:t>-</w:t>
            </w:r>
            <w:r>
              <w:rPr>
                <w:rFonts w:ascii="Times New Roman" w:hAnsi="Times New Roman"/>
                <w:sz w:val="24"/>
              </w:rPr>
              <w:t xml:space="preserve"> BR2 või BR3, v.a magamistoad</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Vertikaalne ava, mis ei paikne põhjasuunas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Horisontaalne ava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Avad, mis ei puutu kokku otsese päikesevalguse aprillist oktoobrini kauge päikesevarjutuse tõttu, võivad kohaldada ainult põhjasuunaliste avade nõudeid.</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25</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Samas ruumis asuvad avad, välja arvatud ajutises kasutuses olevates ruumides, peaksid avanema vähemalt 30% nende pindalast, välja arvatud juhul, kui hügieeni- või ohutuseeskirjad seda keelavad.</w:t>
      </w:r>
      <w:r>
        <w:rPr>
          <w:rFonts w:ascii="Times New Roman" w:hAnsi="Times New Roman"/>
          <w:sz w:val="24"/>
        </w:rPr>
        <w:br/>
        <w:t>Seda piirmäära vähendatakse 10%-ni ruumide puhul, kus kõrguste vahe väikseima ava madalaima punkti ja suurima ava kõrgeima punkti vahel on 4 m või suurem.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 peatükk. ENERGIATARBIMINE (artiklid 26–28)</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26</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Mis tahes automatiseerimine, mille tulemuseks on energiatarbimise suurenemine:</w:t>
      </w:r>
    </w:p>
    <w:p w14:paraId="56C2F6BF" w14:textId="1438222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932C85">
        <w:rPr>
          <w:rFonts w:ascii="Times New Roman" w:hAnsi="Times New Roman"/>
          <w:sz w:val="24"/>
        </w:rPr>
        <w:t xml:space="preserve">- </w:t>
      </w:r>
      <w:r>
        <w:rPr>
          <w:rFonts w:ascii="Times New Roman" w:hAnsi="Times New Roman"/>
          <w:sz w:val="24"/>
        </w:rPr>
        <w:t>projekteeritakse ja rakendatakse nii, et automatiseerimine käivitub ainult vajaduse korral;</w:t>
      </w:r>
      <w:r>
        <w:rPr>
          <w:rFonts w:ascii="Times New Roman" w:hAnsi="Times New Roman"/>
          <w:sz w:val="24"/>
        </w:rPr>
        <w:br/>
      </w:r>
      <w:r w:rsidR="00932C85">
        <w:rPr>
          <w:rFonts w:ascii="Times New Roman" w:hAnsi="Times New Roman"/>
          <w:sz w:val="24"/>
        </w:rPr>
        <w:t>-</w:t>
      </w:r>
      <w:r>
        <w:rPr>
          <w:rFonts w:ascii="Times New Roman" w:hAnsi="Times New Roman"/>
          <w:sz w:val="24"/>
        </w:rPr>
        <w:t xml:space="preserve"> ajastatakse või programmeeritakse nii, et energiatarbimise suurenemine peatatakse automaatselt niipea, kui see ei ole enam vajalik;</w:t>
      </w:r>
      <w:r>
        <w:rPr>
          <w:rFonts w:ascii="Times New Roman" w:hAnsi="Times New Roman"/>
          <w:sz w:val="24"/>
        </w:rPr>
        <w:br/>
      </w:r>
      <w:r w:rsidR="00932C85">
        <w:rPr>
          <w:rFonts w:ascii="Times New Roman" w:hAnsi="Times New Roman"/>
          <w:sz w:val="24"/>
        </w:rPr>
        <w:t>-</w:t>
      </w:r>
      <w:r>
        <w:rPr>
          <w:rFonts w:ascii="Times New Roman" w:hAnsi="Times New Roman"/>
          <w:sz w:val="24"/>
        </w:rPr>
        <w:t xml:space="preserve"> on tulevase hoone haldaja poolt kohandatav vastavalt hoone kasutustingimustele.</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Automatiseerimine võimaldab kunstliku valgustuse automaatset käivitamist kodudes, kontorites, koosolekuruumides, klassiruumides ja mitmeotstarbelistes ruumides üksnes pärast seda, kui elanik on asjaomase ruumi või selle vahetus läheduses seda vähem kui kuus tundi varem käsitsi reguleerinud.</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27</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Elamud või nende osad peavad olema varustatud süsteemidega, mis võimaldavad mõõta või hinnata iga elamu energiatarbimist, välja arvatud üksikute puusüsteemide tarbimine üksikhoonetes või nendega külgnevates hoonetes.</w:t>
      </w:r>
      <w:r>
        <w:rPr>
          <w:rFonts w:ascii="Times New Roman" w:hAnsi="Times New Roman"/>
          <w:sz w:val="24"/>
        </w:rPr>
        <w:br/>
        <w:t>Kollektiivse energiatootmise puhul tähendab „eluruumi tarbitav energia“ selle eluruumi kogu energiatarbimise osa vastavalt jaotuskvoodile, mille määrab kindlaks hoone omanik hoone ehitamise ajal.</w:t>
      </w:r>
      <w:r>
        <w:rPr>
          <w:rFonts w:ascii="Times New Roman" w:hAnsi="Times New Roman"/>
          <w:sz w:val="24"/>
        </w:rPr>
        <w:br/>
        <w:t>Need süsteemid peavad võimaldama elanikel saada vähemalt kord kuus teavet nende energiatarbimise kohta.</w:t>
      </w:r>
      <w:r>
        <w:rPr>
          <w:rFonts w:ascii="Times New Roman" w:hAnsi="Times New Roman"/>
          <w:sz w:val="24"/>
        </w:rPr>
        <w:br/>
        <w:t>See teave esitatakse eluruumis energialiikide kaupa vähemalt järgmiselt:</w:t>
      </w:r>
    </w:p>
    <w:p w14:paraId="4891DCEE" w14:textId="2911C67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983B15">
        <w:rPr>
          <w:rFonts w:ascii="Times New Roman" w:hAnsi="Times New Roman"/>
          <w:sz w:val="24"/>
        </w:rPr>
        <w:t>-</w:t>
      </w:r>
      <w:r>
        <w:rPr>
          <w:rFonts w:ascii="Times New Roman" w:hAnsi="Times New Roman"/>
          <w:sz w:val="24"/>
        </w:rPr>
        <w:t xml:space="preserve"> küte;</w:t>
      </w:r>
      <w:r>
        <w:rPr>
          <w:rFonts w:ascii="Times New Roman" w:hAnsi="Times New Roman"/>
          <w:sz w:val="24"/>
        </w:rPr>
        <w:br/>
      </w:r>
      <w:r w:rsidR="00983B15">
        <w:rPr>
          <w:rFonts w:ascii="Times New Roman" w:hAnsi="Times New Roman"/>
          <w:sz w:val="24"/>
        </w:rPr>
        <w:t>-</w:t>
      </w:r>
      <w:r>
        <w:rPr>
          <w:rFonts w:ascii="Times New Roman" w:hAnsi="Times New Roman"/>
          <w:sz w:val="24"/>
        </w:rPr>
        <w:t xml:space="preserve"> jahutamine;</w:t>
      </w:r>
      <w:r>
        <w:rPr>
          <w:rFonts w:ascii="Times New Roman" w:hAnsi="Times New Roman"/>
          <w:sz w:val="24"/>
        </w:rPr>
        <w:br/>
      </w:r>
      <w:r w:rsidR="00983B15">
        <w:rPr>
          <w:rFonts w:ascii="Times New Roman" w:hAnsi="Times New Roman"/>
          <w:sz w:val="24"/>
        </w:rPr>
        <w:t>-</w:t>
      </w:r>
      <w:r>
        <w:rPr>
          <w:rFonts w:ascii="Times New Roman" w:hAnsi="Times New Roman"/>
          <w:sz w:val="24"/>
        </w:rPr>
        <w:t xml:space="preserve"> sooja tarbevee tootmine;</w:t>
      </w:r>
      <w:r>
        <w:rPr>
          <w:rFonts w:ascii="Times New Roman" w:hAnsi="Times New Roman"/>
          <w:sz w:val="24"/>
        </w:rPr>
        <w:br/>
      </w:r>
      <w:r w:rsidR="00983B15">
        <w:rPr>
          <w:rFonts w:ascii="Times New Roman" w:hAnsi="Times New Roman"/>
          <w:sz w:val="24"/>
        </w:rPr>
        <w:lastRenderedPageBreak/>
        <w:t>-</w:t>
      </w:r>
      <w:r>
        <w:rPr>
          <w:rFonts w:ascii="Times New Roman" w:hAnsi="Times New Roman"/>
          <w:sz w:val="24"/>
        </w:rPr>
        <w:t xml:space="preserve"> võrgu pistikupesad;</w:t>
      </w:r>
      <w:r>
        <w:rPr>
          <w:rFonts w:ascii="Times New Roman" w:hAnsi="Times New Roman"/>
          <w:sz w:val="24"/>
        </w:rPr>
        <w:br/>
      </w:r>
      <w:r w:rsidR="00983B15">
        <w:rPr>
          <w:rFonts w:ascii="Times New Roman" w:hAnsi="Times New Roman"/>
          <w:sz w:val="24"/>
        </w:rPr>
        <w:t>-</w:t>
      </w:r>
      <w:r>
        <w:rPr>
          <w:rFonts w:ascii="Times New Roman" w:hAnsi="Times New Roman"/>
          <w:sz w:val="24"/>
        </w:rPr>
        <w:t xml:space="preserve"> muu.</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See jaotus võib põhineda kas mõõdetud andmetel või eelnevalt kindlaksmääratud seadistustel põhinevatel hinnangutel.</w:t>
      </w:r>
      <w:r>
        <w:rPr>
          <w:rFonts w:ascii="Times New Roman" w:hAnsi="Times New Roman"/>
          <w:sz w:val="24"/>
        </w:rPr>
        <w:br/>
        <w:t>Projektiomanik, kes on ka ehitatava hoone tulevane üürileandja ja rendileandja, eelkõige sotsiaalkorterit e omanik, võib seda teavet anda elanikele vähemalt kord kuus elektrooniliselt või posti teel, mitte otse eluruumis.</w:t>
      </w:r>
      <w:r>
        <w:rPr>
          <w:rFonts w:ascii="Times New Roman" w:hAnsi="Times New Roman"/>
          <w:sz w:val="24"/>
        </w:rPr>
        <w:br/>
        <w:t>Tõendid selle kohta, et käesolevat artiklit on arvesse võetud, esitatakse vastavalt suunistele pealkirjaga „Süsteemid tarbimise mõõtmiseks või hindamiseks eluasemetes“, milles täpsustatakse selle kohaldamise kord.</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28</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Mitteeluhoonetele või nende osadele tuleb paigaldada süsteemid, mis võimaldavad mõõta või arvutada energiatarbimist:</w:t>
      </w:r>
    </w:p>
    <w:p w14:paraId="16BE002B" w14:textId="1563A53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A3F5C">
        <w:rPr>
          <w:rFonts w:ascii="Times New Roman" w:hAnsi="Times New Roman"/>
          <w:sz w:val="24"/>
        </w:rPr>
        <w:t>-</w:t>
      </w:r>
      <w:r>
        <w:rPr>
          <w:rFonts w:ascii="Times New Roman" w:hAnsi="Times New Roman"/>
          <w:sz w:val="24"/>
        </w:rPr>
        <w:t xml:space="preserve"> kütmiseks: asjaomase pindala iga 500 m² kohta, iga elektripaneeli või iga põranda kohta või iga otseväljundkaabli kohta;</w:t>
      </w:r>
      <w:r>
        <w:rPr>
          <w:rFonts w:ascii="Times New Roman" w:hAnsi="Times New Roman"/>
          <w:sz w:val="24"/>
        </w:rPr>
        <w:br/>
      </w:r>
      <w:r w:rsidR="00EA3F5C">
        <w:rPr>
          <w:rFonts w:ascii="Times New Roman" w:hAnsi="Times New Roman"/>
          <w:sz w:val="24"/>
        </w:rPr>
        <w:t>-</w:t>
      </w:r>
      <w:r>
        <w:rPr>
          <w:rFonts w:ascii="Times New Roman" w:hAnsi="Times New Roman"/>
          <w:sz w:val="24"/>
        </w:rPr>
        <w:t xml:space="preserve"> jahutamiseks: asjaomase pindala iga 500 m² kohta või iga elektripaneeli, iga põranda või otsese väljundkaabli kohta;</w:t>
      </w:r>
      <w:r>
        <w:rPr>
          <w:rFonts w:ascii="Times New Roman" w:hAnsi="Times New Roman"/>
          <w:sz w:val="24"/>
        </w:rPr>
        <w:br/>
      </w:r>
      <w:r w:rsidR="00EA3F5C">
        <w:rPr>
          <w:rFonts w:ascii="Times New Roman" w:hAnsi="Times New Roman"/>
          <w:sz w:val="24"/>
        </w:rPr>
        <w:t>-</w:t>
      </w:r>
      <w:r>
        <w:rPr>
          <w:rFonts w:ascii="Times New Roman" w:hAnsi="Times New Roman"/>
          <w:sz w:val="24"/>
        </w:rPr>
        <w:t xml:space="preserve"> sooja tarbevee tootmiseks;</w:t>
      </w:r>
      <w:r>
        <w:rPr>
          <w:rFonts w:ascii="Times New Roman" w:hAnsi="Times New Roman"/>
          <w:sz w:val="24"/>
        </w:rPr>
        <w:br/>
      </w:r>
      <w:r w:rsidR="00EA3F5C">
        <w:rPr>
          <w:rFonts w:ascii="Times New Roman" w:hAnsi="Times New Roman"/>
          <w:sz w:val="24"/>
        </w:rPr>
        <w:t>-</w:t>
      </w:r>
      <w:r>
        <w:rPr>
          <w:rFonts w:ascii="Times New Roman" w:hAnsi="Times New Roman"/>
          <w:sz w:val="24"/>
        </w:rPr>
        <w:t xml:space="preserve"> valgustuseks: asjaomase pindala iga 500 m² kohta või iga elektripaneeli või põranda kohta;</w:t>
      </w:r>
      <w:r>
        <w:rPr>
          <w:rFonts w:ascii="Times New Roman" w:hAnsi="Times New Roman"/>
          <w:sz w:val="24"/>
        </w:rPr>
        <w:br/>
      </w:r>
      <w:r w:rsidR="00EA3F5C">
        <w:rPr>
          <w:rFonts w:ascii="Times New Roman" w:hAnsi="Times New Roman"/>
          <w:sz w:val="24"/>
        </w:rPr>
        <w:t>-</w:t>
      </w:r>
      <w:r>
        <w:rPr>
          <w:rFonts w:ascii="Times New Roman" w:hAnsi="Times New Roman"/>
          <w:sz w:val="24"/>
        </w:rPr>
        <w:t xml:space="preserve"> elektripistikupesade võrgus: asjaomase pindala iga 500 m² kohta või iga elektripaneeli või põranda kohta;</w:t>
      </w:r>
      <w:r>
        <w:rPr>
          <w:rFonts w:ascii="Times New Roman" w:hAnsi="Times New Roman"/>
          <w:sz w:val="24"/>
        </w:rPr>
        <w:br/>
      </w:r>
      <w:r w:rsidR="00EA3F5C">
        <w:rPr>
          <w:rFonts w:ascii="Times New Roman" w:hAnsi="Times New Roman"/>
          <w:sz w:val="24"/>
        </w:rPr>
        <w:t>-</w:t>
      </w:r>
      <w:r>
        <w:rPr>
          <w:rFonts w:ascii="Times New Roman" w:hAnsi="Times New Roman"/>
          <w:sz w:val="24"/>
        </w:rPr>
        <w:t xml:space="preserve"> ventilatsiooniseadmete puhul: iga seadme kohta;</w:t>
      </w:r>
      <w:r>
        <w:rPr>
          <w:rFonts w:ascii="Times New Roman" w:hAnsi="Times New Roman"/>
          <w:sz w:val="24"/>
        </w:rPr>
        <w:br/>
      </w:r>
      <w:r w:rsidR="00EA3F5C">
        <w:rPr>
          <w:rFonts w:ascii="Times New Roman" w:hAnsi="Times New Roman"/>
          <w:sz w:val="24"/>
        </w:rPr>
        <w:t>-</w:t>
      </w:r>
      <w:r>
        <w:rPr>
          <w:rFonts w:ascii="Times New Roman" w:hAnsi="Times New Roman"/>
          <w:sz w:val="24"/>
        </w:rPr>
        <w:t xml:space="preserve"> iga otseväljundi kohta, mis on suurem kui 80 amprit.</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XII peatükk. KÜTE JA JAHUTUS (artiklid 29–34)</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29</w:t>
      </w:r>
    </w:p>
    <w:p w14:paraId="3E6600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Küttesüsteemis peab iga toa kohta olema üks või mitu seadet, mida saab käsitsi peatada või automaatselt reguleerida vastavalt ruumi temperatuurile.</w:t>
      </w:r>
      <w:r>
        <w:rPr>
          <w:rFonts w:ascii="Times New Roman" w:hAnsi="Times New Roman"/>
          <w:sz w:val="24"/>
        </w:rPr>
        <w:br/>
        <w:t>Kui kütmiseks kasutatakse madalal temperatuuril sooja veega põrandakütet või puhutud õhku või sõltumatut puidukütteseadet, võivad seda seadet jagada ruumid, mille kogupindala on kuni 100 m².</w:t>
      </w:r>
      <w:r>
        <w:rPr>
          <w:rFonts w:ascii="Times New Roman" w:hAnsi="Times New Roman"/>
          <w:sz w:val="24"/>
        </w:rPr>
        <w:br/>
        <w:t>Automaatne reguleerimine kavandatakse nii, et see vastaks energiaseadustiku artikli R. 241-26 nõuetele.</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30</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Mitteeluhoonete või nende osade puhul peab iga kütteseade, mis varustab </w:t>
      </w:r>
      <w:r>
        <w:rPr>
          <w:rFonts w:ascii="Times New Roman" w:hAnsi="Times New Roman"/>
          <w:sz w:val="24"/>
        </w:rPr>
        <w:lastRenderedPageBreak/>
        <w:t>katkestusteta kasutatavaid ruume, sisaldama seadet, mida saab käsitsi juhtida ja automaatselt programmeerida vähemalt kella kasutades, mis võimaldab:</w:t>
      </w:r>
    </w:p>
    <w:p w14:paraId="32B9CAFF" w14:textId="68D88A0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C55628">
        <w:rPr>
          <w:rFonts w:ascii="Times New Roman" w:hAnsi="Times New Roman"/>
          <w:sz w:val="24"/>
        </w:rPr>
        <w:t>-</w:t>
      </w:r>
      <w:r>
        <w:rPr>
          <w:rFonts w:ascii="Times New Roman" w:hAnsi="Times New Roman"/>
          <w:sz w:val="24"/>
        </w:rPr>
        <w:t xml:space="preserve"> kasutada kütet järgmisel neljal tasemel: mugavus, madal, külmumise vältimine ja peatus;</w:t>
      </w:r>
      <w:r>
        <w:rPr>
          <w:rFonts w:ascii="Times New Roman" w:hAnsi="Times New Roman"/>
          <w:sz w:val="24"/>
        </w:rPr>
        <w:br/>
      </w:r>
      <w:r w:rsidR="00C55628">
        <w:rPr>
          <w:rFonts w:ascii="Times New Roman" w:hAnsi="Times New Roman"/>
          <w:sz w:val="24"/>
        </w:rPr>
        <w:t>-</w:t>
      </w:r>
      <w:r>
        <w:rPr>
          <w:rFonts w:ascii="Times New Roman" w:hAnsi="Times New Roman"/>
          <w:sz w:val="24"/>
        </w:rPr>
        <w:t xml:space="preserve"> automaatset ümberlülitamist nende tasemete vahel.</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Kahe taseme vahelise ümberlülitamise ajal peab küttevõimsus olema null või maksimaalne, et minimeerida üleminekufaaside kestust.</w:t>
      </w:r>
      <w:r>
        <w:rPr>
          <w:rFonts w:ascii="Times New Roman" w:hAnsi="Times New Roman"/>
          <w:sz w:val="24"/>
        </w:rPr>
        <w:br/>
        <w:t>Sellist seadet võivad kasutada ainult samasuguse kasutusajaga ruumid. Sama seadme pindala võib olla kuni 5000 m².</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31</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Ühisvõrgud, mis jaotavad kütte- või jahutusvett, peavad olema varustatud tasakaalustamisseadmega iga posti all.</w:t>
      </w:r>
      <w:r>
        <w:rPr>
          <w:rFonts w:ascii="Times New Roman" w:hAnsi="Times New Roman"/>
          <w:sz w:val="24"/>
        </w:rPr>
        <w:br/>
        <w:t>Kütte- ja jahutusseadmete pumbad on varustatud seadmetega, mis neid peatavad.</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32</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Jahutussüsteemis peab iga toa kohta olema üks või mitu seadet, mida saab käsitsi peatada ja mis kohandavad külmavarustust automaatselt vastavalt ruumi sisetemperatuurile.</w:t>
      </w:r>
      <w:r>
        <w:rPr>
          <w:rFonts w:ascii="Times New Roman" w:hAnsi="Times New Roman"/>
          <w:sz w:val="24"/>
        </w:rPr>
        <w:br/>
        <w:t>Siiski:</w:t>
      </w:r>
    </w:p>
    <w:p w14:paraId="035004FD" w14:textId="2417CE4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781FED">
        <w:rPr>
          <w:rFonts w:ascii="Times New Roman" w:hAnsi="Times New Roman"/>
          <w:sz w:val="24"/>
        </w:rPr>
        <w:t>-</w:t>
      </w:r>
      <w:r>
        <w:rPr>
          <w:rFonts w:ascii="Times New Roman" w:hAnsi="Times New Roman"/>
          <w:sz w:val="24"/>
        </w:rPr>
        <w:t xml:space="preserve"> kui jahutust varustatakse muutuva õhuvoolusüsteemiga, võib seda seadet jagada ruumidega, mille maksimaalne kogupindala on 100 m2, tingimusel et kogu puhumisvoolukiirust reguleeritakse rõhukadu suurendamata;</w:t>
      </w:r>
      <w:r>
        <w:rPr>
          <w:rFonts w:ascii="Times New Roman" w:hAnsi="Times New Roman"/>
          <w:sz w:val="24"/>
        </w:rPr>
        <w:br/>
      </w:r>
      <w:r w:rsidR="00781FED">
        <w:rPr>
          <w:rFonts w:ascii="Times New Roman" w:hAnsi="Times New Roman"/>
          <w:sz w:val="24"/>
        </w:rPr>
        <w:t>-</w:t>
      </w:r>
      <w:r>
        <w:rPr>
          <w:rFonts w:ascii="Times New Roman" w:hAnsi="Times New Roman"/>
          <w:sz w:val="24"/>
        </w:rPr>
        <w:t xml:space="preserve"> kui jahutust annab jahutusega põrand, võivad seda seadet jagada ruumid, mille kogupindala on kuni 100 m².</w:t>
      </w:r>
      <w:r>
        <w:rPr>
          <w:rFonts w:ascii="Times New Roman" w:hAnsi="Times New Roman"/>
          <w:sz w:val="24"/>
        </w:rPr>
        <w:br/>
      </w:r>
      <w:r w:rsidR="00781FED">
        <w:rPr>
          <w:rFonts w:ascii="Times New Roman" w:hAnsi="Times New Roman"/>
          <w:sz w:val="24"/>
        </w:rPr>
        <w:t>-</w:t>
      </w:r>
      <w:r>
        <w:rPr>
          <w:rFonts w:ascii="Times New Roman" w:hAnsi="Times New Roman"/>
          <w:sz w:val="24"/>
        </w:rPr>
        <w:t xml:space="preserve"> ainult jahutusega kahetoruliste ventilaatorikonvektorite puhul loetakse lõike 1 nõue täidetuks, kui iga ventilaatorit juhib sisetemperatuur ning külma vee tootmis- ja jaotusseadmed on varustatud nende programmeerimist võimaldava seadmega;</w:t>
      </w:r>
      <w:r>
        <w:rPr>
          <w:rFonts w:ascii="Times New Roman" w:hAnsi="Times New Roman"/>
          <w:sz w:val="24"/>
        </w:rPr>
        <w:br/>
      </w:r>
      <w:r w:rsidR="00781FED">
        <w:rPr>
          <w:rFonts w:ascii="Times New Roman" w:hAnsi="Times New Roman"/>
          <w:sz w:val="24"/>
        </w:rPr>
        <w:t>-</w:t>
      </w:r>
      <w:r>
        <w:rPr>
          <w:rFonts w:ascii="Times New Roman" w:hAnsi="Times New Roman"/>
          <w:sz w:val="24"/>
        </w:rPr>
        <w:t xml:space="preserve"> hoonete või hooneosade puhul, mida jahutatakse värske õhuga, suurendamata töödeldud vooluhulka üle kahekordse hügieenivajaduse, loetakse lõike 1 nõue täidetuks, kui jahutusvarustust kohandatakse esiteks vastavalt vähemalt õhu tagasivoolu temperatuurile ja välistemperatuurile ning teiseks on see kütteperioodidel keelatud.</w:t>
      </w:r>
    </w:p>
    <w:p w14:paraId="2FDC1968" w14:textId="5E04CF6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Automaatne reguleerimine kavandatakse nii, et see vastaks energiaseadustiku artikli R. 241</w:t>
      </w:r>
      <w:r w:rsidR="00D46784">
        <w:rPr>
          <w:rFonts w:ascii="Times New Roman" w:hAnsi="Times New Roman"/>
          <w:sz w:val="24"/>
        </w:rPr>
        <w:t>-</w:t>
      </w:r>
      <w:r>
        <w:rPr>
          <w:rFonts w:ascii="Times New Roman" w:hAnsi="Times New Roman"/>
          <w:sz w:val="24"/>
        </w:rPr>
        <w:t>30 nõuetele.</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33</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Jahutatud tsoonide juurdepääsuuksed peavad olema varustatud isesulguva seadmega.</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34</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Enne lõplikku väljundit ruumi, välja arvatud juhul, kui küte saadakse jahutuse tootmisest taastumise teel, ei tohiks energiat tarbivate seadmete abil, mis on ette nähtud õhu soojendamiseks või jahutamiseks, õhku soojendada ja seejärel jahutada, või vastupidi.</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XIII peatükk. VALGUSTUS (artiklid 35–38)</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35</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Kõnniteedel, vertikaalsetes ja horisontaalsetes ühisruumides ning parklates peavad kõik valgustusseadmed sisaldama iga ruumi kohta automaatseadet, mis võimaldab, kui ruum või parkla ei ole hõivatud:</w:t>
      </w:r>
    </w:p>
    <w:p w14:paraId="0741976C" w14:textId="7E1262F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206A3">
        <w:rPr>
          <w:rFonts w:ascii="Times New Roman" w:hAnsi="Times New Roman"/>
          <w:sz w:val="24"/>
        </w:rPr>
        <w:t>-</w:t>
      </w:r>
      <w:r>
        <w:rPr>
          <w:rFonts w:ascii="Times New Roman" w:hAnsi="Times New Roman"/>
          <w:sz w:val="24"/>
        </w:rPr>
        <w:t xml:space="preserve"> hämardada valgustust ettenähtud miinimumtasemeni;</w:t>
      </w:r>
      <w:r>
        <w:rPr>
          <w:rFonts w:ascii="Times New Roman" w:hAnsi="Times New Roman"/>
          <w:sz w:val="24"/>
        </w:rPr>
        <w:br/>
      </w:r>
      <w:r w:rsidR="00D206A3">
        <w:rPr>
          <w:rFonts w:ascii="Times New Roman" w:hAnsi="Times New Roman"/>
          <w:sz w:val="24"/>
        </w:rPr>
        <w:t>-</w:t>
      </w:r>
      <w:r>
        <w:rPr>
          <w:rFonts w:ascii="Times New Roman" w:hAnsi="Times New Roman"/>
          <w:sz w:val="24"/>
        </w:rPr>
        <w:t xml:space="preserve"> kustutada tehisvalgusallikad, kui määrusega ei kehtestata miinimumtaset.</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Kui ruumis on juurdepääs loomulikule valgusele, peaks see sisaldama seadet, mis võimaldab valgustussüsteemi automaatselt välja lülitada niipea, kui loomulik valgus on piisav.</w:t>
      </w:r>
      <w:r>
        <w:rPr>
          <w:rFonts w:ascii="Times New Roman" w:hAnsi="Times New Roman"/>
          <w:sz w:val="24"/>
        </w:rPr>
        <w:br/>
        <w:t>Üks seade peab teenindama kõige rohkem:</w:t>
      </w:r>
    </w:p>
    <w:p w14:paraId="05A2C700" w14:textId="46DCD7F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206A3">
        <w:rPr>
          <w:rFonts w:ascii="Times New Roman" w:hAnsi="Times New Roman"/>
          <w:sz w:val="24"/>
        </w:rPr>
        <w:t>-</w:t>
      </w:r>
      <w:r>
        <w:rPr>
          <w:rFonts w:ascii="Times New Roman" w:hAnsi="Times New Roman"/>
          <w:sz w:val="24"/>
        </w:rPr>
        <w:t xml:space="preserve"> horisontaalsete kõnniteede ja siseruumide puhul maksimaalset 100 m² ja ühte tasandit;</w:t>
      </w:r>
      <w:r>
        <w:rPr>
          <w:rFonts w:ascii="Times New Roman" w:hAnsi="Times New Roman"/>
          <w:sz w:val="24"/>
        </w:rPr>
        <w:br/>
      </w:r>
      <w:r w:rsidR="00D206A3">
        <w:rPr>
          <w:rFonts w:ascii="Times New Roman" w:hAnsi="Times New Roman"/>
          <w:sz w:val="24"/>
        </w:rPr>
        <w:t>-</w:t>
      </w:r>
      <w:r>
        <w:rPr>
          <w:rFonts w:ascii="Times New Roman" w:hAnsi="Times New Roman"/>
          <w:sz w:val="24"/>
        </w:rPr>
        <w:t xml:space="preserve"> vertikaalsetel kõnniteedel kolme tasandit;</w:t>
      </w:r>
      <w:r>
        <w:rPr>
          <w:rFonts w:ascii="Times New Roman" w:hAnsi="Times New Roman"/>
          <w:sz w:val="24"/>
        </w:rPr>
        <w:br/>
      </w:r>
      <w:r w:rsidR="00D206A3">
        <w:rPr>
          <w:rFonts w:ascii="Times New Roman" w:hAnsi="Times New Roman"/>
          <w:sz w:val="24"/>
        </w:rPr>
        <w:t>-</w:t>
      </w:r>
      <w:r>
        <w:rPr>
          <w:rFonts w:ascii="Times New Roman" w:hAnsi="Times New Roman"/>
          <w:sz w:val="24"/>
        </w:rPr>
        <w:t xml:space="preserve"> parklates ühte tasandit ja maksimaalselt 500 m².</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36</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Mitteeluhoonetes või nende osades peab igas ruumis olema manuaalse seadme valgustuse sisse- ja väljalülitamiseks või automaatse seadmega vastavalt täitumusele.</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37</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Mitteeluhoonetes või nende osades peab igas ruumis, kus valgustuse juhtimine kuulub juhtkonna vastutusalasse, olema ka tööajal seade, mis võimaldab valgustust </w:t>
      </w:r>
      <w:r>
        <w:rPr>
          <w:rFonts w:ascii="Times New Roman" w:hAnsi="Times New Roman"/>
          <w:sz w:val="24"/>
        </w:rPr>
        <w:lastRenderedPageBreak/>
        <w:t>sisse ja välja lülitada. Kui seade ei asu kõnealuses ruumis, peab see võimaldama näha selle ruumi valgustuse olekut kontrollpunktist.</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38</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Hoonetes või hooneosades, mis on ette nähtud mitteeluruumideks, reguleeritakse samas ruumis kunstlikult valgustatud punkte, mis asuvad avast vähem kui 5 m kaugusel, teistest valgustuspunktidest eraldi, kui igasse punkti paigaldatud koguvõimsus ületab 200 W.</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XIV peatükk. VENTILATSIOON (artiklid 39–40)</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39</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Mitteeluhoonete või nende osade puhul peab ruume või ruumide rühmasid, mille hõivatus või kasutus on väga erinev, teenindama sõltumatud ventilatsioonisüsteemid.</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40</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Mitteeluhoonete või nende osade puhul, mis on varustatud spetsiaalsete mehhaniseeritud ventilatsioonisüsteemidega, tuleb igat manuaalset seadet ruumi õhuvoolu muutmiseks kasutada taimeriga.</w:t>
      </w:r>
    </w:p>
    <w:p w14:paraId="73CE2D18"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IV jagu. ETTEPANEK LIHTSUSTATUD RAKENDUSMEETODITE JAOKS ÜKSIKHOONETES (artiklid 41–42)</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41</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Lihtsustatud rakendusmeetod on teatud üksikelamu perekonnaga seotud tööde ja seadmete arhitektuursete omaduste, energia- ja keskkonnamõju kombinatsioon, mida peetakse kõigi käesoleva määrusega hõlmatud hoonete puhul käesoleva määruse I–III jao sätetele vastavaks.</w:t>
      </w:r>
      <w:r>
        <w:rPr>
          <w:rFonts w:ascii="Times New Roman" w:hAnsi="Times New Roman"/>
          <w:sz w:val="24"/>
        </w:rPr>
        <w:br/>
        <w:t>Lihtsustatud rakendusmeetodit saab kasutada ainult selle lahutamatus vormis.</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42</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Lihtsustatud rakendusmeetodi ettepanek saadetakse energiaministrile ja ehituse eest vastutavale ministrile koos IX lisas esitatud uuringutoimikuga.</w:t>
      </w:r>
    </w:p>
    <w:p w14:paraId="505CE6F7" w14:textId="54301782"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V jagu</w:t>
      </w:r>
      <w:r w:rsidR="0021367B">
        <w:rPr>
          <w:rFonts w:ascii="Times New Roman" w:hAnsi="Times New Roman"/>
          <w:b/>
          <w:sz w:val="27"/>
        </w:rPr>
        <w:t>.</w:t>
      </w:r>
      <w:r>
        <w:rPr>
          <w:rFonts w:ascii="Times New Roman" w:hAnsi="Times New Roman"/>
          <w:b/>
          <w:sz w:val="27"/>
        </w:rPr>
        <w:t xml:space="preserve"> ERIJUHTUMID (artiklid 43–44)</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43</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Kui artiklis 8 nimetatud arvutusmeetodis ei võeta arvesse ehitusprojekti eripära, saadetakse projekti heakskiitmise taotlus energiaministrile ja ehituse eest vastutavale ministrile.</w:t>
      </w:r>
      <w:r>
        <w:rPr>
          <w:rFonts w:ascii="Times New Roman" w:hAnsi="Times New Roman"/>
          <w:sz w:val="24"/>
        </w:rPr>
        <w:br/>
        <w:t>Projekti heakskiitmise taotluse või kütte- või jahutussüsteemi või -võrgu toimivuse põhjendamiseks kasutatud meetodi võib esitada energiaministrile ja ehituse eest vastutavale ministrile järgmistel juhtudel:</w:t>
      </w:r>
    </w:p>
    <w:p w14:paraId="5A0B0C39" w14:textId="4B0EB698"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AB59F7">
        <w:rPr>
          <w:rFonts w:ascii="Times New Roman" w:hAnsi="Times New Roman"/>
          <w:sz w:val="24"/>
        </w:rPr>
        <w:t>-</w:t>
      </w:r>
      <w:r>
        <w:rPr>
          <w:rFonts w:ascii="Times New Roman" w:hAnsi="Times New Roman"/>
          <w:sz w:val="24"/>
        </w:rPr>
        <w:t xml:space="preserve"> kui artiklis 8 nimetatud arvutusmeetodi puhul ei võeta arvesse süsteemi eripära;</w:t>
      </w:r>
      <w:r>
        <w:rPr>
          <w:rFonts w:ascii="Times New Roman" w:hAnsi="Times New Roman"/>
          <w:sz w:val="24"/>
        </w:rPr>
        <w:br/>
      </w:r>
      <w:r w:rsidR="00AB59F7">
        <w:rPr>
          <w:rFonts w:ascii="Times New Roman" w:hAnsi="Times New Roman"/>
          <w:sz w:val="24"/>
        </w:rPr>
        <w:t>-</w:t>
      </w:r>
      <w:r>
        <w:rPr>
          <w:rFonts w:ascii="Times New Roman" w:hAnsi="Times New Roman"/>
          <w:sz w:val="24"/>
        </w:rPr>
        <w:t xml:space="preserve"> kui luuakse linna kütte või -jahutusvõrk;</w:t>
      </w:r>
      <w:r>
        <w:rPr>
          <w:rFonts w:ascii="Times New Roman" w:hAnsi="Times New Roman"/>
          <w:sz w:val="24"/>
        </w:rPr>
        <w:br/>
      </w:r>
      <w:r w:rsidR="00AB59F7">
        <w:rPr>
          <w:rFonts w:ascii="Times New Roman" w:hAnsi="Times New Roman"/>
          <w:sz w:val="24"/>
        </w:rPr>
        <w:t>-</w:t>
      </w:r>
      <w:r>
        <w:rPr>
          <w:rFonts w:ascii="Times New Roman" w:hAnsi="Times New Roman"/>
          <w:sz w:val="24"/>
        </w:rPr>
        <w:t xml:space="preserve"> kui kütte- või jahutusvõrgu muutmiseks tehtav töö põhjustab tõenäoliselt olulist muutust artiklis 10 sätestatud heitekoefitsiendis.</w:t>
      </w:r>
    </w:p>
    <w:p w14:paraId="74E0BDC5"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Heakskiitmise taotlusele lisatakse X lisas osutatud uuringutoimik, milles sätestatakse eelkõige viis, kuidas artiklis 8 nimetatud arvutusmeetod ei võta arvesse ehitusprojekti või -süsteemi eripärasid.</w:t>
      </w:r>
      <w:r>
        <w:rPr>
          <w:rFonts w:ascii="Times New Roman" w:hAnsi="Times New Roman"/>
          <w:sz w:val="24"/>
        </w:rPr>
        <w:br/>
        <w:t>Ehitusprojekti heakskiitmine ei ole kohustuslik, kui artiklis L. 112-9 määratletud eesmärkidele vastavuse tõend, mis on seotud muu kui energiatõhususega, näeb ette, et asjaomaste samaväärse toimega lahenduste sisendandmed võimaldavad kohaldada artiklis 8 osutatud arvutusmeetodit.</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44</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Energiaminister ja ehituse eest vastutav minister võivad ehitusprojekti või kütte- või jahutussüsteemi või -võrgu arvessevõtmise ettepaneku heaks kiita pärast selleks moodustatud ekspertkomisjoniga konsulteerimist.</w:t>
      </w:r>
      <w:r>
        <w:rPr>
          <w:rFonts w:ascii="Times New Roman" w:hAnsi="Times New Roman"/>
          <w:sz w:val="24"/>
        </w:rPr>
        <w:br/>
        <w:t>Kaugkütte- või kaugjahutusvõrkude loomiseks kehtib heakskiit maksimaalselt kolm aastat; kaugkütte- või kaugjahutusvõrkude muutmise tööde puhul kehtib heakskiit maksimaalselt viis aastat, mida võib pikendada kaks aastat pärast eksperdikomisjoni arvamuse saamist.</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VI jagu. MITMESUGUSED SÄTTED (artiklid 45–52)</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45</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Kui hoone või selle osa antakse üle ilma küttesüsteemita, hinnatakse seda vaikeküttesüsteemiga, nagu on ette nähtud artiklis 8 nimetatud meetodi puhul. Kui kõnealuse hoone jaoks ei ole ette nähtud vaikeküttesüsteemi, võib see vastata üksnes III jaos määratletud ressursinõuetele ning ehitus- ja elamuseadustiku artikli R. 172-4 lõigetes 1, 4 ja 5 määratletud nõuetele, mis määratakse kindlaks sama artikli lisas sätestatud korras.</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46</w:t>
      </w:r>
    </w:p>
    <w:p w14:paraId="6521031A" w14:textId="7F8CD94A"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3737C6">
        <w:rPr>
          <w:rFonts w:ascii="Times New Roman" w:hAnsi="Times New Roman"/>
          <w:sz w:val="24"/>
        </w:rPr>
        <w:t>-</w:t>
      </w:r>
      <w:r>
        <w:rPr>
          <w:rFonts w:ascii="Times New Roman" w:hAnsi="Times New Roman"/>
          <w:sz w:val="24"/>
        </w:rPr>
        <w:t xml:space="preserve"> Eelmainitud 26. oktoobri 2010. aasta ja 28. detsembri 2012. aasta määrustes </w:t>
      </w:r>
      <w:r>
        <w:rPr>
          <w:rFonts w:ascii="Times New Roman" w:hAnsi="Times New Roman"/>
          <w:sz w:val="24"/>
        </w:rPr>
        <w:lastRenderedPageBreak/>
        <w:t>sätestatud nõuded loetakse täidetuks, kui on täidetud ehitus- ja elamuseadustiku artiklis R. 172-4 sätestatud nõuded, mis on kindlaks määratud sama artikli lisas sätestatud korras, samuti käesolevas määruses sätestatud nõuded.</w:t>
      </w:r>
      <w:r>
        <w:rPr>
          <w:rFonts w:ascii="Times New Roman" w:hAnsi="Times New Roman"/>
          <w:sz w:val="24"/>
        </w:rPr>
        <w:br/>
        <w:t xml:space="preserve">II. </w:t>
      </w:r>
      <w:r w:rsidR="003737C6">
        <w:rPr>
          <w:rFonts w:ascii="Times New Roman" w:hAnsi="Times New Roman"/>
          <w:sz w:val="24"/>
        </w:rPr>
        <w:t>-</w:t>
      </w:r>
      <w:r>
        <w:rPr>
          <w:rFonts w:ascii="Times New Roman" w:hAnsi="Times New Roman"/>
          <w:sz w:val="24"/>
        </w:rPr>
        <w:t xml:space="preserve"> Eespool nimetatud 13. juuni 2008. aasta ja 3. mai 2007. aasta määrustes sätestatud nõuded loetakse täidetuks, kui on täidetud ehitus- ja elamuseadustiku artikli R. 172-4 lõigetes 1</w:t>
      </w:r>
      <w:r w:rsidR="003737C6">
        <w:rPr>
          <w:rFonts w:ascii="Times New Roman" w:hAnsi="Times New Roman"/>
          <w:sz w:val="24"/>
        </w:rPr>
        <w:t>-</w:t>
      </w:r>
      <w:r>
        <w:rPr>
          <w:rFonts w:ascii="Times New Roman" w:hAnsi="Times New Roman"/>
          <w:sz w:val="24"/>
        </w:rPr>
        <w:t>3 ja 5 määratletud nõuded, mis on kindlaks määratud sama artikli lisas sätestatud korras, samuti käesoleva määruse III jaos sätestatud nõuded.</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47</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Käesoleva määruse sätted ei tohi kahjustada kehtivaid õiguslikke ja haldusmeetmeid tervishoiu, kanalisatsiooni, hügieeni ja ohutuse valdkonnas.</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48</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Eespool osutatud 26. oktoobri 2010. aasta määruse artiklites 11 ja 12 asendatakse sõnad „1. september 2021“ sõnadega „31. detsember 2021“.</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49</w:t>
      </w:r>
    </w:p>
    <w:p w14:paraId="01833B6B" w14:textId="34A518F9"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6F2798">
        <w:rPr>
          <w:rFonts w:ascii="Times New Roman" w:hAnsi="Times New Roman"/>
          <w:sz w:val="24"/>
        </w:rPr>
        <w:t>-</w:t>
      </w:r>
      <w:r>
        <w:rPr>
          <w:rFonts w:ascii="Times New Roman" w:hAnsi="Times New Roman"/>
          <w:sz w:val="24"/>
        </w:rPr>
        <w:t xml:space="preserve"> 26. oktoobri 2010. aasta määruse artikkel 10 ja eespool nimetatud 28. detsembri 2012. aasta määruse artikkel 10 asendatakse järgmisega:</w:t>
      </w:r>
    </w:p>
    <w:p w14:paraId="228B35D7" w14:textId="2634F460"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„Artikkel 10. </w:t>
      </w:r>
      <w:r w:rsidR="006F2798">
        <w:rPr>
          <w:rFonts w:ascii="Times New Roman" w:hAnsi="Times New Roman"/>
          <w:sz w:val="24"/>
        </w:rPr>
        <w:t>-</w:t>
      </w:r>
      <w:r>
        <w:rPr>
          <w:rFonts w:ascii="Times New Roman" w:hAnsi="Times New Roman"/>
          <w:sz w:val="24"/>
        </w:rPr>
        <w:t xml:space="preserve"> Väärtuste Cep, Bbio ja Tic arvutuste tegemiseks kasutatavat tarkvara peavad hiljemalt 1. jaanuariks 2013 hindama ehitusminister ja energiaminister X lisas sätestatud korras. Hinnangu lõpus koostatakse hindamisaruanne. Hindamine tuleks läbi vaadata iga kahe aasta tagant, hindamisaruande esitamise aastapäeval või vähemalt üks kord alates 1. jaanuarist 2018.“</w:t>
      </w:r>
    </w:p>
    <w:p w14:paraId="519D34E6" w14:textId="0B3399D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II. </w:t>
      </w:r>
      <w:r w:rsidR="006F2798">
        <w:rPr>
          <w:rFonts w:ascii="Times New Roman" w:hAnsi="Times New Roman"/>
          <w:sz w:val="24"/>
        </w:rPr>
        <w:t>-</w:t>
      </w:r>
      <w:r>
        <w:rPr>
          <w:rFonts w:ascii="Times New Roman" w:hAnsi="Times New Roman"/>
          <w:sz w:val="24"/>
        </w:rPr>
        <w:t xml:space="preserve"> Eespool nimetatud 26. oktoobri 2010. aasta määruse X lisa punkti 5 algusesse ja eespool nimetatud 28. detsembri 2012. aasta määruse VI lisa punkti 5 algusesse lisatakse järgmine lause: „Järgmist lõiget ei kohaldata tarkvara suhtes, mille hindamine vaadati läbi pärast 1. jaanuari 2018.“</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50</w:t>
      </w:r>
    </w:p>
    <w:p w14:paraId="7292B4E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Eespool nimetatud 26. oktoobri 2010. aasta määruse artikli 49 lõppu ja eespool nimetatud 28. detsembri 2012. aasta määruse artikli 39 lõppu lisatakse järgmine lõige: </w:t>
      </w:r>
      <w:r>
        <w:rPr>
          <w:rFonts w:ascii="Times New Roman" w:hAnsi="Times New Roman"/>
          <w:sz w:val="24"/>
        </w:rPr>
        <w:br/>
        <w:t>„Ehitusprojekti heakskiitmine ei ole kohustuslik, kui ehitus- ja elamuseadustiku artiklis L. 112-9 määratletud eesmärkidele vastavuse tunnistus, mis on seotud muu kui energiatõhususega, näeb ette asjaomaste samaväärse toimega lahenduste sisendandmed, mis võimaldavad kasutada arvutusmeetodit Th-B-C-E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51</w:t>
      </w:r>
    </w:p>
    <w:p w14:paraId="24D85573" w14:textId="2D032B60"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 xml:space="preserve">I. </w:t>
      </w:r>
      <w:r w:rsidR="006F2798">
        <w:rPr>
          <w:rFonts w:ascii="Times New Roman" w:hAnsi="Times New Roman"/>
          <w:sz w:val="24"/>
        </w:rPr>
        <w:t>-</w:t>
      </w:r>
      <w:r>
        <w:rPr>
          <w:rFonts w:ascii="Times New Roman" w:hAnsi="Times New Roman"/>
          <w:sz w:val="24"/>
        </w:rPr>
        <w:t xml:space="preserve"> Artiklite 48</w:t>
      </w:r>
      <w:r w:rsidR="006F2798">
        <w:rPr>
          <w:rFonts w:ascii="Times New Roman" w:hAnsi="Times New Roman"/>
          <w:sz w:val="24"/>
        </w:rPr>
        <w:t>-</w:t>
      </w:r>
      <w:r>
        <w:rPr>
          <w:rFonts w:ascii="Times New Roman" w:hAnsi="Times New Roman"/>
          <w:sz w:val="24"/>
        </w:rPr>
        <w:t>50 sätted jõustuvad käesoleva määruse avaldamisele järgneval päeval.</w:t>
      </w:r>
      <w:r>
        <w:rPr>
          <w:rFonts w:ascii="Times New Roman" w:hAnsi="Times New Roman"/>
          <w:sz w:val="24"/>
        </w:rPr>
        <w:br/>
        <w:t xml:space="preserve">II. </w:t>
      </w:r>
      <w:r w:rsidR="006F2798">
        <w:rPr>
          <w:rFonts w:ascii="Times New Roman" w:hAnsi="Times New Roman"/>
          <w:sz w:val="24"/>
        </w:rPr>
        <w:t>-</w:t>
      </w:r>
      <w:r>
        <w:rPr>
          <w:rFonts w:ascii="Times New Roman" w:hAnsi="Times New Roman"/>
          <w:sz w:val="24"/>
        </w:rPr>
        <w:t xml:space="preserve"> Muude artiklite sätted jõustuvad 1. jaanuaril 2022.</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 52</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See määrus avaldatakse Prantsuse Vabariigi ametlikus väljaandes.</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Lisa</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Artikkel</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LISAD</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Saate vaadata kogu teksti koos autenditud elektroonilise Euroopa Liidu Teataja väljavõttega, mis on kättesaadav lehekülje allosas.</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Kuupäev 4. august 2021. a.</w:t>
      </w:r>
    </w:p>
    <w:p w14:paraId="133B264A"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Ökoloogilise ülemineku ministrit esindav minister, eluasemevaldkonna eest vastutaja,</w:t>
      </w:r>
      <w:r>
        <w:rPr>
          <w:rFonts w:ascii="Times New Roman" w:hAnsi="Times New Roman"/>
          <w:sz w:val="24"/>
        </w:rPr>
        <w:br/>
        <w:t>ministri nimel ja volitusel:</w:t>
      </w:r>
      <w:r>
        <w:rPr>
          <w:rFonts w:ascii="Times New Roman" w:hAnsi="Times New Roman"/>
          <w:sz w:val="24"/>
        </w:rPr>
        <w:br/>
        <w:t>elupaikade, linnapiirkonna ja maastike direktor</w:t>
      </w:r>
      <w:r>
        <w:rPr>
          <w:rFonts w:ascii="Times New Roman" w:hAnsi="Times New Roman"/>
          <w:sz w:val="24"/>
        </w:rPr>
        <w:br/>
        <w:t>F. Adam</w:t>
      </w:r>
    </w:p>
    <w:p w14:paraId="1A7604DF" w14:textId="17FF67D5" w:rsidR="007570FC" w:rsidRDefault="001E2566" w:rsidP="00053FD1">
      <w:pPr>
        <w:spacing w:before="100" w:beforeAutospacing="1" w:after="100" w:afterAutospacing="1" w:line="240" w:lineRule="auto"/>
      </w:pPr>
      <w:r>
        <w:rPr>
          <w:rFonts w:ascii="Times New Roman" w:hAnsi="Times New Roman"/>
          <w:sz w:val="24"/>
        </w:rPr>
        <w:br/>
        <w:t>Ökoloogilise ülemineku minister</w:t>
      </w:r>
      <w:r>
        <w:rPr>
          <w:rFonts w:ascii="Times New Roman" w:hAnsi="Times New Roman"/>
          <w:sz w:val="24"/>
        </w:rPr>
        <w:br/>
        <w:t>ministri nimel ja volitusel:</w:t>
      </w:r>
      <w:r>
        <w:rPr>
          <w:rFonts w:ascii="Times New Roman" w:hAnsi="Times New Roman"/>
          <w:sz w:val="24"/>
        </w:rPr>
        <w:br/>
        <w:t>elupaikade, linnapiirkonna ja maastike direktor</w:t>
      </w:r>
      <w:r>
        <w:rPr>
          <w:rFonts w:ascii="Times New Roman" w:hAnsi="Times New Roman"/>
          <w:sz w:val="24"/>
        </w:rPr>
        <w:br/>
        <w:t>F. Adam</w:t>
      </w:r>
      <w:r>
        <w:rPr>
          <w:rFonts w:ascii="Times New Roman" w:hAnsi="Times New Roman"/>
          <w:sz w:val="24"/>
        </w:rPr>
        <w:br/>
        <w:t>energia ja kliima direktor</w:t>
      </w:r>
      <w:r>
        <w:rPr>
          <w:rFonts w:ascii="Times New Roman" w:hAnsi="Times New Roman"/>
          <w:sz w:val="24"/>
        </w:rPr>
        <w:br/>
        <w:t>L. Michel</w:t>
      </w:r>
    </w:p>
    <w:sectPr w:rsidR="007570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D86C" w14:textId="77777777" w:rsidR="00B83D46" w:rsidRDefault="00B83D46" w:rsidP="00E761EF">
      <w:pPr>
        <w:spacing w:after="0" w:line="240" w:lineRule="auto"/>
      </w:pPr>
      <w:r>
        <w:separator/>
      </w:r>
    </w:p>
  </w:endnote>
  <w:endnote w:type="continuationSeparator" w:id="0">
    <w:p w14:paraId="62E82C4D" w14:textId="77777777" w:rsidR="00B83D46" w:rsidRDefault="00B83D46" w:rsidP="00E7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33BF" w14:textId="77777777" w:rsidR="00B83D46" w:rsidRDefault="00B83D46" w:rsidP="00E761EF">
      <w:pPr>
        <w:spacing w:after="0" w:line="240" w:lineRule="auto"/>
      </w:pPr>
      <w:r>
        <w:separator/>
      </w:r>
    </w:p>
  </w:footnote>
  <w:footnote w:type="continuationSeparator" w:id="0">
    <w:p w14:paraId="4A977C97" w14:textId="77777777" w:rsidR="00B83D46" w:rsidRDefault="00B83D46" w:rsidP="00E7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192585"/>
    <w:rsid w:val="001E2566"/>
    <w:rsid w:val="0021367B"/>
    <w:rsid w:val="002424C7"/>
    <w:rsid w:val="003737C6"/>
    <w:rsid w:val="00381116"/>
    <w:rsid w:val="004A2324"/>
    <w:rsid w:val="00584122"/>
    <w:rsid w:val="0069303D"/>
    <w:rsid w:val="006E60E2"/>
    <w:rsid w:val="006F2798"/>
    <w:rsid w:val="007570FC"/>
    <w:rsid w:val="007779FC"/>
    <w:rsid w:val="00780ADD"/>
    <w:rsid w:val="00781FED"/>
    <w:rsid w:val="008546FB"/>
    <w:rsid w:val="00875E1A"/>
    <w:rsid w:val="008F2FA5"/>
    <w:rsid w:val="00932C85"/>
    <w:rsid w:val="00965B7E"/>
    <w:rsid w:val="00983B15"/>
    <w:rsid w:val="00A338D8"/>
    <w:rsid w:val="00AB59F7"/>
    <w:rsid w:val="00B83D46"/>
    <w:rsid w:val="00BA2550"/>
    <w:rsid w:val="00BC7D1A"/>
    <w:rsid w:val="00C55628"/>
    <w:rsid w:val="00C62662"/>
    <w:rsid w:val="00D206A3"/>
    <w:rsid w:val="00D46784"/>
    <w:rsid w:val="00E761EF"/>
    <w:rsid w:val="00E76DF1"/>
    <w:rsid w:val="00EA3F5C"/>
    <w:rsid w:val="00F31AD8"/>
    <w:rsid w:val="00FA4471"/>
    <w:rsid w:val="00FE38BB"/>
    <w:rsid w:val="00FF36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75E1A"/>
    <w:pPr>
      <w:spacing w:before="100" w:beforeAutospacing="1" w:after="100" w:afterAutospacing="1" w:line="240" w:lineRule="auto"/>
      <w:ind w:right="-340"/>
    </w:pPr>
    <w:rPr>
      <w:rFonts w:ascii="Times New Roman" w:hAnsi="Times New Roman"/>
      <w:sz w:val="24"/>
    </w:rPr>
  </w:style>
  <w:style w:type="character" w:customStyle="1" w:styleId="BodyTextChar">
    <w:name w:val="Body Text Char"/>
    <w:basedOn w:val="DefaultParagraphFont"/>
    <w:link w:val="BodyText"/>
    <w:uiPriority w:val="99"/>
    <w:rsid w:val="00875E1A"/>
    <w:rPr>
      <w:rFonts w:ascii="Times New Roman" w:hAnsi="Times New Roman"/>
      <w:sz w:val="24"/>
    </w:rPr>
  </w:style>
  <w:style w:type="paragraph" w:styleId="Header">
    <w:name w:val="header"/>
    <w:basedOn w:val="Normal"/>
    <w:link w:val="HeaderChar"/>
    <w:uiPriority w:val="99"/>
    <w:unhideWhenUsed/>
    <w:rsid w:val="00E761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61EF"/>
  </w:style>
  <w:style w:type="paragraph" w:styleId="Footer">
    <w:name w:val="footer"/>
    <w:basedOn w:val="Normal"/>
    <w:link w:val="FooterChar"/>
    <w:uiPriority w:val="99"/>
    <w:unhideWhenUsed/>
    <w:rsid w:val="00E761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4933</Words>
  <Characters>34586</Characters>
  <Application>Microsoft Office Word</Application>
  <DocSecurity>0</DocSecurity>
  <Lines>981</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39432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2022-02-11T09:14:00Z</dcterms:created>
  <dcterms:modified xsi:type="dcterms:W3CDTF">2022-02-11T09:14:00Z</dcterms:modified>
</cp:coreProperties>
</file>