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74F8" w:rsidRPr="003574F8" w:rsidRDefault="003574F8" w:rsidP="003574F8">
      <w:pPr>
        <w:jc w:val="center"/>
        <w:rPr>
          <w:rFonts w:ascii="Courier New" w:hAnsi="Courier New"/>
          <w:sz w:val="20"/>
        </w:rPr>
      </w:pPr>
      <w:r>
        <w:rPr>
          <w:rFonts w:ascii="Courier New" w:hAnsi="Courier New"/>
          <w:sz w:val="20"/>
        </w:rPr>
        <w:t>1. ------IND- 2020 0813 D-- SL- ------ 20201231 --- --- PROJET</w:t>
      </w:r>
    </w:p>
    <w:p w:rsidR="00A211F5" w:rsidRPr="003574F8" w:rsidRDefault="00A211F5" w:rsidP="00A211F5">
      <w:pPr>
        <w:spacing w:before="120" w:line="320" w:lineRule="exact"/>
        <w:rPr>
          <w:rFonts w:ascii="Verdana" w:hAnsi="Verdana"/>
          <w:sz w:val="16"/>
          <w:szCs w:val="16"/>
        </w:rPr>
      </w:pPr>
      <w:r>
        <w:rPr>
          <w:rFonts w:ascii="Verdana" w:hAnsi="Verdana"/>
          <w:sz w:val="16"/>
        </w:rPr>
        <w:t>Stanje: 16.12.2020</w:t>
      </w:r>
    </w:p>
    <w:p w:rsidR="002C21BC" w:rsidRPr="00077B73" w:rsidRDefault="009C24A4">
      <w:pPr>
        <w:rPr>
          <w:rFonts w:ascii="Calibri" w:hAnsi="Calibri"/>
          <w:sz w:val="22"/>
          <w:szCs w:val="22"/>
        </w:rPr>
      </w:pPr>
      <w:r>
        <w:rPr>
          <w:rFonts w:ascii="Calibri" w:hAnsi="Calibri"/>
          <w:sz w:val="22"/>
        </w:rPr>
        <w:t>__________________________________________________________________________________</w:t>
      </w:r>
    </w:p>
    <w:p w:rsidR="009C24A4" w:rsidRPr="00077B73" w:rsidRDefault="009C24A4">
      <w:pPr>
        <w:autoSpaceDE w:val="0"/>
        <w:autoSpaceDN w:val="0"/>
        <w:adjustRightInd w:val="0"/>
        <w:jc w:val="center"/>
        <w:rPr>
          <w:rFonts w:ascii="Calibri" w:hAnsi="Calibri"/>
          <w:sz w:val="22"/>
          <w:szCs w:val="22"/>
        </w:rPr>
      </w:pPr>
      <w:bookmarkStart w:id="0" w:name="_GoBack"/>
      <w:bookmarkEnd w:id="0"/>
    </w:p>
    <w:p w:rsidR="00485576" w:rsidRPr="00077B73" w:rsidRDefault="00F57DE5" w:rsidP="00485576">
      <w:pPr>
        <w:spacing w:line="276" w:lineRule="auto"/>
        <w:jc w:val="center"/>
        <w:rPr>
          <w:rFonts w:asciiTheme="minorHAnsi" w:eastAsia="Calibri" w:hAnsiTheme="minorHAnsi" w:cstheme="minorHAnsi"/>
          <w:b/>
          <w:bCs/>
          <w:sz w:val="22"/>
          <w:szCs w:val="22"/>
        </w:rPr>
      </w:pPr>
      <w:r>
        <w:rPr>
          <w:b/>
          <w:sz w:val="22"/>
        </w:rPr>
        <w:t>Statut za opredelitev določb državne pogodbe o medijih o medijskih platformah in uporabniških vmesnikih</w:t>
      </w:r>
      <w:r>
        <w:rPr>
          <w:rFonts w:asciiTheme="minorHAnsi" w:hAnsiTheme="minorHAnsi"/>
          <w:b/>
          <w:sz w:val="22"/>
        </w:rPr>
        <w:t xml:space="preserve"> </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F57DE5" w:rsidRPr="00077B73" w:rsidRDefault="00F57DE5" w:rsidP="00485576">
      <w:pPr>
        <w:spacing w:line="276" w:lineRule="auto"/>
        <w:jc w:val="center"/>
        <w:rPr>
          <w:rFonts w:asciiTheme="minorHAnsi" w:eastAsia="Calibri" w:hAnsiTheme="minorHAnsi" w:cstheme="minorHAnsi"/>
          <w:b/>
          <w:bCs/>
          <w:sz w:val="22"/>
          <w:szCs w:val="22"/>
        </w:rPr>
      </w:pPr>
      <w:r>
        <w:rPr>
          <w:rFonts w:asciiTheme="minorHAnsi" w:hAnsiTheme="minorHAnsi"/>
          <w:b/>
          <w:sz w:val="22"/>
        </w:rPr>
        <w:t>(Statut MB)</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485576" w:rsidRPr="00077B73" w:rsidRDefault="00485576" w:rsidP="00485576">
      <w:pPr>
        <w:spacing w:line="276" w:lineRule="auto"/>
        <w:jc w:val="center"/>
        <w:rPr>
          <w:rFonts w:ascii="Calibri" w:eastAsia="Calibri" w:hAnsi="Calibri"/>
          <w:b/>
          <w:sz w:val="22"/>
          <w:szCs w:val="22"/>
        </w:rPr>
      </w:pPr>
      <w:r>
        <w:rPr>
          <w:rFonts w:ascii="Calibri" w:hAnsi="Calibri"/>
          <w:b/>
          <w:sz w:val="22"/>
        </w:rPr>
        <w:t>z dne […]</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F71879" w:rsidRPr="00077B73" w:rsidRDefault="00F57DE5" w:rsidP="00F71879">
      <w:pPr>
        <w:spacing w:line="276" w:lineRule="auto"/>
        <w:rPr>
          <w:rFonts w:ascii="Calibri" w:eastAsia="Calibri" w:hAnsi="Calibri"/>
          <w:bCs/>
          <w:sz w:val="22"/>
          <w:szCs w:val="22"/>
        </w:rPr>
      </w:pPr>
      <w:r>
        <w:rPr>
          <w:sz w:val="22"/>
        </w:rPr>
        <w:t>Na podlagi oddelka 84(8) in oddelka 88 državne pogodbe o medijih z dne od 14. do 28. aprila 2020 ([…] sklic) [naziv medijskega zavoda] v soglasju z drugimi deželnimi medijskimi zavodi izdaja naslednji statut:</w:t>
      </w:r>
    </w:p>
    <w:p w:rsidR="00DB7447" w:rsidRPr="00077B73" w:rsidRDefault="00DB7447" w:rsidP="00F71879">
      <w:pPr>
        <w:spacing w:line="276" w:lineRule="auto"/>
        <w:rPr>
          <w:rFonts w:ascii="Calibri" w:eastAsia="Calibri" w:hAnsi="Calibri"/>
          <w:bCs/>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sz w:val="22"/>
        </w:rPr>
        <w:t>Poglavje 1: Splošni predpisi</w:t>
      </w:r>
    </w:p>
    <w:p w:rsidR="00F71879" w:rsidRPr="00077B73" w:rsidRDefault="00F71879" w:rsidP="00077B73">
      <w:pPr>
        <w:keepNext/>
        <w:spacing w:after="160" w:line="259" w:lineRule="auto"/>
        <w:contextualSpacing/>
        <w:rPr>
          <w:rFonts w:asciiTheme="minorHAnsi" w:eastAsia="Calibri" w:hAnsiTheme="minorHAnsi" w:cstheme="minorHAnsi"/>
          <w:b/>
          <w:bCs/>
          <w:sz w:val="22"/>
          <w:szCs w:val="22"/>
          <w:lang w:eastAsia="en-US"/>
        </w:rPr>
      </w:pPr>
    </w:p>
    <w:p w:rsidR="00F57DE5" w:rsidRPr="00077B73" w:rsidRDefault="00F71879" w:rsidP="00077B73">
      <w:pPr>
        <w:keepNext/>
        <w:spacing w:line="276" w:lineRule="auto"/>
        <w:jc w:val="center"/>
        <w:rPr>
          <w:rFonts w:ascii="Calibri" w:eastAsia="Calibri" w:hAnsi="Calibri"/>
          <w:b/>
          <w:sz w:val="22"/>
          <w:szCs w:val="22"/>
        </w:rPr>
      </w:pPr>
      <w:r>
        <w:rPr>
          <w:rFonts w:ascii="Calibri" w:hAnsi="Calibri"/>
          <w:b/>
          <w:sz w:val="22"/>
        </w:rPr>
        <w:t>Oddelek 1</w:t>
      </w:r>
      <w:r>
        <w:rPr>
          <w:rFonts w:ascii="Calibri" w:hAnsi="Calibri"/>
          <w:b/>
          <w:sz w:val="22"/>
        </w:rPr>
        <w:br/>
        <w:t>Namen, področje uporabe</w:t>
      </w:r>
    </w:p>
    <w:p w:rsidR="00F33BCA" w:rsidRPr="00077B73" w:rsidRDefault="00F33BCA" w:rsidP="00077B73">
      <w:pPr>
        <w:keepNext/>
        <w:spacing w:line="276" w:lineRule="auto"/>
        <w:jc w:val="center"/>
        <w:rPr>
          <w:rFonts w:ascii="Calibri" w:eastAsia="Calibri" w:hAnsi="Calibri"/>
          <w:b/>
          <w:sz w:val="22"/>
          <w:szCs w:val="22"/>
          <w:lang w:eastAsia="en-US"/>
        </w:rPr>
      </w:pPr>
    </w:p>
    <w:p w:rsidR="00F57DE5" w:rsidRPr="00077B73" w:rsidRDefault="00F71879" w:rsidP="00F71879">
      <w:pPr>
        <w:spacing w:line="276" w:lineRule="auto"/>
        <w:rPr>
          <w:rFonts w:asciiTheme="minorHAnsi" w:eastAsia="Calibri" w:hAnsiTheme="minorHAnsi" w:cstheme="minorHAnsi"/>
          <w:bCs/>
          <w:sz w:val="22"/>
          <w:szCs w:val="22"/>
        </w:rPr>
      </w:pPr>
      <w:r>
        <w:rPr>
          <w:sz w:val="22"/>
        </w:rPr>
        <w:t xml:space="preserve">(1) </w:t>
      </w:r>
      <w:r>
        <w:rPr>
          <w:sz w:val="22"/>
          <w:vertAlign w:val="superscript"/>
        </w:rPr>
        <w:t>1</w:t>
      </w:r>
      <w:r>
        <w:rPr>
          <w:sz w:val="22"/>
        </w:rPr>
        <w:t>Ta statut v skladu z oddelkom 84(8) in oddelkom 88 državne pogodbe o medijih podrobneje ureja vsebinsko in postopkovno opredelitev zakonskih določb poglavja V(2) državne pogodbe o medijih o medijskih platformah in uporabniških vmesnikih (oddelki od 78 do 88 državne pogodbe o medijih).</w:t>
      </w:r>
      <w:r>
        <w:rPr>
          <w:rFonts w:asciiTheme="minorHAnsi" w:hAnsiTheme="minorHAnsi"/>
          <w:sz w:val="22"/>
        </w:rPr>
        <w:t xml:space="preserve"> </w:t>
      </w:r>
      <w:r>
        <w:rPr>
          <w:rFonts w:asciiTheme="minorHAnsi" w:hAnsiTheme="minorHAnsi"/>
          <w:sz w:val="22"/>
          <w:vertAlign w:val="superscript"/>
        </w:rPr>
        <w:t>2</w:t>
      </w:r>
      <w:r>
        <w:rPr>
          <w:rFonts w:asciiTheme="minorHAnsi" w:hAnsiTheme="minorHAnsi"/>
          <w:sz w:val="22"/>
        </w:rPr>
        <w:t xml:space="preserve">Služi za pozitivno zagotavljanje raznolikosti mnenj (raznolikost ponudb in ponudnikov). </w:t>
      </w:r>
    </w:p>
    <w:p w:rsidR="00F57DE5" w:rsidRPr="00077B73" w:rsidRDefault="00F57DE5" w:rsidP="00F57DE5">
      <w:pPr>
        <w:spacing w:after="160" w:line="259" w:lineRule="auto"/>
        <w:ind w:left="360"/>
        <w:contextualSpacing/>
        <w:jc w:val="both"/>
        <w:rPr>
          <w:rFonts w:asciiTheme="minorHAnsi" w:eastAsia="Calibri" w:hAnsiTheme="minorHAnsi" w:cstheme="minorHAnsi"/>
          <w:bCs/>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rPr>
        <w:t xml:space="preserve">(2) </w:t>
      </w:r>
      <w:r>
        <w:rPr>
          <w:rFonts w:asciiTheme="minorHAnsi" w:hAnsiTheme="minorHAnsi"/>
          <w:sz w:val="22"/>
          <w:vertAlign w:val="superscript"/>
        </w:rPr>
        <w:t>1</w:t>
      </w:r>
      <w:r>
        <w:rPr>
          <w:rFonts w:asciiTheme="minorHAnsi" w:hAnsiTheme="minorHAnsi"/>
          <w:sz w:val="22"/>
        </w:rPr>
        <w:t xml:space="preserve">Določbe tega statuta se uporabljajo za medijske platforme in uporabniške vmesnike. </w:t>
      </w:r>
      <w:r>
        <w:rPr>
          <w:rFonts w:asciiTheme="minorHAnsi" w:hAnsiTheme="minorHAnsi"/>
          <w:sz w:val="22"/>
          <w:vertAlign w:val="superscript"/>
        </w:rPr>
        <w:t>2</w:t>
      </w:r>
      <w:r>
        <w:rPr>
          <w:rFonts w:asciiTheme="minorHAnsi" w:hAnsiTheme="minorHAnsi"/>
          <w:sz w:val="22"/>
        </w:rPr>
        <w:t xml:space="preserve">Z izjemo oddelkov 1, 2, 3, 12 in naslednjih oddelkov tega statuta ne veljajo za medijske platforme in uporabniške vmesnike, katerih pomen za raznolikost ponudb in mnenj je manjši. </w:t>
      </w:r>
      <w:r>
        <w:rPr>
          <w:rFonts w:asciiTheme="minorHAnsi" w:hAnsiTheme="minorHAnsi"/>
          <w:sz w:val="22"/>
          <w:vertAlign w:val="superscript"/>
        </w:rPr>
        <w:t>3</w:t>
      </w:r>
      <w:r>
        <w:rPr>
          <w:rFonts w:asciiTheme="minorHAnsi" w:hAnsiTheme="minorHAnsi"/>
          <w:sz w:val="22"/>
        </w:rPr>
        <w:t>To praviloma velja, če je medijska platforma ali uporabniški vmesnik pod pragom iz točk 1 in 2 drugega stavka oddelka 78 državne pogodbe o medijih.</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rPr>
        <w:t xml:space="preserve">(3) </w:t>
      </w:r>
      <w:r>
        <w:rPr>
          <w:rFonts w:asciiTheme="minorHAnsi" w:hAnsiTheme="minorHAnsi"/>
          <w:sz w:val="22"/>
          <w:vertAlign w:val="superscript"/>
        </w:rPr>
        <w:t>1</w:t>
      </w:r>
      <w:r>
        <w:rPr>
          <w:rFonts w:asciiTheme="minorHAnsi" w:hAnsiTheme="minorHAnsi"/>
          <w:sz w:val="22"/>
        </w:rPr>
        <w:t xml:space="preserve">Medijska platforma je vezana na infrastrukturo, kadar ponudnik medijske platforme nadzoruje tudi prenosno infrastrukturo od vstopne točke do omrežne priključne točke. </w:t>
      </w:r>
      <w:r>
        <w:rPr>
          <w:rFonts w:asciiTheme="minorHAnsi" w:hAnsiTheme="minorHAnsi"/>
          <w:sz w:val="22"/>
          <w:vertAlign w:val="superscript"/>
        </w:rPr>
        <w:t>2</w:t>
      </w:r>
      <w:r>
        <w:rPr>
          <w:rFonts w:asciiTheme="minorHAnsi" w:hAnsiTheme="minorHAnsi"/>
          <w:sz w:val="22"/>
        </w:rPr>
        <w:t>Nadzor lahko poteka tudi na podlagi pogodbenega dogovora med ponudnikom in lastnikom prenosne infrastrukture.</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F71879" w:rsidP="00077B73">
      <w:pPr>
        <w:keepNext/>
        <w:spacing w:line="276" w:lineRule="auto"/>
        <w:rPr>
          <w:rFonts w:asciiTheme="minorHAnsi" w:eastAsia="Calibri" w:hAnsiTheme="minorHAnsi" w:cstheme="minorHAnsi"/>
          <w:sz w:val="22"/>
          <w:szCs w:val="22"/>
        </w:rPr>
      </w:pPr>
      <w:bookmarkStart w:id="1" w:name="_Hlk46137526"/>
      <w:r>
        <w:rPr>
          <w:rFonts w:asciiTheme="minorHAnsi" w:hAnsiTheme="minorHAnsi"/>
          <w:sz w:val="22"/>
        </w:rPr>
        <w:t>(4) Določitev povezanih stanovanjskih enot za medijske platforme, vezane na kabelsko omrežje, in njihovih uporabniških vmesnikov v skladu s točko 1 drugega stavka oddelka 78 državne pogodbe o medijih se izvede v skladu z naslednjimi določbami:</w:t>
      </w:r>
    </w:p>
    <w:p w:rsidR="00F57DE5" w:rsidRPr="00077B73" w:rsidRDefault="00F57DE5" w:rsidP="002417C5">
      <w:pPr>
        <w:numPr>
          <w:ilvl w:val="0"/>
          <w:numId w:val="1"/>
        </w:numPr>
        <w:spacing w:after="200" w:line="276" w:lineRule="auto"/>
        <w:contextualSpacing/>
        <w:rPr>
          <w:rFonts w:asciiTheme="minorHAnsi" w:eastAsia="Calibri" w:hAnsiTheme="minorHAnsi" w:cstheme="minorHAnsi"/>
          <w:sz w:val="22"/>
          <w:szCs w:val="22"/>
        </w:rPr>
      </w:pPr>
      <w:r>
        <w:rPr>
          <w:sz w:val="22"/>
        </w:rPr>
        <w:t>Obravnavana so vsa omrežja, ki jih je mogoče pripisati ponudniku medijske platforme, vezane na kabelsko omrežje.</w:t>
      </w:r>
    </w:p>
    <w:p w:rsidR="00F57DE5" w:rsidRPr="00077B73" w:rsidRDefault="00F57DE5" w:rsidP="002417C5">
      <w:pPr>
        <w:numPr>
          <w:ilvl w:val="0"/>
          <w:numId w:val="1"/>
        </w:numPr>
        <w:spacing w:after="200" w:line="276" w:lineRule="auto"/>
        <w:contextualSpacing/>
        <w:rPr>
          <w:rFonts w:asciiTheme="minorHAnsi" w:eastAsia="Calibri" w:hAnsiTheme="minorHAnsi" w:cstheme="minorHAnsi"/>
          <w:sz w:val="22"/>
          <w:szCs w:val="22"/>
        </w:rPr>
      </w:pPr>
      <w:r>
        <w:rPr>
          <w:rFonts w:asciiTheme="minorHAnsi" w:hAnsiTheme="minorHAnsi"/>
          <w:sz w:val="22"/>
        </w:rPr>
        <w:t>Povezane stanovanjske enote v smislu točke 1 drugega stavka oddelka 78 državne pogodbe o medijih so pri medijskih platformah, vezanih na kabelsko omrežje, stanovanjske enote, v katerih je fizična omrežna priključna točka, na kateri je končnemu uporabniku omogočen dostop do kabelskega omrežja, pod pogojem, da za omrežno priključno točko obstaja dogovor, v skladu s katerim je končni uporabnik upravičen do predvajanja radiodifuznih programov.</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F71879" w:rsidP="00077B73">
      <w:pPr>
        <w:keepNext/>
        <w:spacing w:line="276" w:lineRule="auto"/>
        <w:rPr>
          <w:rFonts w:asciiTheme="minorHAnsi" w:eastAsia="Calibri" w:hAnsiTheme="minorHAnsi" w:cstheme="minorHAnsi"/>
          <w:sz w:val="22"/>
          <w:szCs w:val="22"/>
        </w:rPr>
      </w:pPr>
      <w:r>
        <w:rPr>
          <w:rFonts w:asciiTheme="minorHAnsi" w:hAnsiTheme="minorHAnsi"/>
          <w:sz w:val="22"/>
        </w:rPr>
        <w:lastRenderedPageBreak/>
        <w:t>(5) Za ugotavljanje dejanskih dnevnih uporabnikov v smislu točke 2 drugega stavka oddelka 78 državne pogodbe o medijih veljajo naslednje določbe:</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rPr>
        <w:t>Dejanski dnevni uporabniki medijske platforme, ki ni vezana na infrastrukturo, ali uporabniškega vmesnika so uporabniki, ki medijsko platformo ali uporabniški vmesnik obiščejo v enem dnevu. Več priklicev enega uporabnika se šteje enkrat (Unique User).</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rPr>
        <w:t>Odločilen je priklic prve ravni izbire medijske platforme ali uporabniškega vmesnika. Če je po drugi strani medijska platforma določljiv del mešane ponudbe, so odločilne številke edinstvenih uporabnikov (Unique User) določljive funkcije.</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rPr>
        <w:t xml:space="preserve">Če je priklic radiodifuznih programov, elektronskih komunikacijskih in informacijskih storitev, podobnih radiodifuznim storitvam, ali elektronskih komunikacijskih in informacijskih storitev v smislu oddelka 19(1) državne pogodbe o medijih odvisen izključno od registracije ali prijave, je priklic prve ravni izbire, ki je dostopna po registraciji ali prijavi, odločilen za merjenje edinstvenih uporabnikov. </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rPr>
        <w:t>Če podatkov o dejanskih dnevnih uporabnikih ni mogoče določiti, se kot osnova za uporabniške vmesnike uporabi število prodanih naprav.</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rPr>
        <w:t xml:space="preserve">Kot osnova za zgornje izračune mesečnega povprečja se uporablja obdobje 6 mesecev. </w:t>
      </w:r>
    </w:p>
    <w:p w:rsidR="00F57DE5" w:rsidRPr="00077B73" w:rsidRDefault="00F57DE5" w:rsidP="00F57DE5">
      <w:pPr>
        <w:ind w:left="360"/>
        <w:contextualSpacing/>
        <w:jc w:val="both"/>
        <w:rPr>
          <w:rFonts w:asciiTheme="minorHAnsi" w:eastAsia="Calibri" w:hAnsiTheme="minorHAnsi" w:cstheme="minorHAnsi"/>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rPr>
        <w:t>(6) Ponudnik mora izpolnjevati zahteve v skladu s točkama 1 in 2 drugega stavka oddelka 78 državne pogodbe o medijih.</w:t>
      </w:r>
    </w:p>
    <w:p w:rsidR="00F57DE5" w:rsidRPr="00077B73" w:rsidRDefault="00F57DE5" w:rsidP="00E22B72">
      <w:pPr>
        <w:spacing w:line="276" w:lineRule="auto"/>
        <w:jc w:val="center"/>
        <w:rPr>
          <w:rFonts w:ascii="Calibri" w:eastAsia="Calibri" w:hAnsi="Calibri"/>
          <w:b/>
          <w:sz w:val="22"/>
          <w:szCs w:val="22"/>
          <w:lang w:eastAsia="en-US"/>
        </w:rPr>
      </w:pPr>
    </w:p>
    <w:p w:rsidR="00E22B72" w:rsidRPr="00077B73" w:rsidRDefault="00F57DE5" w:rsidP="00077B73">
      <w:pPr>
        <w:keepNext/>
        <w:spacing w:line="276" w:lineRule="auto"/>
        <w:jc w:val="center"/>
        <w:rPr>
          <w:rFonts w:ascii="Calibri" w:eastAsia="Calibri" w:hAnsi="Calibri"/>
          <w:b/>
          <w:sz w:val="22"/>
          <w:szCs w:val="22"/>
        </w:rPr>
      </w:pPr>
      <w:r>
        <w:rPr>
          <w:rFonts w:ascii="Calibri" w:hAnsi="Calibri"/>
          <w:b/>
          <w:sz w:val="22"/>
        </w:rPr>
        <w:t>Oddelek 2</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Prijava</w:t>
      </w:r>
    </w:p>
    <w:p w:rsidR="00F33BCA" w:rsidRPr="00077B73" w:rsidRDefault="00F33BCA" w:rsidP="00077B73">
      <w:pPr>
        <w:keepNext/>
        <w:spacing w:line="276" w:lineRule="auto"/>
        <w:jc w:val="center"/>
        <w:rPr>
          <w:rFonts w:ascii="Calibri" w:eastAsia="Calibri" w:hAnsi="Calibri"/>
          <w:b/>
          <w:sz w:val="22"/>
          <w:szCs w:val="22"/>
          <w:lang w:eastAsia="en-US"/>
        </w:rPr>
      </w:pPr>
    </w:p>
    <w:p w:rsidR="00F57DE5" w:rsidRPr="00077B73" w:rsidRDefault="00E22B72" w:rsidP="00E22B72">
      <w:pPr>
        <w:spacing w:line="276" w:lineRule="auto"/>
        <w:rPr>
          <w:rFonts w:asciiTheme="minorHAnsi" w:eastAsia="Calibri" w:hAnsiTheme="minorHAnsi" w:cstheme="minorHAnsi"/>
          <w:sz w:val="22"/>
          <w:szCs w:val="22"/>
        </w:rPr>
      </w:pPr>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 xml:space="preserve">Ponudniki, ki želijo ponuditi medijsko platformo ali uporabniški vmesnik, morajo o tem obvestiti pristojni deželni medijski zavod najmanj 1 mesec pred začetkom delovanja. </w:t>
      </w:r>
      <w:r>
        <w:rPr>
          <w:rFonts w:asciiTheme="minorHAnsi" w:hAnsiTheme="minorHAnsi"/>
          <w:sz w:val="22"/>
          <w:vertAlign w:val="superscript"/>
        </w:rPr>
        <w:t>2</w:t>
      </w:r>
      <w:r>
        <w:rPr>
          <w:rFonts w:asciiTheme="minorHAnsi" w:hAnsiTheme="minorHAnsi"/>
          <w:sz w:val="22"/>
        </w:rPr>
        <w:t xml:space="preserve">Če ponudnik ni odgovoren za začetek delovanja ponudbe, obveznost obveščanja iz prvega stavka temelji na času, ko je ponudba dana na trg. </w:t>
      </w:r>
    </w:p>
    <w:p w:rsidR="00E22B72" w:rsidRPr="00077B73" w:rsidRDefault="00E22B72" w:rsidP="00E22B72">
      <w:pPr>
        <w:spacing w:line="276" w:lineRule="auto"/>
        <w:rPr>
          <w:rFonts w:asciiTheme="minorHAnsi" w:eastAsia="Calibri" w:hAnsiTheme="minorHAnsi" w:cstheme="minorHAnsi"/>
          <w:sz w:val="22"/>
          <w:szCs w:val="22"/>
          <w:lang w:eastAsia="en-US"/>
        </w:rPr>
      </w:pPr>
    </w:p>
    <w:p w:rsidR="00F57DE5" w:rsidRPr="00077B73" w:rsidRDefault="00E22B72" w:rsidP="00077B73">
      <w:pPr>
        <w:keepNext/>
        <w:spacing w:line="276" w:lineRule="auto"/>
        <w:rPr>
          <w:rFonts w:asciiTheme="minorHAnsi" w:eastAsia="Calibri" w:hAnsiTheme="minorHAnsi" w:cstheme="minorHAnsi"/>
          <w:sz w:val="22"/>
          <w:szCs w:val="22"/>
        </w:rPr>
      </w:pPr>
      <w:r>
        <w:rPr>
          <w:rFonts w:asciiTheme="minorHAnsi" w:hAnsiTheme="minorHAnsi"/>
          <w:sz w:val="22"/>
        </w:rPr>
        <w:t>(2) V okviru obveščanja se zagotovijo zlasti naslednje informacije in dokumenti:</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rPr>
        <w:t>predstavitev ponudbe; sem spadajo tudi informacije o naravi povezave medijske platforme z infrastrukturo ali informacije o tem, ali gre za uporabniški vmesnik medijske platforme, vezane na infrastrukturo;</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rPr>
        <w:t>navedba fizične ali pravne osebe ponudnika medijske platforme ali uporabniškega vmesnika ter stalnega prebivališča ali sedeža;</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rPr>
        <w:t>predložitev pravnega potrdila o nekaznovanosti za predložitev organu ali primerljivega tujega dokumenta za osebo ponudnika medijske platforme ali uporabniškega vmesnika ali osebo, ki jo zakonito zastopa ali ki jo zastopa v skladu s statutom, ki ob predložitvi ni starejši od 6 mesecev. V primeru zakonitega zastopanja več oseb ali v primeru zastopanja v skladu s statutom predložitev dokumenta v smislu prvega stavka zadostuje za tiste zastopnike, ki so odgovorni za izbiro ponudb ali načrtovanje pregleda;</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rPr>
        <w:t>podatki o tehničnem in pričakovanem obsegu uporabe. Sem spadajo zlasti informacije, potrebne za pregled drugega stavka oddelka 78 državne pogodbe o medijih ter oddelka 1(4) do (6) tega statuta.</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rPr>
        <w:t xml:space="preserve">(3) Če ponudnik medijske platforme ali uporabniškega vmesnika nima prebivališča ali sedeža v Nemčiji, drugi državi članici Evropske unije ali drugi podpisnici Sporazuma o Evropskem </w:t>
      </w:r>
      <w:r>
        <w:rPr>
          <w:rFonts w:asciiTheme="minorHAnsi" w:hAnsiTheme="minorHAnsi"/>
          <w:sz w:val="22"/>
        </w:rPr>
        <w:lastRenderedPageBreak/>
        <w:t xml:space="preserve">gospodarskem prostoru, mora v okviru prijave imenovati zastopnika v skladu z drugim stavkom oddelka 79(1) državne pogodbe o medijih s predložitvijo dokumenta v skladu z odstavkom 2(3). </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rPr>
        <w:t>(4) Odgovorni medijski zavod lahko zahteva tudi predložitev dodatnih dokumentov in informacij, potrebnih za oceno prijave.</w:t>
      </w:r>
    </w:p>
    <w:p w:rsidR="00F57DE5" w:rsidRPr="00077B73" w:rsidRDefault="00F57DE5" w:rsidP="00075A82">
      <w:pPr>
        <w:spacing w:line="276" w:lineRule="auto"/>
        <w:jc w:val="center"/>
        <w:rPr>
          <w:rFonts w:ascii="Calibri" w:eastAsia="Calibri" w:hAnsi="Calibri"/>
          <w:b/>
          <w:sz w:val="22"/>
          <w:szCs w:val="22"/>
          <w:lang w:eastAsia="en-US"/>
        </w:rPr>
      </w:pPr>
    </w:p>
    <w:p w:rsidR="00075A82" w:rsidRPr="00077B73" w:rsidRDefault="00F57DE5" w:rsidP="00077B73">
      <w:pPr>
        <w:keepNext/>
        <w:spacing w:line="276" w:lineRule="auto"/>
        <w:jc w:val="center"/>
        <w:rPr>
          <w:rFonts w:ascii="Calibri" w:eastAsia="Calibri" w:hAnsi="Calibri"/>
          <w:b/>
          <w:sz w:val="22"/>
          <w:szCs w:val="22"/>
        </w:rPr>
      </w:pPr>
      <w:r>
        <w:rPr>
          <w:rFonts w:ascii="Calibri" w:hAnsi="Calibri"/>
          <w:b/>
          <w:sz w:val="22"/>
        </w:rPr>
        <w:t xml:space="preserve">Oddelek 3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Celovitost signala, prekrivanje in skaliranje</w:t>
      </w:r>
    </w:p>
    <w:p w:rsidR="00075A82" w:rsidRPr="00077B73" w:rsidRDefault="00075A82" w:rsidP="00077B73">
      <w:pPr>
        <w:keepNext/>
        <w:spacing w:line="276" w:lineRule="auto"/>
        <w:jc w:val="center"/>
        <w:rPr>
          <w:rFonts w:ascii="Calibri" w:eastAsia="Calibri" w:hAnsi="Calibri"/>
          <w:b/>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rPr>
        <w:t>(1) Tehnična sprememba v smislu oddelka 80(1)(1) državne pogodbe o medijih obstaja tudi, če ponudniki medijske platforme ne posredujejo tehnično zagotovljenih signalov HbbTV.</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bookmarkStart w:id="2" w:name="_Hlk49412973"/>
      <w:r>
        <w:rPr>
          <w:rFonts w:asciiTheme="minorHAnsi" w:hAnsiTheme="minorHAnsi"/>
          <w:sz w:val="22"/>
        </w:rPr>
        <w:t xml:space="preserve">(2) Prekrivanje v smislu oddelka 80(1)(2) državne pogodbe o medijih je enakovredno zvočnim ali vizualnim prikazom, ki se pojavijo takoj po izbiri uporabnika in pred začetkom radiodifuznega programa (Pre-Roll). </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rPr>
        <w:t xml:space="preserve">(3) </w:t>
      </w:r>
      <w:r>
        <w:rPr>
          <w:rFonts w:asciiTheme="minorHAnsi" w:hAnsiTheme="minorHAnsi"/>
          <w:sz w:val="22"/>
          <w:vertAlign w:val="superscript"/>
        </w:rPr>
        <w:t>1</w:t>
      </w:r>
      <w:r>
        <w:rPr>
          <w:rFonts w:asciiTheme="minorHAnsi" w:hAnsiTheme="minorHAnsi"/>
          <w:sz w:val="22"/>
        </w:rPr>
        <w:t xml:space="preserve">Zahteva v posameznih primerih v smislu drugega in tretjega stavka oddelka 80(2) državne pogodbe o medijih poteka prek jasnega ukrepanja uporabnika, s katerim se za določeno situacijo uporabe in nedvoumno izjavi, da želi uporabnik sprožiti prekrivanje ali skaliranje. </w:t>
      </w:r>
      <w:r>
        <w:rPr>
          <w:rFonts w:asciiTheme="minorHAnsi" w:hAnsiTheme="minorHAnsi"/>
          <w:sz w:val="22"/>
          <w:vertAlign w:val="superscript"/>
        </w:rPr>
        <w:t>2</w:t>
      </w:r>
      <w:r>
        <w:rPr>
          <w:rFonts w:asciiTheme="minorHAnsi" w:hAnsiTheme="minorHAnsi"/>
          <w:sz w:val="22"/>
        </w:rPr>
        <w:t>To še posebej velja, če uporabnik uporablja ustrezno označene vizualne ali zvočne nadzorne elemente za sprožitev prekrivanja ali skaliranja.</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sz w:val="22"/>
        </w:rPr>
        <w:t>Poglavje 2: Določbe o zasedenosti</w:t>
      </w:r>
    </w:p>
    <w:p w:rsidR="00F57DE5" w:rsidRPr="00077B73" w:rsidRDefault="00F57DE5" w:rsidP="00077B73">
      <w:pPr>
        <w:keepNext/>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rPr>
        <w:t>Oddelek 4</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Določbe o zasedenosti za medijske platforme, vezane na infrastrukturo</w:t>
      </w:r>
    </w:p>
    <w:p w:rsidR="002C35D6" w:rsidRPr="00077B73" w:rsidRDefault="002C35D6" w:rsidP="00077B73">
      <w:pPr>
        <w:keepNext/>
        <w:spacing w:line="276" w:lineRule="auto"/>
        <w:jc w:val="center"/>
        <w:rPr>
          <w:rFonts w:ascii="Calibri" w:eastAsia="Calibri" w:hAnsi="Calibri"/>
          <w:b/>
          <w:sz w:val="22"/>
          <w:szCs w:val="22"/>
          <w:lang w:eastAsia="en-US"/>
        </w:rPr>
      </w:pPr>
    </w:p>
    <w:bookmarkEnd w:id="2"/>
    <w:p w:rsidR="00590EAA" w:rsidRPr="00077B73" w:rsidRDefault="00590EAA" w:rsidP="00077B73">
      <w:pPr>
        <w:keepNext/>
        <w:spacing w:line="276" w:lineRule="auto"/>
        <w:rPr>
          <w:rFonts w:asciiTheme="minorHAnsi" w:eastAsia="Calibri" w:hAnsiTheme="minorHAnsi" w:cstheme="minorHAnsi"/>
          <w:sz w:val="22"/>
          <w:szCs w:val="22"/>
        </w:rPr>
      </w:pPr>
      <w:r>
        <w:rPr>
          <w:rFonts w:asciiTheme="minorHAnsi" w:hAnsiTheme="minorHAnsi"/>
          <w:sz w:val="22"/>
        </w:rPr>
        <w:t>Ustrezno upoštevanje ponudb v skladu s točko 1(b) in (c) prvega stavka oddelka 81(2) in točko 1(b) prvega stavka oddelka 81(3) državne pogodbe o medijih predvideva, da:</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rPr>
        <w:t>je treba dokazati, da zmogljivost za zasedenost v skladu s točko 1 prvega stavka ni zadostna, da bi v celoti izpolnili obveznosti distribucije v skladu s točko 1 prvega stavka oddelka 81(2) in točko 1 prvega stavka oddelka 81(3) državne pogodbe o medijih;</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rPr>
        <w:t>se programi, ki se distribuirajo po različnih standardih, štejejo samo enkrat;</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rPr>
        <w:t xml:space="preserve">se programi v skladu s točko 1 prvega stavka oddelka 81(2) in točko 1 prvega stavka oddelka 81(3) državne pogodbe o medijih, ki niso zakonsko določeni za posamezno območje distribucije, distribuirajo podrejeno glede na ponudbe v skladu s točko 1(b) in (c) prvega stavka oddelka 81(2) in s točko 1(b) prvega stavka oddelka 81(3) državne pogodbe o medijih; </w:t>
      </w:r>
    </w:p>
    <w:p w:rsidR="002C35D6"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rPr>
        <w:t>se ponudbe v skladu s točko 1(b) in (c) prvega stavka oddelka 81(2) in točko 1(b) prvega stavka oddelka 81(3) državne pogodbe o medijih ne izpodrinejo v celoti.</w:t>
      </w:r>
      <w:bookmarkEnd w:id="1"/>
    </w:p>
    <w:p w:rsidR="00590EAA" w:rsidRPr="00077B73" w:rsidRDefault="00590EAA" w:rsidP="00590EAA">
      <w:pPr>
        <w:spacing w:after="200" w:line="276" w:lineRule="auto"/>
        <w:ind w:left="720"/>
        <w:contextualSpacing/>
        <w:rPr>
          <w:rFonts w:ascii="Calibri" w:eastAsia="Calibri" w:hAnsi="Calibr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sz w:val="22"/>
          <w:szCs w:val="22"/>
        </w:rPr>
      </w:pPr>
      <w:r>
        <w:rPr>
          <w:rFonts w:asciiTheme="minorHAnsi" w:hAnsiTheme="minorHAnsi"/>
          <w:b/>
          <w:sz w:val="22"/>
        </w:rPr>
        <w:lastRenderedPageBreak/>
        <w:t>Poglavje 3: Pogoji dostopa za medijske platforme</w:t>
      </w:r>
    </w:p>
    <w:p w:rsidR="002C35D6" w:rsidRPr="00077B73" w:rsidRDefault="002C35D6" w:rsidP="00077B73">
      <w:pPr>
        <w:keepNext/>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rPr>
        <w:t xml:space="preserve">Oddelek 5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Enake možnosti</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rPr>
        <w:t>(1) Ponudniki medijskih platform morajo dostop do svojih medijskih platform nuditi na način, da ponudbe v skladu z oddelkom 82(2) državne pogodbe o medijih niso posredno ali neposredno neustrezno ovirane pri njihovi distribuciji ali trženju.</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rPr>
        <w:t>(2) Neustrezno oviranje se ugotovi po celovitem tehtanju interesov udeleženih strani in ob upoštevanju ciljev državne pogodbe o medijih in teh zakonov, katerih namen je zagotoviti raznolikost mnenj in ponudb.</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rPr>
        <w:t>(3) Neustrezno oviranje obstaja zlasti, če medijske platforme ne ponujajo realnih možnosti za dostop v okviru tega, kar je tehnično mogoče in ekonomsko smiselno ali če pogoji dostopa vodijo do strukturne zapostavljenosti ponudb v skladu z oddelkom 82(2) državne pogodbe o medijih.</w:t>
      </w:r>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rPr>
        <w:t xml:space="preserve">Oddelek 6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Nediskriminacija</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 xml:space="preserve">Ponudniki medijskih platform ponudb v okviru oddelka 82(2) državne pogodbe o medijih ne smejo obravnavati drugače kot podobnih ponudb brez objektivno utemeljenega razloga. </w:t>
      </w:r>
      <w:r>
        <w:rPr>
          <w:rFonts w:asciiTheme="minorHAnsi" w:hAnsiTheme="minorHAnsi"/>
          <w:sz w:val="22"/>
          <w:vertAlign w:val="superscript"/>
        </w:rPr>
        <w:t>2</w:t>
      </w:r>
      <w:r>
        <w:rPr>
          <w:rFonts w:asciiTheme="minorHAnsi" w:hAnsiTheme="minorHAnsi"/>
          <w:sz w:val="22"/>
        </w:rPr>
        <w:t xml:space="preserve">To še posebej velja, če ponudnik medijske platforme dostop do medijskih platform v skladu z oddelkom 82(2) državne pogodbe o medijih ponuja pod drugačnimi pogoji dostopa kot podjetju, ki ga je mogoče pripisati ponudniku medijske platforme, razen če ima za to objektivno utemeljen razlog. </w:t>
      </w:r>
      <w:r>
        <w:rPr>
          <w:rFonts w:asciiTheme="minorHAnsi" w:hAnsiTheme="minorHAnsi"/>
          <w:sz w:val="22"/>
          <w:vertAlign w:val="superscript"/>
        </w:rPr>
        <w:t>3</w:t>
      </w:r>
      <w:r>
        <w:rPr>
          <w:rFonts w:asciiTheme="minorHAnsi" w:hAnsiTheme="minorHAnsi"/>
          <w:sz w:val="22"/>
        </w:rPr>
        <w:t>Določiti je treba podjetja, s katerimi so ponudniki medijskih platform neposredno ali posredno povezani z lastniškim deležem ali na kakršen koli drug način. Ustrezno se uporablja oddelek 62 državne pogodbe o medijih.</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rPr>
        <w:t>(2) Objektivno utemeljen razlog za neenako obravnavanje prevlada pred glavnim ciljem zagotavljanja raznolikosti mnenj.</w:t>
      </w:r>
    </w:p>
    <w:p w:rsidR="00C5646E" w:rsidRPr="00077B73" w:rsidRDefault="00C5646E"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rPr>
        <w:t xml:space="preserve">Oddelek 7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Sistemi s pogojnim dostopom</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077B73">
      <w:pPr>
        <w:keepNext/>
        <w:spacing w:line="276" w:lineRule="auto"/>
        <w:rPr>
          <w:rFonts w:asciiTheme="minorHAnsi" w:eastAsia="Calibri" w:hAnsiTheme="minorHAnsi" w:cstheme="minorHAnsi"/>
          <w:sz w:val="22"/>
          <w:szCs w:val="22"/>
        </w:rPr>
      </w:pPr>
      <w:r>
        <w:rPr>
          <w:rFonts w:asciiTheme="minorHAnsi" w:hAnsiTheme="minorHAnsi"/>
          <w:sz w:val="22"/>
        </w:rPr>
        <w:t xml:space="preserve">(1) Sistem s pogojnim dostopom je: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rPr>
        <w:t xml:space="preserve">vsak tehnični ukrep,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rPr>
        <w:t xml:space="preserve">kateri koli sistem za preverjanje pristnosti in/ali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rPr>
        <w:t xml:space="preserve">vsaka naprava, </w:t>
      </w:r>
    </w:p>
    <w:p w:rsidR="00F57DE5" w:rsidRPr="00077B73" w:rsidRDefault="00F57DE5" w:rsidP="002C35D6">
      <w:pPr>
        <w:spacing w:line="276" w:lineRule="auto"/>
        <w:rPr>
          <w:rFonts w:asciiTheme="minorHAnsi" w:eastAsia="Calibri" w:hAnsiTheme="minorHAnsi" w:cstheme="minorHAnsi"/>
          <w:sz w:val="22"/>
          <w:szCs w:val="22"/>
        </w:rPr>
      </w:pPr>
      <w:r>
        <w:rPr>
          <w:rFonts w:asciiTheme="minorHAnsi" w:hAnsiTheme="minorHAnsi"/>
          <w:sz w:val="22"/>
        </w:rPr>
        <w:t>zaradi katerih je dostop do zaščitene radijske ali televizijske storitve v nešifrirani obliki odvisen od naročnine ali druge oblike predhodnega individualnega dovoljenja.</w:t>
      </w:r>
    </w:p>
    <w:p w:rsidR="00F57DE5" w:rsidRPr="00077B73" w:rsidRDefault="00F57DE5" w:rsidP="00F57DE5">
      <w:pPr>
        <w:spacing w:after="160" w:line="259" w:lineRule="auto"/>
        <w:ind w:left="375"/>
        <w:contextualSpacing/>
        <w:jc w:val="both"/>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rPr>
        <w:t>(2) Za sisteme s pogojnim dostopom v smislu oddelka 82(2)(1) državne pogodbe o medijih velja, da se vsem pooblaščenim osebam omogoči uporaba tehničnih storitev, ki so potrebne za uporabo teh sistemov, informacije, potrebne za to, pa morajo biti zagotovljene ob upoštevanju načela enakih možnosti ter pod ustreznimi in nediskriminatornimi pogoji.</w:t>
      </w:r>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rPr>
        <w:t>Oddelek 8</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Pogoji dostopa</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rPr>
        <w:t>(1) Oblika pogojev dostopa v smislu oddelka 82(2)(4) in oddelka 83(2) državne pogodbe o medijih vključuje zlasti način, na katerega ponudnik medijskih platform s finančnimi in tehničnimi zahtevami določa dostop ponudbe v smislu oddelka 82(2) državne pogodbe do medijske platforme.</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077B73">
      <w:pPr>
        <w:keepNext/>
        <w:spacing w:line="276" w:lineRule="auto"/>
        <w:rPr>
          <w:rFonts w:asciiTheme="minorHAnsi" w:eastAsia="Calibri" w:hAnsiTheme="minorHAnsi" w:cstheme="minorHAnsi"/>
          <w:sz w:val="22"/>
          <w:szCs w:val="22"/>
        </w:rPr>
      </w:pPr>
      <w:r>
        <w:rPr>
          <w:rFonts w:asciiTheme="minorHAnsi" w:hAnsiTheme="minorHAnsi"/>
          <w:sz w:val="22"/>
        </w:rPr>
        <w:t>(2) Če izdajatelj radiodifuznega programa zahteva dostop do medijske platforme, je treba v preučitev nediskriminacije in enakih možnosti vključiti vse storitve, za katere se zahteva plačilo, ki se izmenjujejo ali jih je treba izmenjati v neposredni ali posredni materialni povezavi z dostopom. Sem sodijo zlasti:</w:t>
      </w:r>
    </w:p>
    <w:p w:rsidR="00F57DE5" w:rsidRPr="00077B73" w:rsidRDefault="00F57DE5" w:rsidP="002417C5">
      <w:pPr>
        <w:numPr>
          <w:ilvl w:val="0"/>
          <w:numId w:val="5"/>
        </w:numPr>
        <w:spacing w:after="200" w:line="276" w:lineRule="auto"/>
        <w:contextualSpacing/>
        <w:rPr>
          <w:rFonts w:ascii="Calibri" w:eastAsia="Calibri" w:hAnsi="Calibri"/>
          <w:sz w:val="22"/>
          <w:szCs w:val="22"/>
        </w:rPr>
      </w:pPr>
      <w:r>
        <w:rPr>
          <w:rFonts w:ascii="Calibri" w:hAnsi="Calibri"/>
          <w:sz w:val="22"/>
        </w:rPr>
        <w:t>pristojbine in tarife, ki jih ponudnik medijske platforme zaračuna ali želi zaračunati izdajateljem televizijskih programov, ki zahtevajo dostop,</w:t>
      </w:r>
    </w:p>
    <w:p w:rsidR="00F57DE5" w:rsidRPr="00077B73" w:rsidRDefault="00F57DE5" w:rsidP="002417C5">
      <w:pPr>
        <w:numPr>
          <w:ilvl w:val="0"/>
          <w:numId w:val="5"/>
        </w:numPr>
        <w:spacing w:after="200" w:line="276" w:lineRule="auto"/>
        <w:contextualSpacing/>
        <w:rPr>
          <w:rFonts w:ascii="Calibri" w:eastAsia="Calibri" w:hAnsi="Calibri"/>
          <w:sz w:val="22"/>
          <w:szCs w:val="22"/>
        </w:rPr>
      </w:pPr>
      <w:r>
        <w:rPr>
          <w:rFonts w:ascii="Calibri" w:hAnsi="Calibri"/>
          <w:sz w:val="22"/>
        </w:rPr>
        <w:t>nadomestila, ki jih ponudnik medijske platforme plačuje ali naj bi jih pogodbeno plačeval izdajatelju na podlagi prenosa signala, vključno z donosi v modelih HD-CPS.</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1B0E42" w:rsidP="002C35D6">
      <w:pPr>
        <w:spacing w:line="276" w:lineRule="auto"/>
        <w:rPr>
          <w:rFonts w:asciiTheme="minorHAnsi" w:eastAsia="Calibri" w:hAnsiTheme="minorHAnsi" w:cstheme="minorHAnsi"/>
          <w:sz w:val="22"/>
          <w:szCs w:val="22"/>
        </w:rPr>
      </w:pPr>
      <w:bookmarkStart w:id="3" w:name="_Hlk46133246"/>
      <w:r>
        <w:rPr>
          <w:rFonts w:asciiTheme="minorHAnsi" w:hAnsiTheme="minorHAnsi"/>
          <w:sz w:val="22"/>
        </w:rPr>
        <w:t>(3) Če je to potrebno za obravnavo stanja dostopa, se lahko v zahtevano splošno oceno vključijo tudi sporazumi o podelitvi in plačilu pravic, ki jih ponudnik medijske platforme sklene ali namerava skleniti z izdajateljem radiodifuznih programov na podlagi avtorskih pravic ali blagovnih znamk. Predpisi UrhG, UrhWahrG in GWB ter z njimi povezane odgovornosti ostajajo nespremenjeni.</w:t>
      </w:r>
      <w:bookmarkEnd w:id="3"/>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2C35D6" w:rsidP="00077B73">
      <w:pPr>
        <w:keepNext/>
        <w:spacing w:line="276" w:lineRule="auto"/>
        <w:jc w:val="center"/>
        <w:rPr>
          <w:rFonts w:ascii="Calibri" w:eastAsia="Calibri" w:hAnsi="Calibri"/>
          <w:b/>
          <w:sz w:val="22"/>
          <w:szCs w:val="22"/>
        </w:rPr>
      </w:pPr>
      <w:r>
        <w:rPr>
          <w:rFonts w:ascii="Calibri" w:hAnsi="Calibri"/>
          <w:b/>
          <w:sz w:val="22"/>
        </w:rPr>
        <w:t>Oddelek 9</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Razkritje</w:t>
      </w:r>
    </w:p>
    <w:p w:rsidR="002C35D6" w:rsidRPr="00077B73" w:rsidRDefault="002C35D6" w:rsidP="00077B73">
      <w:pPr>
        <w:keepNext/>
        <w:spacing w:line="276" w:lineRule="auto"/>
        <w:jc w:val="center"/>
        <w:rPr>
          <w:rFonts w:ascii="Calibri" w:eastAsia="Calibri" w:hAnsi="Calibri"/>
          <w:b/>
          <w:sz w:val="22"/>
          <w:szCs w:val="22"/>
          <w:lang w:eastAsia="en-US"/>
        </w:rPr>
      </w:pP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rPr>
        <w:t xml:space="preserve">(1) Ponudniki medijskih platform so dolžni: </w:t>
      </w:r>
    </w:p>
    <w:p w:rsidR="00CC7F6D" w:rsidRPr="00077B73" w:rsidRDefault="00CC7F6D" w:rsidP="002417C5">
      <w:pPr>
        <w:numPr>
          <w:ilvl w:val="0"/>
          <w:numId w:val="10"/>
        </w:numPr>
        <w:spacing w:after="200" w:line="276" w:lineRule="auto"/>
        <w:contextualSpacing/>
        <w:rPr>
          <w:rFonts w:ascii="Calibri" w:eastAsia="Calibri" w:hAnsi="Calibri"/>
          <w:sz w:val="22"/>
          <w:szCs w:val="22"/>
        </w:rPr>
      </w:pPr>
      <w:r>
        <w:rPr>
          <w:rFonts w:ascii="Calibri" w:hAnsi="Calibri"/>
          <w:sz w:val="22"/>
        </w:rPr>
        <w:t xml:space="preserve">če so preseženi regulativni pragovi iz oddelka 78 državne pogodbe o medijih, pogoje dostopa v smislu oddelka 82(2) državne pogodbe o medijih in oddelka 8; </w:t>
      </w:r>
    </w:p>
    <w:p w:rsidR="00CC7F6D" w:rsidRPr="00077B73" w:rsidRDefault="00CC7F6D" w:rsidP="002417C5">
      <w:pPr>
        <w:numPr>
          <w:ilvl w:val="0"/>
          <w:numId w:val="10"/>
        </w:numPr>
        <w:spacing w:after="200" w:line="276" w:lineRule="auto"/>
        <w:contextualSpacing/>
        <w:rPr>
          <w:rFonts w:asciiTheme="minorHAnsi" w:eastAsia="Calibri" w:hAnsiTheme="minorHAnsi" w:cstheme="minorHAnsi"/>
          <w:sz w:val="22"/>
          <w:szCs w:val="22"/>
        </w:rPr>
      </w:pPr>
      <w:r>
        <w:rPr>
          <w:rFonts w:asciiTheme="minorHAnsi" w:hAnsiTheme="minorHAnsi"/>
          <w:sz w:val="22"/>
        </w:rPr>
        <w:t>v primeru iz drugega stavka oddelka 81(2) državne pogodbe o medijih, podatke o skupni razpoložljivi zmogljivosti za digitalno distribucijo televizijskih ali radijskih programov</w:t>
      </w:r>
    </w:p>
    <w:p w:rsidR="00CC7F6D" w:rsidRPr="00077B73" w:rsidRDefault="00CC7F6D" w:rsidP="00CC7F6D">
      <w:pPr>
        <w:spacing w:after="200" w:line="276" w:lineRule="auto"/>
        <w:ind w:left="360"/>
        <w:contextualSpacing/>
        <w:rPr>
          <w:rFonts w:asciiTheme="minorHAnsi" w:eastAsia="Calibri" w:hAnsiTheme="minorHAnsi" w:cstheme="minorHAnsi"/>
          <w:sz w:val="22"/>
          <w:szCs w:val="22"/>
        </w:rPr>
      </w:pPr>
      <w:r>
        <w:rPr>
          <w:rFonts w:asciiTheme="minorHAnsi" w:hAnsiTheme="minorHAnsi"/>
          <w:sz w:val="22"/>
        </w:rPr>
        <w:t>na zahtevo razkriti pristojnemu deželnemu medijskemu zavodu.</w:t>
      </w:r>
    </w:p>
    <w:p w:rsidR="00CC7F6D" w:rsidRPr="00077B73" w:rsidRDefault="00CC7F6D" w:rsidP="00CC7F6D">
      <w:pPr>
        <w:spacing w:after="200" w:line="276" w:lineRule="auto"/>
        <w:contextualSpacing/>
        <w:rPr>
          <w:rFonts w:asciiTheme="minorHAnsi" w:eastAsia="Calibri" w:hAnsiTheme="minorHAnsi" w:cstheme="minorHAnsi"/>
          <w:sz w:val="22"/>
          <w:szCs w:val="22"/>
          <w:lang w:eastAsia="en-US"/>
        </w:rPr>
      </w:pPr>
    </w:p>
    <w:p w:rsidR="00CC7F6D" w:rsidRPr="00077B73" w:rsidRDefault="00CC7F6D" w:rsidP="00CC7F6D">
      <w:pPr>
        <w:spacing w:line="276" w:lineRule="auto"/>
        <w:rPr>
          <w:rFonts w:asciiTheme="minorHAnsi" w:eastAsia="Calibri" w:hAnsiTheme="minorHAnsi" w:cstheme="minorHAnsi"/>
          <w:sz w:val="22"/>
          <w:szCs w:val="22"/>
        </w:rPr>
      </w:pPr>
      <w:r>
        <w:rPr>
          <w:rFonts w:asciiTheme="minorHAnsi" w:hAnsiTheme="minorHAnsi"/>
          <w:sz w:val="22"/>
        </w:rPr>
        <w:t>(2) Razkritje mora biti izvedeno s predložitvijo ustreznih dokumentov.</w:t>
      </w:r>
    </w:p>
    <w:p w:rsidR="00CC7F6D" w:rsidRPr="00077B73" w:rsidRDefault="00CC7F6D" w:rsidP="00CC7F6D">
      <w:pPr>
        <w:spacing w:after="200" w:line="276" w:lineRule="auto"/>
        <w:contextualSpacing/>
        <w:rPr>
          <w:rFonts w:asciiTheme="minorHAnsi" w:eastAsia="Calibri" w:hAnsiTheme="minorHAnsi" w:cstheme="minorHAnsi"/>
          <w:sz w:val="22"/>
          <w:szCs w:val="22"/>
          <w:lang w:eastAsia="en-US"/>
        </w:rPr>
      </w:pP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rPr>
        <w:t>(3) Razkritje mora vsebovati podatke o naslednjih točkah:</w:t>
      </w: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rPr>
        <w:t>V primeru odstavka 1(1):</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rPr>
        <w:t>vse tehnične parametre in tehnične okvirne pogoje, katerih poznavanje je potrebno za oceno dostopa v skladu z oddelkom 82(2)(1) in (2) državne pogodbe o medijih;</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rPr>
        <w:t>pristojbine in tarife, ki jih zahtevajo ponudniki medijskih platform, vključno z njihovim izračunom, osnovnimi podatki in poslovnimi predpostavkami;</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rPr>
        <w:t>opis uporabljenega sistema plačil.</w:t>
      </w: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rPr>
        <w:t xml:space="preserve">V primeru odstavka 1(2): </w:t>
      </w:r>
    </w:p>
    <w:p w:rsidR="00CC7F6D" w:rsidRPr="00077B73" w:rsidRDefault="00CC7F6D" w:rsidP="002417C5">
      <w:pPr>
        <w:numPr>
          <w:ilvl w:val="0"/>
          <w:numId w:val="12"/>
        </w:numPr>
        <w:spacing w:after="200" w:line="276" w:lineRule="auto"/>
        <w:contextualSpacing/>
        <w:rPr>
          <w:rFonts w:asciiTheme="minorHAnsi" w:eastAsia="Calibri" w:hAnsiTheme="minorHAnsi" w:cstheme="minorHAnsi"/>
          <w:sz w:val="22"/>
          <w:szCs w:val="22"/>
        </w:rPr>
      </w:pPr>
      <w:r>
        <w:rPr>
          <w:rFonts w:asciiTheme="minorHAnsi" w:hAnsiTheme="minorHAnsi"/>
          <w:sz w:val="22"/>
        </w:rPr>
        <w:t>podatke o uporabljenih možnostih učinkovite uporabe zmogljivosti;</w:t>
      </w:r>
    </w:p>
    <w:p w:rsidR="00CC7F6D" w:rsidRPr="00077B73" w:rsidRDefault="00CC7F6D" w:rsidP="002417C5">
      <w:pPr>
        <w:numPr>
          <w:ilvl w:val="0"/>
          <w:numId w:val="12"/>
        </w:numPr>
        <w:spacing w:after="200" w:line="276" w:lineRule="auto"/>
        <w:contextualSpacing/>
        <w:rPr>
          <w:rFonts w:asciiTheme="minorHAnsi" w:eastAsia="Calibri" w:hAnsiTheme="minorHAnsi" w:cstheme="minorHAnsi"/>
          <w:sz w:val="22"/>
          <w:szCs w:val="22"/>
        </w:rPr>
      </w:pPr>
      <w:r>
        <w:rPr>
          <w:rFonts w:asciiTheme="minorHAnsi" w:hAnsiTheme="minorHAnsi"/>
          <w:sz w:val="22"/>
        </w:rPr>
        <w:t>ali in v katerih različnih standardih distribucije poteka distribucija programa.</w:t>
      </w:r>
    </w:p>
    <w:p w:rsidR="00CC7F6D" w:rsidRPr="00077B73" w:rsidRDefault="00CC7F6D" w:rsidP="00CC7F6D">
      <w:pPr>
        <w:spacing w:after="200" w:line="276" w:lineRule="auto"/>
        <w:contextualSpacing/>
        <w:rPr>
          <w:rFonts w:ascii="Calibri" w:eastAsia="Calibri" w:hAnsi="Calibr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sz w:val="22"/>
          <w:szCs w:val="22"/>
        </w:rPr>
      </w:pPr>
      <w:r>
        <w:rPr>
          <w:rFonts w:asciiTheme="minorHAnsi" w:hAnsiTheme="minorHAnsi"/>
          <w:b/>
          <w:sz w:val="22"/>
        </w:rPr>
        <w:lastRenderedPageBreak/>
        <w:t>Poglavje 4: Predpisi za uporabniške vmesnike</w:t>
      </w:r>
    </w:p>
    <w:p w:rsidR="00F57DE5" w:rsidRPr="00077B73" w:rsidRDefault="00F57DE5" w:rsidP="00077B73">
      <w:pPr>
        <w:keepNext/>
        <w:spacing w:after="160" w:line="259" w:lineRule="auto"/>
        <w:ind w:left="360"/>
        <w:contextualSpacing/>
        <w:jc w:val="both"/>
        <w:rPr>
          <w:rFonts w:asciiTheme="minorHAnsi" w:eastAsia="Calibri" w:hAnsiTheme="minorHAnsi" w:cstheme="minorHAnsi"/>
          <w:sz w:val="22"/>
          <w:szCs w:val="22"/>
          <w:lang w:eastAsia="en-US"/>
        </w:rPr>
      </w:pPr>
    </w:p>
    <w:p w:rsidR="00074EC8" w:rsidRPr="00077B73" w:rsidRDefault="00F57DE5" w:rsidP="00077B73">
      <w:pPr>
        <w:keepNext/>
        <w:spacing w:line="276" w:lineRule="auto"/>
        <w:jc w:val="center"/>
        <w:rPr>
          <w:rFonts w:ascii="Calibri" w:eastAsia="Calibri" w:hAnsi="Calibri"/>
          <w:b/>
          <w:sz w:val="22"/>
          <w:szCs w:val="22"/>
        </w:rPr>
      </w:pPr>
      <w:bookmarkStart w:id="4" w:name="_Hlk46133330"/>
      <w:r>
        <w:rPr>
          <w:rFonts w:ascii="Calibri" w:hAnsi="Calibri"/>
          <w:b/>
          <w:sz w:val="22"/>
        </w:rPr>
        <w:t xml:space="preserve">Oddelek 10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Iskanje v uporabniških vmesnikih</w:t>
      </w:r>
      <w:bookmarkEnd w:id="4"/>
    </w:p>
    <w:p w:rsidR="00074EC8" w:rsidRPr="00077B73" w:rsidRDefault="00074EC8" w:rsidP="00077B73">
      <w:pPr>
        <w:keepNext/>
        <w:spacing w:line="276" w:lineRule="auto"/>
        <w:jc w:val="center"/>
        <w:rPr>
          <w:rFonts w:ascii="Calibri" w:eastAsia="Calibri" w:hAnsi="Calibri"/>
          <w:b/>
          <w:sz w:val="22"/>
          <w:szCs w:val="22"/>
          <w:lang w:eastAsia="en-US"/>
        </w:rPr>
      </w:pPr>
    </w:p>
    <w:p w:rsidR="00F57DE5" w:rsidRPr="00077B73" w:rsidRDefault="00F55623" w:rsidP="00F55623">
      <w:pPr>
        <w:spacing w:line="276" w:lineRule="auto"/>
        <w:rPr>
          <w:rFonts w:asciiTheme="minorHAnsi" w:eastAsia="Calibri" w:hAnsiTheme="minorHAnsi" w:cstheme="minorHAnsi"/>
          <w:sz w:val="22"/>
          <w:szCs w:val="22"/>
        </w:rPr>
      </w:pPr>
      <w:bookmarkStart w:id="5" w:name="_Hlk46133556"/>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 xml:space="preserve">Razvrščanje, urejanje in predstavitev ponudb in vsebin ter druge besedilne, vizualne in zvočne oblike predstavitve, ki služijo iskanju ponudb in vsebin v uporabniških vmesnikih, so odločilnega pomena pri iskanju. </w:t>
      </w:r>
      <w:r>
        <w:rPr>
          <w:rFonts w:asciiTheme="minorHAnsi" w:hAnsiTheme="minorHAnsi"/>
          <w:sz w:val="22"/>
          <w:vertAlign w:val="superscript"/>
        </w:rPr>
        <w:t>2</w:t>
      </w:r>
      <w:r>
        <w:rPr>
          <w:rFonts w:asciiTheme="minorHAnsi" w:hAnsiTheme="minorHAnsi"/>
          <w:sz w:val="22"/>
        </w:rPr>
        <w:t xml:space="preserve">Ponudbe so posamezni radiodifuzni programi, elektronske komunikacijske in informacijske storitve, podobne radiodifuznim storitvam, ali elektronske komunikacijske in informacijske storitve v smislu oddelka 19(1) državne pogodbe o medijih kot tudi programsko zasnovane aplikacije v njihovi celoti, ki v svojem bistvu služijo neposrednemu nadzoru zgoraj omenjenih ponudb. </w:t>
      </w:r>
      <w:r>
        <w:rPr>
          <w:rFonts w:asciiTheme="minorHAnsi" w:hAnsiTheme="minorHAnsi"/>
          <w:sz w:val="22"/>
          <w:vertAlign w:val="superscript"/>
        </w:rPr>
        <w:t>3</w:t>
      </w:r>
      <w:r>
        <w:rPr>
          <w:rFonts w:asciiTheme="minorHAnsi" w:hAnsiTheme="minorHAnsi"/>
          <w:sz w:val="22"/>
        </w:rPr>
        <w:t>Vsebine so določljivi, zlasti ločeno imenovani ali zaznavni deli ponudb, kot so oddaje.</w:t>
      </w:r>
    </w:p>
    <w:p w:rsidR="00F57DE5" w:rsidRPr="00077B73" w:rsidRDefault="00F57DE5" w:rsidP="00F55623">
      <w:pPr>
        <w:spacing w:line="276" w:lineRule="auto"/>
        <w:rPr>
          <w:rFonts w:asciiTheme="minorHAnsi" w:eastAsia="Calibri" w:hAnsiTheme="minorHAnsi" w:cstheme="minorHAnsi"/>
          <w:sz w:val="22"/>
          <w:szCs w:val="22"/>
          <w:lang w:eastAsia="en-US"/>
        </w:rPr>
      </w:pPr>
    </w:p>
    <w:p w:rsidR="00F57DE5" w:rsidRPr="00077B73" w:rsidRDefault="00F55623" w:rsidP="00F55623">
      <w:pPr>
        <w:spacing w:line="276" w:lineRule="auto"/>
        <w:rPr>
          <w:rFonts w:asciiTheme="minorHAnsi" w:eastAsia="Calibri" w:hAnsiTheme="minorHAnsi" w:cstheme="minorHAnsi"/>
          <w:sz w:val="22"/>
          <w:szCs w:val="22"/>
        </w:rPr>
      </w:pPr>
      <w:r>
        <w:rPr>
          <w:rFonts w:asciiTheme="minorHAnsi" w:hAnsiTheme="minorHAnsi"/>
          <w:sz w:val="22"/>
        </w:rPr>
        <w:t>(2) Glede zahtev za iskanje in uporabo uporabniških vmesnikov je razumevanje povprečnega uporabnika, ki nima posebnega tehničnega znanja, odločilno v naslednjih predpisih.</w:t>
      </w:r>
      <w:bookmarkEnd w:id="5"/>
    </w:p>
    <w:p w:rsidR="00F57DE5" w:rsidRPr="00077B73" w:rsidRDefault="00F57DE5" w:rsidP="00F55623">
      <w:pPr>
        <w:spacing w:line="276" w:lineRule="auto"/>
        <w:rPr>
          <w:rFonts w:asciiTheme="minorHAnsi" w:eastAsia="Calibri" w:hAnsiTheme="minorHAnsi" w:cstheme="minorHAnsi"/>
          <w:sz w:val="22"/>
          <w:szCs w:val="22"/>
          <w:lang w:eastAsia="en-US"/>
        </w:rPr>
      </w:pPr>
    </w:p>
    <w:p w:rsidR="00F57DE5" w:rsidRPr="00077B73" w:rsidRDefault="00F55623" w:rsidP="00077B73">
      <w:pPr>
        <w:keepNext/>
        <w:spacing w:line="276" w:lineRule="auto"/>
        <w:rPr>
          <w:rFonts w:asciiTheme="minorHAnsi" w:eastAsia="Calibri" w:hAnsiTheme="minorHAnsi" w:cstheme="minorHAnsi"/>
          <w:sz w:val="22"/>
          <w:szCs w:val="22"/>
        </w:rPr>
      </w:pPr>
      <w:r>
        <w:rPr>
          <w:rFonts w:asciiTheme="minorHAnsi" w:hAnsiTheme="minorHAnsi"/>
          <w:sz w:val="22"/>
        </w:rPr>
        <w:t xml:space="preserve">(3) </w:t>
      </w:r>
      <w:r>
        <w:rPr>
          <w:rFonts w:asciiTheme="minorHAnsi" w:hAnsiTheme="minorHAnsi"/>
          <w:sz w:val="22"/>
          <w:vertAlign w:val="superscript"/>
        </w:rPr>
        <w:t>1</w:t>
      </w:r>
      <w:r>
        <w:rPr>
          <w:rFonts w:asciiTheme="minorHAnsi" w:hAnsiTheme="minorHAnsi"/>
          <w:sz w:val="22"/>
        </w:rPr>
        <w:t xml:space="preserve">Podobne ponudbe ali vsebine mora biti mogoče najti pod enakimi možnostmi in brez diskriminacije. </w:t>
      </w:r>
      <w:r>
        <w:rPr>
          <w:rFonts w:asciiTheme="minorHAnsi" w:hAnsiTheme="minorHAnsi"/>
          <w:sz w:val="22"/>
          <w:vertAlign w:val="superscript"/>
        </w:rPr>
        <w:t>2</w:t>
      </w:r>
      <w:r>
        <w:rPr>
          <w:rFonts w:asciiTheme="minorHAnsi" w:hAnsiTheme="minorHAnsi"/>
          <w:sz w:val="22"/>
        </w:rPr>
        <w:t xml:space="preserve">Neenako obravnavanje je dovoljeno le, če zanj obstaja preverljiv objektivni razlog, ki ni v nasprotju s ciljem zagotavljanja raznolikosti. </w:t>
      </w:r>
      <w:r>
        <w:rPr>
          <w:rFonts w:asciiTheme="minorHAnsi" w:hAnsiTheme="minorHAnsi"/>
          <w:sz w:val="22"/>
          <w:vertAlign w:val="superscript"/>
        </w:rPr>
        <w:t>3</w:t>
      </w:r>
      <w:r>
        <w:rPr>
          <w:rFonts w:asciiTheme="minorHAnsi" w:hAnsiTheme="minorHAnsi"/>
          <w:sz w:val="22"/>
        </w:rPr>
        <w:t>Dovoljena merila za razvrščanje ali urejanje ponudb in vsebin so zlasti:</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rPr>
        <w:t>abecedni red;</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rPr>
        <w:t>žanri, kot so informacije, izobraževanje, kultura, regionalni ali zabavni ali</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rPr>
        <w:t>obseg uporabe.</w:t>
      </w:r>
    </w:p>
    <w:p w:rsidR="002643CD" w:rsidRPr="00077B73" w:rsidRDefault="00C74DCA" w:rsidP="00077B73">
      <w:pPr>
        <w:keepNext/>
        <w:spacing w:line="276" w:lineRule="auto"/>
        <w:rPr>
          <w:rFonts w:asciiTheme="minorHAnsi" w:eastAsia="Calibri" w:hAnsiTheme="minorHAnsi" w:cstheme="minorHAnsi"/>
          <w:sz w:val="22"/>
          <w:szCs w:val="22"/>
        </w:rPr>
      </w:pPr>
      <w:r>
        <w:rPr>
          <w:rFonts w:asciiTheme="minorHAnsi" w:hAnsiTheme="minorHAnsi"/>
          <w:sz w:val="22"/>
          <w:vertAlign w:val="superscript"/>
        </w:rPr>
        <w:t>4</w:t>
      </w:r>
      <w:r>
        <w:rPr>
          <w:rFonts w:asciiTheme="minorHAnsi" w:hAnsiTheme="minorHAnsi"/>
          <w:sz w:val="22"/>
        </w:rPr>
        <w:t xml:space="preserve">Možnost nadaljnjega razvoja meril se ne spremeni. </w:t>
      </w:r>
      <w:r>
        <w:rPr>
          <w:rFonts w:asciiTheme="minorHAnsi" w:hAnsiTheme="minorHAnsi"/>
          <w:sz w:val="22"/>
          <w:vertAlign w:val="superscript"/>
        </w:rPr>
        <w:t>5</w:t>
      </w:r>
      <w:r>
        <w:rPr>
          <w:rFonts w:asciiTheme="minorHAnsi" w:hAnsiTheme="minorHAnsi"/>
          <w:sz w:val="22"/>
        </w:rPr>
        <w:t xml:space="preserve">Diskriminacija obstaja zlasti, če ponudnik uporabniškega vmesnika odstopa od lastnih dovoljenih meril. </w:t>
      </w:r>
      <w:r>
        <w:rPr>
          <w:rFonts w:asciiTheme="minorHAnsi" w:hAnsiTheme="minorHAnsi"/>
          <w:sz w:val="22"/>
          <w:vertAlign w:val="superscript"/>
        </w:rPr>
        <w:t>6</w:t>
      </w:r>
      <w:r>
        <w:rPr>
          <w:rFonts w:asciiTheme="minorHAnsi" w:hAnsiTheme="minorHAnsi"/>
          <w:sz w:val="22"/>
        </w:rPr>
        <w:t xml:space="preserve">Ponudnik mora deželnim medijskim zavodom zagotoviti, da so merila preverljiva in da so izpolnjena, zlasti tako, da podrobno pojasni, katera merila se uporabljajo in katere informacije so podlaga za to. </w:t>
      </w:r>
      <w:r>
        <w:rPr>
          <w:rFonts w:asciiTheme="minorHAnsi" w:hAnsiTheme="minorHAnsi"/>
          <w:sz w:val="22"/>
          <w:vertAlign w:val="superscript"/>
        </w:rPr>
        <w:t>7</w:t>
      </w:r>
      <w:r>
        <w:rPr>
          <w:rFonts w:asciiTheme="minorHAnsi" w:hAnsiTheme="minorHAnsi"/>
          <w:sz w:val="22"/>
        </w:rPr>
        <w:t xml:space="preserve">Praviloma ni dovoljeno: </w:t>
      </w:r>
    </w:p>
    <w:p w:rsidR="002643CD" w:rsidRPr="00077B73" w:rsidRDefault="002643CD" w:rsidP="002417C5">
      <w:pPr>
        <w:numPr>
          <w:ilvl w:val="0"/>
          <w:numId w:val="13"/>
        </w:numPr>
        <w:spacing w:after="200" w:line="276" w:lineRule="auto"/>
        <w:contextualSpacing/>
        <w:rPr>
          <w:rFonts w:ascii="Calibri" w:eastAsia="Calibri" w:hAnsi="Calibri"/>
          <w:sz w:val="22"/>
          <w:szCs w:val="22"/>
        </w:rPr>
      </w:pPr>
      <w:r>
        <w:rPr>
          <w:rFonts w:ascii="Calibri" w:hAnsi="Calibri"/>
          <w:sz w:val="22"/>
        </w:rPr>
        <w:t>razvrščanje ali urejanje, na katerega vpliva plačilo ali podobno nadomestilo; ali</w:t>
      </w:r>
    </w:p>
    <w:p w:rsidR="00F57DE5" w:rsidRPr="00077B73" w:rsidRDefault="002643CD" w:rsidP="002417C5">
      <w:pPr>
        <w:numPr>
          <w:ilvl w:val="0"/>
          <w:numId w:val="13"/>
        </w:numPr>
        <w:spacing w:after="200" w:line="276" w:lineRule="auto"/>
        <w:contextualSpacing/>
        <w:rPr>
          <w:rFonts w:ascii="Calibri" w:eastAsia="Calibri" w:hAnsi="Calibri"/>
          <w:sz w:val="22"/>
          <w:szCs w:val="22"/>
        </w:rPr>
      </w:pPr>
      <w:r>
        <w:rPr>
          <w:rFonts w:ascii="Calibri" w:hAnsi="Calibri"/>
          <w:sz w:val="22"/>
        </w:rPr>
        <w:t xml:space="preserve">favoriziranje ponudbe in vsebine ponudnika uporabniškega vmesnika, razen če je njihova uporaba plačljiva. </w:t>
      </w:r>
      <w:bookmarkStart w:id="6" w:name="_Hlk46133683"/>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C74DCA" w:rsidP="00C74DCA">
      <w:pPr>
        <w:spacing w:line="276" w:lineRule="auto"/>
        <w:rPr>
          <w:rFonts w:asciiTheme="minorHAnsi" w:eastAsia="Calibri" w:hAnsiTheme="minorHAnsi" w:cstheme="minorHAnsi"/>
          <w:sz w:val="22"/>
          <w:szCs w:val="22"/>
        </w:rPr>
      </w:pPr>
      <w:r>
        <w:rPr>
          <w:rFonts w:asciiTheme="minorHAnsi" w:hAnsiTheme="minorHAnsi"/>
          <w:sz w:val="22"/>
        </w:rPr>
        <w:t xml:space="preserve">(4) </w:t>
      </w:r>
      <w:r>
        <w:rPr>
          <w:rFonts w:asciiTheme="minorHAnsi" w:hAnsiTheme="minorHAnsi"/>
          <w:sz w:val="22"/>
          <w:vertAlign w:val="superscript"/>
        </w:rPr>
        <w:t>1</w:t>
      </w:r>
      <w:r>
        <w:rPr>
          <w:rFonts w:asciiTheme="minorHAnsi" w:hAnsiTheme="minorHAnsi"/>
          <w:sz w:val="22"/>
        </w:rPr>
        <w:t xml:space="preserve">Uporabniški vmesniki morajo omogočati iskanje določenih ponudb po celotni ponudbi (funkcija iskanja). </w:t>
      </w:r>
      <w:r>
        <w:rPr>
          <w:rFonts w:asciiTheme="minorHAnsi" w:hAnsiTheme="minorHAnsi"/>
          <w:sz w:val="22"/>
          <w:vertAlign w:val="superscript"/>
        </w:rPr>
        <w:t>2</w:t>
      </w:r>
      <w:r>
        <w:rPr>
          <w:rFonts w:asciiTheme="minorHAnsi" w:hAnsiTheme="minorHAnsi"/>
          <w:sz w:val="22"/>
        </w:rPr>
        <w:t xml:space="preserve">Rezultat iskanja, vključno s predlogi za iskanje med postopkom iskanja (npr. s funkcijo samodokončanja), mora biti nediskriminatoren. </w:t>
      </w:r>
      <w:r>
        <w:rPr>
          <w:rFonts w:asciiTheme="minorHAnsi" w:hAnsiTheme="minorHAnsi"/>
          <w:sz w:val="22"/>
          <w:vertAlign w:val="superscript"/>
        </w:rPr>
        <w:t>3</w:t>
      </w:r>
      <w:r>
        <w:rPr>
          <w:rFonts w:asciiTheme="minorHAnsi" w:hAnsiTheme="minorHAnsi"/>
          <w:sz w:val="22"/>
        </w:rPr>
        <w:t>Poleg tega lahko uporabniški vmesnik omogoča tudi iskanje po vsebini; ustrezno se uporablja prvi stavek odstavka 3.</w:t>
      </w:r>
      <w:bookmarkStart w:id="7" w:name="_Hlk46133701"/>
      <w:bookmarkEnd w:id="6"/>
    </w:p>
    <w:p w:rsidR="00F57DE5" w:rsidRPr="00077B73" w:rsidRDefault="00F57DE5" w:rsidP="00C74DCA">
      <w:pPr>
        <w:spacing w:line="276" w:lineRule="auto"/>
        <w:rPr>
          <w:rFonts w:asciiTheme="minorHAnsi" w:eastAsia="Calibri" w:hAnsiTheme="minorHAnsi" w:cstheme="minorHAnsi"/>
          <w:sz w:val="22"/>
          <w:szCs w:val="22"/>
          <w:lang w:eastAsia="en-US"/>
        </w:rPr>
      </w:pPr>
    </w:p>
    <w:p w:rsidR="00F57DE5" w:rsidRPr="00077B73" w:rsidRDefault="0060422A" w:rsidP="00C74DCA">
      <w:pPr>
        <w:spacing w:line="276" w:lineRule="auto"/>
        <w:rPr>
          <w:rFonts w:asciiTheme="minorHAnsi" w:eastAsia="Calibri" w:hAnsiTheme="minorHAnsi" w:cstheme="minorHAnsi"/>
          <w:sz w:val="22"/>
          <w:szCs w:val="22"/>
        </w:rPr>
      </w:pPr>
      <w:r>
        <w:rPr>
          <w:rFonts w:asciiTheme="minorHAnsi" w:hAnsiTheme="minorHAnsi"/>
          <w:sz w:val="22"/>
        </w:rPr>
        <w:t xml:space="preserve">(5) </w:t>
      </w:r>
      <w:r>
        <w:rPr>
          <w:rFonts w:asciiTheme="minorHAnsi" w:hAnsiTheme="minorHAnsi"/>
          <w:sz w:val="22"/>
          <w:vertAlign w:val="superscript"/>
        </w:rPr>
        <w:t>1</w:t>
      </w:r>
      <w:r>
        <w:rPr>
          <w:rFonts w:asciiTheme="minorHAnsi" w:hAnsiTheme="minorHAnsi"/>
          <w:sz w:val="22"/>
        </w:rPr>
        <w:t xml:space="preserve">Šteje se, da je ponudbe v uporabniških vmesnikih enostavno najti, če jih je mogoče najti hitro in preprosto, ker so npr. postavljene na začetek ali poudarjene, na primer z lastnim gumbom. </w:t>
      </w:r>
      <w:r>
        <w:rPr>
          <w:rFonts w:asciiTheme="minorHAnsi" w:hAnsiTheme="minorHAnsi"/>
          <w:sz w:val="22"/>
          <w:vertAlign w:val="superscript"/>
        </w:rPr>
        <w:t>2</w:t>
      </w:r>
      <w:r>
        <w:rPr>
          <w:rFonts w:asciiTheme="minorHAnsi" w:hAnsiTheme="minorHAnsi"/>
          <w:sz w:val="22"/>
        </w:rPr>
        <w:t xml:space="preserve">Kako enostavno je najti ponudbe in vsebine v posameznih primerih, je odvisno od načina, obsega in oblike uporabniškega vmesnika, pa tudi od posebne upodobitve ali druge predstavitve ponudb in vsebin. </w:t>
      </w:r>
      <w:r>
        <w:rPr>
          <w:rFonts w:asciiTheme="minorHAnsi" w:hAnsiTheme="minorHAnsi"/>
          <w:sz w:val="22"/>
          <w:vertAlign w:val="superscript"/>
        </w:rPr>
        <w:t>3</w:t>
      </w:r>
      <w:r>
        <w:rPr>
          <w:rFonts w:asciiTheme="minorHAnsi" w:hAnsiTheme="minorHAnsi"/>
          <w:sz w:val="22"/>
        </w:rPr>
        <w:t>Za lažje iskanje ustreznih ponudb je praviloma potrebno, vendar ne dovolj, da jih je mogoče najti enako enostavno in hitro kot druge ponudbe.</w:t>
      </w:r>
      <w:bookmarkEnd w:id="7"/>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C74DCA" w:rsidP="00077B73">
      <w:pPr>
        <w:keepNext/>
        <w:spacing w:line="276" w:lineRule="auto"/>
        <w:rPr>
          <w:rFonts w:asciiTheme="minorHAnsi" w:eastAsia="Calibri" w:hAnsiTheme="minorHAnsi" w:cstheme="minorHAnsi"/>
          <w:sz w:val="22"/>
          <w:szCs w:val="22"/>
        </w:rPr>
      </w:pPr>
      <w:bookmarkStart w:id="8" w:name="_Hlk46133741"/>
      <w:r>
        <w:rPr>
          <w:rFonts w:asciiTheme="minorHAnsi" w:hAnsiTheme="minorHAnsi"/>
          <w:sz w:val="22"/>
        </w:rPr>
        <w:lastRenderedPageBreak/>
        <w:t xml:space="preserve">(6) </w:t>
      </w:r>
      <w:r>
        <w:rPr>
          <w:rFonts w:asciiTheme="minorHAnsi" w:hAnsiTheme="minorHAnsi"/>
          <w:sz w:val="22"/>
          <w:vertAlign w:val="superscript"/>
        </w:rPr>
        <w:t>1</w:t>
      </w:r>
      <w:r>
        <w:rPr>
          <w:rFonts w:asciiTheme="minorHAnsi" w:hAnsiTheme="minorHAnsi"/>
          <w:sz w:val="22"/>
        </w:rPr>
        <w:t>V uporabniških vmesnikih mora biti enostavno najti naslednje:</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rPr>
        <w:t>radiodifuzijo v celoti na prvi ravni izbire, pod pogojem, da na tej ravni ni mogoče izbrati samo radiodifuznih programov;</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rPr>
        <w:t>znotraj radiodifuzije, zakonsko določene programe, ki se financirajo s prispevki, radiodifuzne programe, ki morajo vključiti okenske programe (oddelek 59(4) državne pogodbe o medijih), in zasebne programe, ki posebej prispevajo k raznolikosti mnenj in ponudb na zveznem ozemlju, in</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rPr>
        <w:t>na ravneh izbire, ki predstavljajo samo ali pretežno elektronske komunikacijske in informacijske storitve, podobne radiodifuznim storitvam, ali programske aplikacije, ki služijo njihovemu neposrednemu nadzoru, ponudbe elektronskih komunikacijskih in informacijskih storitev in programske aplikacije v skladu z oddelkom 84(4) državne pogodbe o medijih.</w:t>
      </w:r>
      <w:bookmarkEnd w:id="8"/>
    </w:p>
    <w:p w:rsidR="00F57DE5" w:rsidRPr="00077B73" w:rsidRDefault="0060422A" w:rsidP="0060422A">
      <w:pPr>
        <w:spacing w:line="276" w:lineRule="auto"/>
        <w:rPr>
          <w:rFonts w:asciiTheme="minorHAnsi" w:eastAsia="Calibri" w:hAnsiTheme="minorHAnsi" w:cstheme="minorHAnsi"/>
          <w:sz w:val="22"/>
          <w:szCs w:val="22"/>
        </w:rPr>
      </w:pPr>
      <w:r>
        <w:rPr>
          <w:rFonts w:asciiTheme="minorHAnsi" w:hAnsiTheme="minorHAnsi"/>
          <w:sz w:val="22"/>
          <w:vertAlign w:val="superscript"/>
        </w:rPr>
        <w:t>2</w:t>
      </w:r>
      <w:r>
        <w:rPr>
          <w:rFonts w:asciiTheme="minorHAnsi" w:hAnsiTheme="minorHAnsi"/>
          <w:sz w:val="22"/>
        </w:rPr>
        <w:t xml:space="preserve">Radiodifuzijo v svoji celoti mora biti mogoče doseči na prvi ravni izbire brez večjih vmesnih korakov, običajno le z enim dejanjem. </w:t>
      </w:r>
      <w:r>
        <w:rPr>
          <w:rFonts w:asciiTheme="minorHAnsi" w:hAnsiTheme="minorHAnsi"/>
          <w:sz w:val="22"/>
          <w:vertAlign w:val="superscript"/>
        </w:rPr>
        <w:t>3</w:t>
      </w:r>
      <w:r>
        <w:rPr>
          <w:rFonts w:asciiTheme="minorHAnsi" w:hAnsiTheme="minorHAnsi"/>
          <w:sz w:val="22"/>
        </w:rPr>
        <w:t>Če se vizualno ali zvočno predvajajo radiodifuzni programi, ki morajo vključiti okenske programe (oddelek 59(4)), se na območju, za katerega so dovoljeni ali zakonsko določeni okenski programi, prednostno predvajajo glavni programi z okenskim programom v primerjavi z glavnim programom, ki se predvaja brez okenskega programa, in v primerjavi z okenskimi programi, ki so dovoljeni ali zakonsko določeni za druga področja.</w:t>
      </w:r>
    </w:p>
    <w:p w:rsidR="0060422A" w:rsidRPr="00077B73" w:rsidRDefault="0060422A" w:rsidP="0060422A">
      <w:pPr>
        <w:spacing w:line="276" w:lineRule="auto"/>
        <w:rPr>
          <w:rFonts w:asciiTheme="minorHAnsi" w:eastAsia="Calibri" w:hAnsiTheme="minorHAnsi" w:cstheme="minorHAnsi"/>
          <w:sz w:val="22"/>
          <w:szCs w:val="22"/>
          <w:lang w:eastAsia="en-US"/>
        </w:rPr>
      </w:pPr>
    </w:p>
    <w:p w:rsidR="00F57DE5" w:rsidRPr="00077B73" w:rsidRDefault="00483146" w:rsidP="00483146">
      <w:pPr>
        <w:spacing w:line="276" w:lineRule="auto"/>
        <w:rPr>
          <w:rFonts w:asciiTheme="minorHAnsi" w:eastAsia="Calibri" w:hAnsiTheme="minorHAnsi" w:cstheme="minorHAnsi"/>
          <w:sz w:val="22"/>
          <w:szCs w:val="22"/>
        </w:rPr>
      </w:pPr>
      <w:bookmarkStart w:id="9" w:name="_Hlk46133783"/>
      <w:r>
        <w:rPr>
          <w:rFonts w:asciiTheme="minorHAnsi" w:hAnsiTheme="minorHAnsi"/>
          <w:sz w:val="22"/>
        </w:rPr>
        <w:t xml:space="preserve">(7) </w:t>
      </w:r>
      <w:r>
        <w:rPr>
          <w:rFonts w:asciiTheme="minorHAnsi" w:hAnsiTheme="minorHAnsi"/>
          <w:sz w:val="22"/>
          <w:vertAlign w:val="superscript"/>
        </w:rPr>
        <w:t>1</w:t>
      </w:r>
      <w:r>
        <w:rPr>
          <w:rFonts w:asciiTheme="minorHAnsi" w:hAnsiTheme="minorHAnsi"/>
          <w:sz w:val="22"/>
        </w:rPr>
        <w:t xml:space="preserve">Ne glede na privzete nastavitve morata biti uporabniku omogočena enostavno in hitro razvrščanje in urejanje ponudb in vsebin (npr. s pomočjo seznama priljubljenih). </w:t>
      </w:r>
      <w:r>
        <w:rPr>
          <w:rFonts w:asciiTheme="minorHAnsi" w:hAnsiTheme="minorHAnsi"/>
          <w:sz w:val="22"/>
          <w:vertAlign w:val="superscript"/>
        </w:rPr>
        <w:t>2</w:t>
      </w:r>
      <w:r>
        <w:rPr>
          <w:rFonts w:asciiTheme="minorHAnsi" w:hAnsiTheme="minorHAnsi"/>
          <w:sz w:val="22"/>
        </w:rPr>
        <w:t xml:space="preserve">Praviloma se lahko ponudbe ali vsebine enostavno in hitro razvrstijo in uredijo, če je to očitno ali obrazloženo na lahko razumljiv način. </w:t>
      </w:r>
      <w:r>
        <w:rPr>
          <w:rFonts w:asciiTheme="minorHAnsi" w:hAnsiTheme="minorHAnsi"/>
          <w:sz w:val="22"/>
          <w:vertAlign w:val="superscript"/>
        </w:rPr>
        <w:t>3</w:t>
      </w:r>
      <w:r>
        <w:rPr>
          <w:rFonts w:asciiTheme="minorHAnsi" w:hAnsiTheme="minorHAnsi"/>
          <w:sz w:val="22"/>
        </w:rPr>
        <w:t>Razvrščanje ali urejanje, ki ga opravi uporabnik, lahko spremeni samo on, nikakor ne s posodobitvami.</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483146" w:rsidP="00483146">
      <w:pPr>
        <w:spacing w:line="276" w:lineRule="auto"/>
        <w:rPr>
          <w:rFonts w:asciiTheme="minorHAnsi" w:eastAsia="Calibri" w:hAnsiTheme="minorHAnsi" w:cstheme="minorHAnsi"/>
          <w:sz w:val="22"/>
          <w:szCs w:val="22"/>
        </w:rPr>
      </w:pPr>
      <w:r>
        <w:rPr>
          <w:rFonts w:asciiTheme="minorHAnsi" w:hAnsiTheme="minorHAnsi"/>
          <w:sz w:val="22"/>
        </w:rPr>
        <w:t xml:space="preserve">(8) </w:t>
      </w:r>
      <w:r>
        <w:rPr>
          <w:rFonts w:asciiTheme="minorHAnsi" w:hAnsiTheme="minorHAnsi"/>
          <w:sz w:val="22"/>
          <w:vertAlign w:val="superscript"/>
        </w:rPr>
        <w:t>1</w:t>
      </w:r>
      <w:r>
        <w:rPr>
          <w:rFonts w:asciiTheme="minorHAnsi" w:hAnsiTheme="minorHAnsi"/>
          <w:sz w:val="22"/>
        </w:rPr>
        <w:t xml:space="preserve">Odstavki od 4 do 7 se ne uporabljajo, če ponudnik uporabniškega vmesnika dokaže, da je izvedba tehnično nemogoča ali možna le z nesorazmernimi vložki. </w:t>
      </w:r>
      <w:r>
        <w:rPr>
          <w:rFonts w:asciiTheme="minorHAnsi" w:hAnsiTheme="minorHAnsi"/>
          <w:sz w:val="22"/>
          <w:vertAlign w:val="superscript"/>
        </w:rPr>
        <w:t>2</w:t>
      </w:r>
      <w:r>
        <w:rPr>
          <w:rFonts w:asciiTheme="minorHAnsi" w:hAnsiTheme="minorHAnsi"/>
          <w:sz w:val="22"/>
        </w:rPr>
        <w:t>Odločilni dejavnik za določanje nesorazmernih vložkov je splošna ocena, pri kateri se upoštevajo zlasti finančna zmožnost ponudnika, vložek za druge funkcije uporabniškega vmesnika, ki služijo lažjemu iskanju, ter vrsta in obseg kršitve, storjene v primeru neizvedbe. Vložki so nesorazmerni le, če gre za veliko nesorazmerje.</w:t>
      </w:r>
    </w:p>
    <w:bookmarkEnd w:id="9"/>
    <w:p w:rsidR="00165009" w:rsidRPr="00077B73" w:rsidRDefault="00165009">
      <w:pPr>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sz w:val="22"/>
        </w:rPr>
        <w:t>Poglavje 5: Zahteve po preglednosti</w:t>
      </w:r>
    </w:p>
    <w:p w:rsidR="00F57DE5" w:rsidRPr="00077B73" w:rsidRDefault="00F57DE5" w:rsidP="00077B73">
      <w:pPr>
        <w:keepNext/>
        <w:spacing w:after="160" w:line="259" w:lineRule="auto"/>
        <w:contextualSpacing/>
        <w:jc w:val="center"/>
        <w:rPr>
          <w:rFonts w:asciiTheme="minorHAnsi" w:eastAsia="Calibri" w:hAnsiTheme="minorHAnsi" w:cstheme="minorHAnsi"/>
          <w:b/>
          <w:bCs/>
          <w:sz w:val="22"/>
          <w:szCs w:val="22"/>
          <w:lang w:eastAsia="en-US"/>
        </w:rPr>
      </w:pPr>
    </w:p>
    <w:p w:rsidR="00483146" w:rsidRPr="00077B73" w:rsidRDefault="00F57DE5" w:rsidP="00077B73">
      <w:pPr>
        <w:keepNext/>
        <w:spacing w:line="276" w:lineRule="auto"/>
        <w:jc w:val="center"/>
        <w:rPr>
          <w:rFonts w:ascii="Calibri" w:eastAsia="Calibri" w:hAnsi="Calibri"/>
          <w:b/>
          <w:sz w:val="22"/>
          <w:szCs w:val="22"/>
        </w:rPr>
      </w:pPr>
      <w:r>
        <w:rPr>
          <w:rFonts w:ascii="Calibri" w:hAnsi="Calibri"/>
          <w:b/>
          <w:sz w:val="22"/>
        </w:rPr>
        <w:t>Oddelek 11</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Preglednost</w:t>
      </w:r>
    </w:p>
    <w:p w:rsidR="00483146" w:rsidRPr="00077B73" w:rsidRDefault="00483146" w:rsidP="00077B73">
      <w:pPr>
        <w:keepNext/>
        <w:spacing w:line="276" w:lineRule="auto"/>
        <w:jc w:val="center"/>
        <w:rPr>
          <w:rFonts w:ascii="Calibri" w:eastAsia="Calibri" w:hAnsi="Calibri"/>
          <w:b/>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 xml:space="preserve">Ponudniki medijskih platform in uporabniških vmesnikov morajo poskrbeti za preglednost informacij v smislu oddelka 85 državne pogodbe o medijih. </w:t>
      </w:r>
      <w:r>
        <w:rPr>
          <w:rFonts w:asciiTheme="minorHAnsi" w:hAnsiTheme="minorHAnsi"/>
          <w:sz w:val="22"/>
          <w:vertAlign w:val="superscript"/>
        </w:rPr>
        <w:t>2</w:t>
      </w:r>
      <w:r>
        <w:rPr>
          <w:rFonts w:asciiTheme="minorHAnsi" w:hAnsiTheme="minorHAnsi"/>
          <w:sz w:val="22"/>
        </w:rPr>
        <w:t>Informacije je treba dati na razpolago v nemščini na tak način, da so uporabniku zlahka zaznavne ter neposredno in vedno dostopne.</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rPr>
        <w:t>(2) Glede zahtev za izvajanje zahtev po preglednosti je odločilno razumevanje povprečnega uporabnika, ki nima posebnega tehničnega znanja.</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bookmarkStart w:id="10" w:name="_Hlk46134451"/>
      <w:r>
        <w:rPr>
          <w:rFonts w:asciiTheme="minorHAnsi" w:hAnsiTheme="minorHAnsi"/>
          <w:sz w:val="22"/>
        </w:rPr>
        <w:t xml:space="preserve">(3) </w:t>
      </w:r>
      <w:r>
        <w:rPr>
          <w:rFonts w:asciiTheme="minorHAnsi" w:hAnsiTheme="minorHAnsi"/>
          <w:sz w:val="22"/>
          <w:vertAlign w:val="superscript"/>
        </w:rPr>
        <w:t>1</w:t>
      </w:r>
      <w:r>
        <w:rPr>
          <w:rFonts w:asciiTheme="minorHAnsi" w:hAnsiTheme="minorHAnsi"/>
          <w:sz w:val="22"/>
        </w:rPr>
        <w:t xml:space="preserve">Informacije so zlahka zaznavne, če jih je mogoče hitro in enostavno najti med uporabo medijske platforme ali uporabniškega vmesnika, saj so na primer poudarjene in označene z nedvoumnim izrazom. </w:t>
      </w:r>
      <w:r>
        <w:rPr>
          <w:rFonts w:asciiTheme="minorHAnsi" w:hAnsiTheme="minorHAnsi"/>
          <w:sz w:val="22"/>
          <w:vertAlign w:val="superscript"/>
        </w:rPr>
        <w:t>2</w:t>
      </w:r>
      <w:r>
        <w:rPr>
          <w:rFonts w:asciiTheme="minorHAnsi" w:hAnsiTheme="minorHAnsi"/>
          <w:sz w:val="22"/>
        </w:rPr>
        <w:t xml:space="preserve">Poseben dizajn, ki zagotavlja enostavno zaznavnost, je treba izdelati glede na vrsto, obseg in drugo obliko storitve. </w:t>
      </w:r>
      <w:r>
        <w:rPr>
          <w:rFonts w:asciiTheme="minorHAnsi" w:hAnsiTheme="minorHAnsi"/>
          <w:sz w:val="22"/>
          <w:vertAlign w:val="superscript"/>
        </w:rPr>
        <w:t>3</w:t>
      </w:r>
      <w:r>
        <w:rPr>
          <w:rFonts w:asciiTheme="minorHAnsi" w:hAnsiTheme="minorHAnsi"/>
          <w:sz w:val="22"/>
        </w:rPr>
        <w:t xml:space="preserve">Če je uporaba storitve pretežno glasovno nadzorovana, je treba informacije </w:t>
      </w:r>
      <w:r>
        <w:rPr>
          <w:rFonts w:asciiTheme="minorHAnsi" w:hAnsiTheme="minorHAnsi"/>
          <w:sz w:val="22"/>
        </w:rPr>
        <w:lastRenderedPageBreak/>
        <w:t>na zahtevo uporabnika reproducirati tudi zvočno, pri čemer zadošča zvočna opomba, kje so shranjene informacije.</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bookmarkStart w:id="11" w:name="_Hlk46134475"/>
      <w:bookmarkEnd w:id="10"/>
      <w:r>
        <w:rPr>
          <w:rFonts w:asciiTheme="minorHAnsi" w:hAnsiTheme="minorHAnsi"/>
          <w:sz w:val="22"/>
        </w:rPr>
        <w:t xml:space="preserve">(4) </w:t>
      </w:r>
      <w:r>
        <w:rPr>
          <w:rFonts w:asciiTheme="minorHAnsi" w:hAnsiTheme="minorHAnsi"/>
          <w:sz w:val="22"/>
          <w:vertAlign w:val="superscript"/>
        </w:rPr>
        <w:t>1</w:t>
      </w:r>
      <w:r>
        <w:rPr>
          <w:rFonts w:asciiTheme="minorHAnsi" w:hAnsiTheme="minorHAnsi"/>
          <w:sz w:val="22"/>
        </w:rPr>
        <w:t xml:space="preserve">Informacije so neposredno dostopne, če so na voljo tako, da je do njih mogoče dostopati znotraj medijske platforme ali uporabniškega vmesnika brez večjih vmesnih korakov. </w:t>
      </w:r>
      <w:r>
        <w:rPr>
          <w:rFonts w:asciiTheme="minorHAnsi" w:hAnsiTheme="minorHAnsi"/>
          <w:sz w:val="22"/>
          <w:vertAlign w:val="superscript"/>
        </w:rPr>
        <w:t>2</w:t>
      </w:r>
      <w:r>
        <w:rPr>
          <w:rFonts w:asciiTheme="minorHAnsi" w:hAnsiTheme="minorHAnsi"/>
          <w:sz w:val="22"/>
        </w:rPr>
        <w:t>Če se storitev uporablja prek interneta, se lahko to izvede tudi s povezavo.</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rPr>
        <w:t>(5) Informacije so vedno dostopne, če so dostopne trajno in brez kakršne koli časovne omejitve.</w:t>
      </w:r>
    </w:p>
    <w:p w:rsidR="00F33BCA" w:rsidRPr="00077B73" w:rsidRDefault="00F33BCA" w:rsidP="00490C3B">
      <w:pPr>
        <w:spacing w:line="276" w:lineRule="auto"/>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sz w:val="22"/>
        </w:rPr>
        <w:t>Poglavje 6: Postopkovni predpisi</w:t>
      </w:r>
    </w:p>
    <w:p w:rsidR="00F57DE5" w:rsidRPr="00077B73" w:rsidRDefault="00F57DE5" w:rsidP="00077B73">
      <w:pPr>
        <w:keepNext/>
        <w:spacing w:after="160" w:line="259" w:lineRule="auto"/>
        <w:ind w:left="360"/>
        <w:contextualSpacing/>
        <w:jc w:val="center"/>
        <w:rPr>
          <w:rFonts w:asciiTheme="minorHAnsi" w:eastAsia="Calibri" w:hAnsiTheme="minorHAnsi" w:cstheme="minorHAnsi"/>
          <w:sz w:val="22"/>
          <w:szCs w:val="22"/>
          <w:lang w:eastAsia="en-US"/>
        </w:rPr>
      </w:pPr>
    </w:p>
    <w:bookmarkEnd w:id="11"/>
    <w:p w:rsidR="00BF13E2" w:rsidRPr="00077B73" w:rsidRDefault="00F57DE5" w:rsidP="00077B73">
      <w:pPr>
        <w:keepNext/>
        <w:spacing w:line="276" w:lineRule="auto"/>
        <w:jc w:val="center"/>
        <w:rPr>
          <w:rFonts w:ascii="Calibri" w:eastAsia="Calibri" w:hAnsi="Calibri"/>
          <w:b/>
          <w:sz w:val="22"/>
          <w:szCs w:val="22"/>
        </w:rPr>
      </w:pPr>
      <w:r>
        <w:rPr>
          <w:rFonts w:ascii="Calibri" w:hAnsi="Calibri"/>
          <w:b/>
          <w:sz w:val="22"/>
        </w:rPr>
        <w:t>Oddelek 12</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ZAK</w:t>
      </w:r>
    </w:p>
    <w:p w:rsidR="00BF13E2" w:rsidRPr="00077B73" w:rsidRDefault="00BF13E2" w:rsidP="00077B73">
      <w:pPr>
        <w:keepNext/>
        <w:spacing w:line="276" w:lineRule="auto"/>
        <w:jc w:val="center"/>
        <w:rPr>
          <w:rFonts w:ascii="Calibri" w:eastAsia="Calibri" w:hAnsi="Calibri"/>
          <w:b/>
          <w:sz w:val="22"/>
          <w:szCs w:val="22"/>
          <w:lang w:eastAsia="en-US"/>
        </w:rPr>
      </w:pPr>
    </w:p>
    <w:p w:rsidR="00F57DE5" w:rsidRPr="00077B73" w:rsidRDefault="00BF13E2" w:rsidP="00BF13E2">
      <w:pPr>
        <w:spacing w:line="276" w:lineRule="auto"/>
        <w:rPr>
          <w:rFonts w:asciiTheme="minorHAnsi" w:eastAsia="Calibri" w:hAnsiTheme="minorHAnsi" w:cstheme="minorHAnsi"/>
          <w:sz w:val="22"/>
          <w:szCs w:val="22"/>
        </w:rPr>
      </w:pPr>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 xml:space="preserve">Komisija za odobritev in nadzor (Kommission für Zulassung und Aufsicht – ZAK) pristojnega deželnega medijskega zavoda služi kot organ za naloge, ki jih je treba izpolniti v okviru tega statuta (točka 1 prvega stavka oddelka 104(2), točki 8 in 9 prvega stavka oddelka 105(1) državne pogodbe o medijih v povezavi s pravilnikom o poslovanju in postopkih ZAK – GVO ZAK). </w:t>
      </w:r>
      <w:r>
        <w:rPr>
          <w:rFonts w:asciiTheme="minorHAnsi" w:hAnsiTheme="minorHAnsi"/>
          <w:sz w:val="22"/>
        </w:rPr>
        <w:br/>
      </w:r>
      <w:r>
        <w:rPr>
          <w:rFonts w:asciiTheme="minorHAnsi" w:hAnsiTheme="minorHAnsi"/>
          <w:sz w:val="22"/>
          <w:vertAlign w:val="superscript"/>
        </w:rPr>
        <w:t>2</w:t>
      </w:r>
      <w:r>
        <w:rPr>
          <w:rFonts w:asciiTheme="minorHAnsi" w:hAnsiTheme="minorHAnsi"/>
          <w:sz w:val="22"/>
        </w:rPr>
        <w:t>Tretji stavek oddelka 81(5) v povezavi s točko 2 prvega stavka oddelka 105(2) državne pogodbe o medijih ostane nespremenjen.</w:t>
      </w:r>
    </w:p>
    <w:p w:rsidR="00F57DE5" w:rsidRPr="00077B73" w:rsidRDefault="00F57DE5" w:rsidP="00BF13E2">
      <w:pPr>
        <w:spacing w:line="276" w:lineRule="auto"/>
        <w:rPr>
          <w:rFonts w:asciiTheme="minorHAnsi" w:eastAsia="Calibri" w:hAnsiTheme="minorHAnsi" w:cstheme="minorHAnsi"/>
          <w:sz w:val="22"/>
          <w:szCs w:val="22"/>
          <w:lang w:eastAsia="en-US"/>
        </w:rPr>
      </w:pPr>
    </w:p>
    <w:p w:rsidR="00F57DE5" w:rsidRPr="00077B73" w:rsidRDefault="00BF13E2" w:rsidP="00BF13E2">
      <w:pPr>
        <w:spacing w:line="276" w:lineRule="auto"/>
        <w:rPr>
          <w:rFonts w:asciiTheme="minorHAnsi" w:eastAsia="Calibri" w:hAnsiTheme="minorHAnsi" w:cstheme="minorHAnsi"/>
          <w:sz w:val="22"/>
          <w:szCs w:val="22"/>
        </w:rPr>
      </w:pPr>
      <w:r>
        <w:rPr>
          <w:rFonts w:asciiTheme="minorHAnsi" w:hAnsiTheme="minorHAnsi"/>
          <w:sz w:val="22"/>
        </w:rPr>
        <w:t xml:space="preserve">(2) </w:t>
      </w:r>
      <w:r>
        <w:rPr>
          <w:rFonts w:asciiTheme="minorHAnsi" w:hAnsiTheme="minorHAnsi"/>
          <w:sz w:val="22"/>
          <w:vertAlign w:val="superscript"/>
        </w:rPr>
        <w:t>1</w:t>
      </w:r>
      <w:r>
        <w:rPr>
          <w:rFonts w:asciiTheme="minorHAnsi" w:hAnsiTheme="minorHAnsi"/>
          <w:sz w:val="22"/>
        </w:rPr>
        <w:t xml:space="preserve">Pristojni deželni medijski zavod prijave v skladu z oddelkom 2 in pritožbe v skladu z oddelkom 14 posreduje takoj prek skupne pisarne na Komisijo za odobritev in nadzor in jo obvesti o pregledih po uradni dolžnosti. </w:t>
      </w:r>
      <w:r>
        <w:rPr>
          <w:rFonts w:asciiTheme="minorHAnsi" w:hAnsiTheme="minorHAnsi"/>
          <w:sz w:val="22"/>
          <w:vertAlign w:val="superscript"/>
        </w:rPr>
        <w:t>2</w:t>
      </w:r>
      <w:r>
        <w:rPr>
          <w:rFonts w:asciiTheme="minorHAnsi" w:hAnsiTheme="minorHAnsi"/>
          <w:sz w:val="22"/>
        </w:rPr>
        <w:t xml:space="preserve">Pristojni deželni medijski zavod vodi postopek, dokler ni pripravljen na odločitev. </w:t>
      </w:r>
    </w:p>
    <w:p w:rsidR="00F702A0" w:rsidRPr="00077B73" w:rsidRDefault="00F702A0" w:rsidP="009F46B5">
      <w:pPr>
        <w:spacing w:line="276" w:lineRule="auto"/>
        <w:jc w:val="center"/>
        <w:rPr>
          <w:rFonts w:ascii="Calibri" w:eastAsia="Calibri" w:hAnsi="Calibri"/>
          <w:b/>
          <w:sz w:val="22"/>
          <w:szCs w:val="22"/>
          <w:lang w:eastAsia="en-US"/>
        </w:rPr>
      </w:pPr>
    </w:p>
    <w:p w:rsidR="009F46B5" w:rsidRPr="00077B73" w:rsidRDefault="00F57DE5" w:rsidP="00077B73">
      <w:pPr>
        <w:keepNext/>
        <w:spacing w:line="276" w:lineRule="auto"/>
        <w:jc w:val="center"/>
        <w:rPr>
          <w:rFonts w:ascii="Calibri" w:eastAsia="Calibri" w:hAnsi="Calibri"/>
          <w:b/>
          <w:sz w:val="22"/>
          <w:szCs w:val="22"/>
        </w:rPr>
      </w:pPr>
      <w:r>
        <w:rPr>
          <w:rFonts w:ascii="Calibri" w:hAnsi="Calibri"/>
          <w:b/>
          <w:sz w:val="22"/>
        </w:rPr>
        <w:t xml:space="preserve">Oddelek 13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Postopek</w:t>
      </w:r>
    </w:p>
    <w:p w:rsidR="009F46B5" w:rsidRPr="00077B73" w:rsidRDefault="009F46B5" w:rsidP="00077B73">
      <w:pPr>
        <w:keepNext/>
        <w:spacing w:line="276" w:lineRule="auto"/>
        <w:jc w:val="center"/>
        <w:rPr>
          <w:rFonts w:ascii="Calibri" w:eastAsia="Calibri" w:hAnsi="Calibri"/>
          <w:b/>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rPr>
        <w:t>(1) Pristojni deželni medijski zavod prek Komisije za odobritev in nadzor na podlagi pritožbe pooblaščene osebe v skladu z oddelkom 14 ali po uradni dolžnosti preveri, ali ponudnik medijske platforme ali uporabniškega vmesnika izpolnjuje določbe oddelkov od 79 do 85 državne pogodbe o medijih ali oddelkov od 2 do 6, 10 in 11 tega statuta.</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rPr>
        <w:t>(2) Če obstajajo konkretni znaki kršitve, je ponudnik medijske platforme ali uporabniškega vmesnika dolžan informacije in dokumente, potrebne za preverjanje, nemudoma predložiti pristojnemu deželnemu medijskemu zavodu.</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rPr>
        <w:t xml:space="preserve">(3) </w:t>
      </w:r>
      <w:r>
        <w:rPr>
          <w:rFonts w:asciiTheme="minorHAnsi" w:hAnsiTheme="minorHAnsi"/>
          <w:sz w:val="22"/>
          <w:vertAlign w:val="superscript"/>
        </w:rPr>
        <w:t>1</w:t>
      </w:r>
      <w:r>
        <w:rPr>
          <w:rFonts w:asciiTheme="minorHAnsi" w:hAnsiTheme="minorHAnsi"/>
          <w:sz w:val="22"/>
        </w:rPr>
        <w:t xml:space="preserve">Če pristojni deželni medijski zavod odkrije kršitev prek Komisije za odobritev in nadzor v skladu z odstavkom 1, lahko ponudniku medijske platforme ali uporabniškega vmesnika omogoči, da kršitev odpravi, in v zvezi s tem določi razumni rok. </w:t>
      </w:r>
      <w:r>
        <w:rPr>
          <w:rFonts w:asciiTheme="minorHAnsi" w:hAnsiTheme="minorHAnsi"/>
          <w:sz w:val="22"/>
          <w:vertAlign w:val="superscript"/>
        </w:rPr>
        <w:t>2</w:t>
      </w:r>
      <w:r>
        <w:rPr>
          <w:rFonts w:asciiTheme="minorHAnsi" w:hAnsiTheme="minorHAnsi"/>
          <w:sz w:val="22"/>
        </w:rPr>
        <w:t>Če zakonske zahteve po tem še vedno niso izpolnjene, pristojni deželni medijski zavod z odločbo Komisije za odobritev in nadzor ter, v primerih iz tretjega stavka oddelka 81(5) državne pogodbe o medijih, z odločbo Konference predsednika upravnega odbora (Gremienvorsitzendenkonferenz – GVK) sprejme ukrepe, ki se zahtevajo v skladu z oddelkom 109(1) državne pogodbe o medijih.</w:t>
      </w:r>
    </w:p>
    <w:p w:rsidR="00F57DE5" w:rsidRPr="00077B73" w:rsidRDefault="00F57DE5" w:rsidP="00A16C12">
      <w:pPr>
        <w:spacing w:line="276" w:lineRule="auto"/>
        <w:jc w:val="center"/>
        <w:rPr>
          <w:rFonts w:ascii="Calibri" w:eastAsia="Calibri" w:hAnsi="Calibri"/>
          <w:b/>
          <w:sz w:val="22"/>
          <w:szCs w:val="22"/>
          <w:lang w:eastAsia="en-US"/>
        </w:rPr>
      </w:pPr>
    </w:p>
    <w:p w:rsidR="00A16C12" w:rsidRPr="00077B73" w:rsidRDefault="00F57DE5" w:rsidP="00077B73">
      <w:pPr>
        <w:keepNext/>
        <w:spacing w:line="276" w:lineRule="auto"/>
        <w:jc w:val="center"/>
        <w:rPr>
          <w:rFonts w:ascii="Calibri" w:eastAsia="Calibri" w:hAnsi="Calibri"/>
          <w:b/>
          <w:sz w:val="22"/>
          <w:szCs w:val="22"/>
        </w:rPr>
      </w:pPr>
      <w:r>
        <w:rPr>
          <w:rFonts w:ascii="Calibri" w:hAnsi="Calibri"/>
          <w:b/>
          <w:sz w:val="22"/>
        </w:rPr>
        <w:lastRenderedPageBreak/>
        <w:t>Oddelek 14</w:t>
      </w:r>
    </w:p>
    <w:p w:rsidR="00F57DE5" w:rsidRPr="00077B73" w:rsidRDefault="00F57DE5" w:rsidP="00077B73">
      <w:pPr>
        <w:keepNext/>
        <w:spacing w:line="276" w:lineRule="auto"/>
        <w:jc w:val="center"/>
        <w:rPr>
          <w:rFonts w:asciiTheme="minorHAnsi" w:eastAsia="Calibri" w:hAnsiTheme="minorHAnsi" w:cstheme="minorHAnsi"/>
          <w:b/>
          <w:bCs/>
          <w:sz w:val="22"/>
          <w:szCs w:val="22"/>
        </w:rPr>
      </w:pPr>
      <w:r>
        <w:rPr>
          <w:b/>
          <w:sz w:val="22"/>
        </w:rPr>
        <w:t>Pritožbe v okviru nadzora</w:t>
      </w:r>
    </w:p>
    <w:p w:rsidR="00A16C12" w:rsidRPr="00077B73" w:rsidRDefault="00A16C12" w:rsidP="00077B73">
      <w:pPr>
        <w:keepNext/>
        <w:spacing w:line="276" w:lineRule="auto"/>
        <w:jc w:val="center"/>
        <w:rPr>
          <w:rFonts w:asciiTheme="minorHAnsi" w:eastAsia="Calibri" w:hAnsiTheme="minorHAnsi" w:cstheme="minorHAnsi"/>
          <w:b/>
          <w:bCs/>
          <w:sz w:val="22"/>
          <w:szCs w:val="22"/>
          <w:lang w:eastAsia="en-US"/>
        </w:rPr>
      </w:pPr>
    </w:p>
    <w:p w:rsidR="00F57DE5" w:rsidRPr="00077B73" w:rsidRDefault="00A16C12" w:rsidP="00077B73">
      <w:pPr>
        <w:keepNext/>
        <w:spacing w:line="276" w:lineRule="auto"/>
        <w:rPr>
          <w:rFonts w:asciiTheme="minorHAnsi" w:eastAsia="Calibri" w:hAnsiTheme="minorHAnsi" w:cstheme="minorHAnsi"/>
          <w:sz w:val="22"/>
          <w:szCs w:val="22"/>
        </w:rPr>
      </w:pPr>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Pravico do vložitve pritožbe imajo ponudniki radiodifuznih programov, elektronskih komunikacijskih in informacijskih storitev, podobnih radiodifuznim storitvam, ali elektronskih komunikacijskih in informacijskih storitev v skladu z oddelkom 19(1) državne pogodbe o medijih, ki:</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rPr>
        <w:t xml:space="preserve">se distribuirajo na medijski platformi, ali </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rPr>
        <w:t>zahtevajo dostop do medijske platforme, da bi ponujali ali tržili radiodifuzne programe, elektronske komunikacijske in informacijske storitve, podobne radiodifuznim storitvam, ali elektronske komunikacijske in informacijske storitve v skladu z oddelkom 19(1) državne pogodbe o medijih, ali</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rPr>
        <w:t>nanje vpliva prikaz v uporabniških vmesnikih v smislu oddelka 2(2)(15) državne pogodbe o medijih.</w:t>
      </w:r>
    </w:p>
    <w:p w:rsidR="00F57DE5" w:rsidRPr="00077B73" w:rsidRDefault="00A16C12" w:rsidP="00F57DE5">
      <w:pPr>
        <w:spacing w:after="160" w:line="259" w:lineRule="auto"/>
        <w:contextualSpacing/>
        <w:jc w:val="both"/>
        <w:rPr>
          <w:rFonts w:asciiTheme="minorHAnsi" w:eastAsia="Calibri" w:hAnsiTheme="minorHAnsi" w:cstheme="minorHAnsi"/>
          <w:sz w:val="22"/>
          <w:szCs w:val="22"/>
        </w:rPr>
      </w:pPr>
      <w:r>
        <w:rPr>
          <w:rFonts w:asciiTheme="minorHAnsi" w:hAnsiTheme="minorHAnsi"/>
          <w:sz w:val="22"/>
          <w:vertAlign w:val="superscript"/>
        </w:rPr>
        <w:t>2</w:t>
      </w:r>
      <w:r>
        <w:rPr>
          <w:rFonts w:asciiTheme="minorHAnsi" w:hAnsiTheme="minorHAnsi"/>
          <w:sz w:val="22"/>
        </w:rPr>
        <w:t>Toženi so lahko ponudniki medijskih platform v skladu z oddelkom 2(2)(19) državne pogodbe o medijih in ponudniki uporabniških vmesnikov v skladu z oddelkom 2(2)(20) državne pogodbe o medijih.</w:t>
      </w:r>
    </w:p>
    <w:p w:rsidR="00F57DE5" w:rsidRPr="00077B73" w:rsidRDefault="00F57DE5" w:rsidP="00F57DE5">
      <w:pPr>
        <w:spacing w:after="160" w:line="259" w:lineRule="auto"/>
        <w:contextualSpacing/>
        <w:jc w:val="both"/>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rPr>
        <w:t>(2) Strani, ki so upravičene do vložitve pritožbe v skladu z odstavkom 1, se lahko pisno obrnejo na pristojni deželni medijski zavod, pri čemer navedejo konkretne znake za obstoj kršitve določb oddelkov od 80 do 84 državne pogodbe o medijih ali oddelkov od 3 do 6 in 10 tega statuta ter pojasnijo dejstva, na katerih temelji pritožba.</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rPr>
        <w:t>(3) Ob vložitvi pritožbe morajo strani, ki so upravičene do vložitve pritožbe, pojasniti in dokazati, da so si prizadevale razjasniti sporno stališče s ponudnikom medijske platforme ali uporabniškega vmesnika.</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rPr>
        <w:t xml:space="preserve">(4) </w:t>
      </w:r>
      <w:r>
        <w:rPr>
          <w:rFonts w:asciiTheme="minorHAnsi" w:hAnsiTheme="minorHAnsi"/>
          <w:sz w:val="22"/>
          <w:vertAlign w:val="superscript"/>
        </w:rPr>
        <w:t>1</w:t>
      </w:r>
      <w:r>
        <w:rPr>
          <w:rFonts w:asciiTheme="minorHAnsi" w:hAnsiTheme="minorHAnsi"/>
          <w:sz w:val="22"/>
        </w:rPr>
        <w:t xml:space="preserve">Pristojni deželni medijski zavod lahko najprej poskusi poiskati ustrezno rešitev med vpletenimi. </w:t>
      </w:r>
      <w:r>
        <w:rPr>
          <w:rFonts w:asciiTheme="minorHAnsi" w:hAnsiTheme="minorHAnsi"/>
          <w:sz w:val="22"/>
          <w:vertAlign w:val="superscript"/>
        </w:rPr>
        <w:t>2</w:t>
      </w:r>
      <w:r>
        <w:rPr>
          <w:rFonts w:asciiTheme="minorHAnsi" w:hAnsiTheme="minorHAnsi"/>
          <w:sz w:val="22"/>
        </w:rPr>
        <w:t>V primerih iz oddelka 83(3) državne pogodbe o medijih mora pristojni deželni medijski organ opraviti mediacijo pred pritožbenim postopkom.</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rPr>
        <w:t>(5) Kar zadeva sisteme s pogojnim dostopom in vmesnike za aplikacijske programe, pristojni deželni medijski zavod pritožbo v okviru postopka, dogovorjenega z Zvezno agencijo za omrežja (BNetzA) (opis postopka z dne 20. aprila 2010), posreduje Zvezni agenciji za omrežja, kjer se postopek vodi.</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rPr>
        <w:t xml:space="preserve">(6) </w:t>
      </w:r>
      <w:r>
        <w:rPr>
          <w:rFonts w:asciiTheme="minorHAnsi" w:hAnsiTheme="minorHAnsi"/>
          <w:sz w:val="22"/>
          <w:vertAlign w:val="superscript"/>
        </w:rPr>
        <w:t>1</w:t>
      </w:r>
      <w:r>
        <w:rPr>
          <w:rFonts w:asciiTheme="minorHAnsi" w:hAnsiTheme="minorHAnsi"/>
          <w:sz w:val="22"/>
        </w:rPr>
        <w:t xml:space="preserve">Pritožba mora biti naslovljena na deželni medijski zavod, pri katerem je prijavljena medijska platforma ali uporabniški vmesnik. </w:t>
      </w:r>
      <w:r>
        <w:rPr>
          <w:rFonts w:asciiTheme="minorHAnsi" w:hAnsiTheme="minorHAnsi"/>
          <w:sz w:val="22"/>
          <w:vertAlign w:val="superscript"/>
        </w:rPr>
        <w:t>2</w:t>
      </w:r>
      <w:r>
        <w:rPr>
          <w:rFonts w:asciiTheme="minorHAnsi" w:hAnsiTheme="minorHAnsi"/>
          <w:sz w:val="22"/>
        </w:rPr>
        <w:t>Če v času pritožbe ni nobene prijave, se za ponudbe, usmerjene na vso državo, ustrezno uporablja oddelek 106(1) državne pogodbe o medijih.</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7C685D" w:rsidRPr="00077B73" w:rsidRDefault="00F57DE5" w:rsidP="00077B73">
      <w:pPr>
        <w:keepNext/>
        <w:spacing w:line="276" w:lineRule="auto"/>
        <w:jc w:val="center"/>
        <w:rPr>
          <w:rFonts w:ascii="Calibri" w:eastAsia="Calibri" w:hAnsi="Calibri"/>
          <w:b/>
          <w:sz w:val="22"/>
          <w:szCs w:val="22"/>
        </w:rPr>
      </w:pPr>
      <w:r>
        <w:rPr>
          <w:rFonts w:ascii="Calibri" w:hAnsi="Calibri"/>
          <w:b/>
          <w:sz w:val="22"/>
        </w:rPr>
        <w:t xml:space="preserve">Oddelek 15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Izdaja potrdila o odobritvi v skladu z oddelkom 87 državne pogodbe o medijih</w:t>
      </w:r>
    </w:p>
    <w:p w:rsidR="00F57DE5" w:rsidRPr="00077B73" w:rsidRDefault="00F57DE5" w:rsidP="00077B73">
      <w:pPr>
        <w:keepNext/>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 xml:space="preserve">Če je vložena prošnja za potrdilo o odobritvi v skladu s prvim stavkom oddelka 87 državne pogodbe o medijih, pristojni deželni medijski zavod obvesti ponudnike privilegiranih ponudb v skladu z drugim stavkom oddelka 84(3) in oddelkom 84(4) državne pogodbe o medijih o začetku postopka. </w:t>
      </w:r>
      <w:r>
        <w:rPr>
          <w:rFonts w:asciiTheme="minorHAnsi" w:hAnsiTheme="minorHAnsi"/>
          <w:sz w:val="22"/>
          <w:vertAlign w:val="superscript"/>
        </w:rPr>
        <w:t>2</w:t>
      </w:r>
      <w:r>
        <w:rPr>
          <w:rFonts w:asciiTheme="minorHAnsi" w:hAnsiTheme="minorHAnsi"/>
          <w:sz w:val="22"/>
        </w:rPr>
        <w:t>Informacije je mogoče zagotoviti v elektronski obliki.</w:t>
      </w:r>
    </w:p>
    <w:p w:rsidR="00F57DE5" w:rsidRPr="00077B73" w:rsidRDefault="00F57DE5" w:rsidP="007C685D">
      <w:pPr>
        <w:spacing w:line="276" w:lineRule="auto"/>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rPr>
        <w:lastRenderedPageBreak/>
        <w:t xml:space="preserve">(2) Pristojni deželni medijski zavod prošnjo prek skupne pisarne posreduje Komisiji za odobritev in nadzor. Pristojni deželni medijski zavod vodi postopek, dokler ni pripravljen na odločitev. </w:t>
      </w:r>
    </w:p>
    <w:p w:rsidR="00F57DE5" w:rsidRPr="00077B73" w:rsidRDefault="00F57DE5" w:rsidP="007C685D">
      <w:pPr>
        <w:spacing w:line="276" w:lineRule="auto"/>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rPr>
        <w:t xml:space="preserve">(3) </w:t>
      </w:r>
      <w:r>
        <w:rPr>
          <w:rFonts w:asciiTheme="minorHAnsi" w:hAnsiTheme="minorHAnsi"/>
          <w:sz w:val="22"/>
          <w:vertAlign w:val="superscript"/>
        </w:rPr>
        <w:t>1</w:t>
      </w:r>
      <w:r>
        <w:rPr>
          <w:rFonts w:asciiTheme="minorHAnsi" w:hAnsiTheme="minorHAnsi"/>
          <w:sz w:val="22"/>
        </w:rPr>
        <w:t xml:space="preserve">V obdobju veljavnosti potrdila o odobritvi mora ponudnik medijske platforme ali uporabniškega vmesnika obvestiti pristojni deželni medijski zavod o vseh pomembnih spremembah na medijski platformi ali uporabniškem vmesniku. </w:t>
      </w:r>
      <w:r>
        <w:rPr>
          <w:rFonts w:asciiTheme="minorHAnsi" w:hAnsiTheme="minorHAnsi"/>
          <w:sz w:val="22"/>
          <w:vertAlign w:val="superscript"/>
        </w:rPr>
        <w:t>2</w:t>
      </w:r>
      <w:r>
        <w:rPr>
          <w:rFonts w:asciiTheme="minorHAnsi" w:hAnsiTheme="minorHAnsi"/>
          <w:sz w:val="22"/>
        </w:rPr>
        <w:t>Pristojni deželni medijski organ po uradni dolžnosti preveri, ali so zahteve za potrdilo o odobritvi še vedno izpolnjene.</w:t>
      </w:r>
    </w:p>
    <w:p w:rsidR="00F57DE5" w:rsidRPr="00077B73" w:rsidRDefault="00F57DE5" w:rsidP="00220524">
      <w:pPr>
        <w:tabs>
          <w:tab w:val="left" w:pos="3768"/>
        </w:tabs>
        <w:spacing w:after="160" w:line="259" w:lineRule="auto"/>
        <w:contextualSpacing/>
        <w:jc w:val="both"/>
        <w:rPr>
          <w:rFonts w:asciiTheme="minorHAnsi" w:eastAsia="Calibri" w:hAnsiTheme="minorHAnsi" w:cstheme="minorHAnsi"/>
          <w:b/>
          <w:bCs/>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sz w:val="22"/>
        </w:rPr>
        <w:t>Poglavje 7: Končne določbe</w:t>
      </w:r>
    </w:p>
    <w:p w:rsidR="00F57DE5" w:rsidRPr="00077B73" w:rsidRDefault="00F57DE5" w:rsidP="00077B73">
      <w:pPr>
        <w:keepNext/>
        <w:spacing w:after="160" w:line="259" w:lineRule="auto"/>
        <w:contextualSpacing/>
        <w:jc w:val="center"/>
        <w:rPr>
          <w:rFonts w:asciiTheme="minorHAnsi" w:eastAsia="Calibri" w:hAnsiTheme="minorHAnsi" w:cstheme="minorHAnsi"/>
          <w:b/>
          <w:bCs/>
          <w:sz w:val="22"/>
          <w:szCs w:val="22"/>
          <w:lang w:eastAsia="en-US"/>
        </w:rPr>
      </w:pPr>
    </w:p>
    <w:p w:rsidR="00FC7696" w:rsidRPr="00077B73" w:rsidRDefault="00F57DE5" w:rsidP="00077B73">
      <w:pPr>
        <w:keepNext/>
        <w:spacing w:line="276" w:lineRule="auto"/>
        <w:jc w:val="center"/>
        <w:rPr>
          <w:rFonts w:ascii="Calibri" w:eastAsia="Calibri" w:hAnsi="Calibri"/>
          <w:b/>
          <w:sz w:val="22"/>
          <w:szCs w:val="22"/>
        </w:rPr>
      </w:pPr>
      <w:r>
        <w:rPr>
          <w:rFonts w:ascii="Calibri" w:hAnsi="Calibri"/>
          <w:b/>
          <w:sz w:val="22"/>
        </w:rPr>
        <w:t xml:space="preserve">Oddelek 16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rPr>
        <w:t>Dostopnost</w:t>
      </w:r>
    </w:p>
    <w:p w:rsidR="00FC7696" w:rsidRPr="00077B73" w:rsidRDefault="00FC7696" w:rsidP="00077B73">
      <w:pPr>
        <w:keepNext/>
        <w:spacing w:line="276" w:lineRule="auto"/>
        <w:jc w:val="center"/>
        <w:rPr>
          <w:rFonts w:ascii="Calibri" w:eastAsia="Calibri" w:hAnsi="Calibri"/>
          <w:b/>
          <w:sz w:val="22"/>
          <w:szCs w:val="22"/>
          <w:lang w:eastAsia="en-US"/>
        </w:rPr>
      </w:pPr>
    </w:p>
    <w:p w:rsidR="00F57DE5" w:rsidRPr="00077B73" w:rsidRDefault="00F57DE5" w:rsidP="00FC7696">
      <w:pPr>
        <w:spacing w:line="276" w:lineRule="auto"/>
        <w:rPr>
          <w:rFonts w:asciiTheme="minorHAnsi" w:eastAsia="Calibri" w:hAnsiTheme="minorHAnsi" w:cstheme="minorHAnsi"/>
          <w:bCs/>
          <w:sz w:val="22"/>
          <w:szCs w:val="22"/>
        </w:rPr>
      </w:pPr>
      <w:r>
        <w:rPr>
          <w:rFonts w:asciiTheme="minorHAnsi" w:hAnsiTheme="minorHAnsi"/>
          <w:sz w:val="22"/>
        </w:rPr>
        <w:t>Ponudniki uporabniških vmesnikov in ponudniki medijskih platform morajo v okviru svojih tehničnih in finančnih možnosti podpirati neoviran dostop do televizijskih programov in elektronskih komunikacijskih in informacijskih storitev, podobnih televizijskim programom (oddelek 21 državne pogodbe o medijih).</w:t>
      </w:r>
    </w:p>
    <w:p w:rsidR="00F57DE5" w:rsidRPr="00077B73" w:rsidRDefault="00F57DE5" w:rsidP="00F57DE5">
      <w:pPr>
        <w:spacing w:after="160" w:line="259" w:lineRule="auto"/>
        <w:contextualSpacing/>
        <w:jc w:val="both"/>
        <w:rPr>
          <w:rFonts w:asciiTheme="minorHAnsi" w:eastAsia="Calibri" w:hAnsiTheme="minorHAnsi" w:cstheme="minorHAnsi"/>
          <w:bCs/>
          <w:sz w:val="22"/>
          <w:szCs w:val="22"/>
          <w:lang w:eastAsia="en-US"/>
        </w:rPr>
      </w:pPr>
    </w:p>
    <w:p w:rsidR="00FC7696" w:rsidRPr="00077B73" w:rsidRDefault="00F57DE5" w:rsidP="00077B73">
      <w:pPr>
        <w:keepNext/>
        <w:spacing w:line="276" w:lineRule="auto"/>
        <w:jc w:val="center"/>
        <w:rPr>
          <w:rFonts w:asciiTheme="minorHAnsi" w:eastAsia="Calibri" w:hAnsiTheme="minorHAnsi" w:cstheme="minorHAnsi"/>
          <w:b/>
          <w:bCs/>
          <w:sz w:val="22"/>
          <w:szCs w:val="22"/>
        </w:rPr>
      </w:pPr>
      <w:r>
        <w:rPr>
          <w:rFonts w:asciiTheme="minorHAnsi" w:hAnsiTheme="minorHAnsi"/>
          <w:b/>
          <w:sz w:val="22"/>
        </w:rPr>
        <w:t>Oddelek 17</w:t>
      </w:r>
    </w:p>
    <w:p w:rsidR="00F57DE5" w:rsidRPr="00077B73" w:rsidRDefault="00F71879" w:rsidP="00077B73">
      <w:pPr>
        <w:keepNext/>
        <w:spacing w:line="276" w:lineRule="auto"/>
        <w:jc w:val="center"/>
        <w:rPr>
          <w:rFonts w:ascii="Calibri" w:eastAsia="Calibri" w:hAnsi="Calibri"/>
          <w:b/>
          <w:sz w:val="22"/>
          <w:szCs w:val="22"/>
        </w:rPr>
      </w:pPr>
      <w:r>
        <w:rPr>
          <w:rFonts w:ascii="Calibri" w:hAnsi="Calibri"/>
          <w:b/>
          <w:sz w:val="22"/>
        </w:rPr>
        <w:t>Začetek veljavnosti, prenehanje veljavnosti</w:t>
      </w:r>
    </w:p>
    <w:p w:rsidR="00FC7696" w:rsidRPr="00077B73" w:rsidRDefault="00FC7696" w:rsidP="00077B73">
      <w:pPr>
        <w:keepNext/>
        <w:spacing w:line="276" w:lineRule="auto"/>
        <w:jc w:val="center"/>
        <w:rPr>
          <w:rFonts w:asciiTheme="minorHAnsi" w:eastAsia="Calibri" w:hAnsiTheme="minorHAnsi" w:cstheme="minorHAnsi"/>
          <w:b/>
          <w:bCs/>
          <w:sz w:val="22"/>
          <w:szCs w:val="22"/>
          <w:lang w:eastAsia="en-US"/>
        </w:rPr>
      </w:pPr>
    </w:p>
    <w:p w:rsidR="00F57DE5" w:rsidRPr="00077B73" w:rsidRDefault="00FC7696" w:rsidP="00FC7696">
      <w:pPr>
        <w:spacing w:line="276" w:lineRule="auto"/>
        <w:rPr>
          <w:rFonts w:asciiTheme="minorHAnsi" w:eastAsia="Calibri" w:hAnsiTheme="minorHAnsi" w:cstheme="minorHAnsi"/>
          <w:sz w:val="22"/>
          <w:szCs w:val="22"/>
        </w:rPr>
      </w:pPr>
      <w:r>
        <w:rPr>
          <w:rFonts w:asciiTheme="minorHAnsi" w:hAnsiTheme="minorHAnsi"/>
          <w:sz w:val="22"/>
        </w:rPr>
        <w:t xml:space="preserve">(1) </w:t>
      </w:r>
      <w:r>
        <w:rPr>
          <w:rFonts w:asciiTheme="minorHAnsi" w:hAnsiTheme="minorHAnsi"/>
          <w:sz w:val="22"/>
          <w:vertAlign w:val="superscript"/>
        </w:rPr>
        <w:t>1</w:t>
      </w:r>
      <w:r>
        <w:rPr>
          <w:rFonts w:asciiTheme="minorHAnsi" w:hAnsiTheme="minorHAnsi"/>
          <w:sz w:val="22"/>
        </w:rPr>
        <w:t xml:space="preserve">Ta statut začne veljati 15. aprila 2021. </w:t>
      </w:r>
      <w:r>
        <w:rPr>
          <w:rFonts w:asciiTheme="minorHAnsi" w:hAnsiTheme="minorHAnsi"/>
          <w:sz w:val="22"/>
          <w:vertAlign w:val="superscript"/>
        </w:rPr>
        <w:t>2</w:t>
      </w:r>
      <w:r>
        <w:rPr>
          <w:rFonts w:asciiTheme="minorHAnsi" w:hAnsiTheme="minorHAnsi"/>
          <w:sz w:val="22"/>
        </w:rPr>
        <w:t xml:space="preserve">Predsednik konference direktorjev deželnih medijskih zavodov (Direktorenkonferenz der Landesmedienanstalten) na spletni strani pod krovno blagovno znamko „die medienanstalten“ objavi, ali so do takrat vsi deželni medijski zavodi izdali in objavili ustrezne statute. </w:t>
      </w:r>
      <w:r>
        <w:rPr>
          <w:rFonts w:asciiTheme="minorHAnsi" w:hAnsiTheme="minorHAnsi"/>
          <w:sz w:val="22"/>
          <w:vertAlign w:val="superscript"/>
        </w:rPr>
        <w:t>3</w:t>
      </w:r>
      <w:r>
        <w:rPr>
          <w:rFonts w:asciiTheme="minorHAnsi" w:hAnsiTheme="minorHAnsi"/>
          <w:sz w:val="22"/>
        </w:rPr>
        <w:t>Ne glede na prvi stavek začne oddelek 10(5) do (7) tega statuta veljati 1. septembra 2021.</w:t>
      </w:r>
    </w:p>
    <w:p w:rsidR="00F57DE5" w:rsidRPr="00077B73" w:rsidRDefault="00F57DE5" w:rsidP="00FC7696">
      <w:pPr>
        <w:spacing w:line="276" w:lineRule="auto"/>
        <w:rPr>
          <w:rFonts w:asciiTheme="minorHAnsi" w:eastAsia="Calibri" w:hAnsiTheme="minorHAnsi" w:cstheme="minorHAnsi"/>
          <w:sz w:val="22"/>
          <w:szCs w:val="22"/>
          <w:lang w:eastAsia="en-US"/>
        </w:rPr>
      </w:pPr>
    </w:p>
    <w:p w:rsidR="00F57DE5" w:rsidRPr="00077B73" w:rsidRDefault="00FC7696" w:rsidP="00FC7696">
      <w:pPr>
        <w:spacing w:line="276" w:lineRule="auto"/>
        <w:rPr>
          <w:rFonts w:asciiTheme="minorHAnsi" w:eastAsia="Calibri" w:hAnsiTheme="minorHAnsi" w:cstheme="minorHAnsi"/>
          <w:sz w:val="22"/>
          <w:szCs w:val="22"/>
        </w:rPr>
      </w:pPr>
      <w:r>
        <w:rPr>
          <w:rFonts w:asciiTheme="minorHAnsi" w:hAnsiTheme="minorHAnsi"/>
          <w:sz w:val="22"/>
        </w:rPr>
        <w:t>(2) Hkrati preneha veljati statut o prostem dostopu do digitalnih storitev in regulaciji platform v skladu z oddelkom 53 Državne pogodbe o radiodifuziji z dne 14. decembra 2016.</w:t>
      </w:r>
      <w:r w:rsidR="00AF2F17" w:rsidRPr="00077B73">
        <w:rPr>
          <w:rStyle w:val="FootnoteReference"/>
          <w:rFonts w:asciiTheme="minorHAnsi" w:eastAsia="Calibri" w:hAnsiTheme="minorHAnsi" w:cstheme="minorHAnsi"/>
          <w:sz w:val="22"/>
          <w:szCs w:val="22"/>
          <w:lang w:eastAsia="en-US"/>
        </w:rPr>
        <w:footnoteReference w:id="1"/>
      </w:r>
    </w:p>
    <w:sectPr w:rsidR="00F57DE5" w:rsidRPr="00077B73">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4EEA" w:rsidRDefault="00AE4EEA" w:rsidP="00986629">
      <w:r>
        <w:separator/>
      </w:r>
    </w:p>
  </w:endnote>
  <w:endnote w:type="continuationSeparator" w:id="0">
    <w:p w:rsidR="00AE4EEA" w:rsidRDefault="00AE4EEA" w:rsidP="00986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7113784"/>
      <w:docPartObj>
        <w:docPartGallery w:val="Page Numbers (Bottom of Page)"/>
        <w:docPartUnique/>
      </w:docPartObj>
    </w:sdtPr>
    <w:sdtEndPr>
      <w:rPr>
        <w:rFonts w:asciiTheme="minorHAnsi" w:hAnsiTheme="minorHAnsi" w:cstheme="minorHAnsi"/>
        <w:sz w:val="22"/>
      </w:rPr>
    </w:sdtEndPr>
    <w:sdtContent>
      <w:p w:rsidR="00A1291E" w:rsidRPr="00A1291E" w:rsidRDefault="00A1291E">
        <w:pPr>
          <w:pStyle w:val="Footer"/>
          <w:jc w:val="center"/>
          <w:rPr>
            <w:rFonts w:asciiTheme="minorHAnsi" w:hAnsiTheme="minorHAnsi" w:cstheme="minorHAnsi"/>
            <w:sz w:val="22"/>
          </w:rPr>
        </w:pPr>
        <w:r w:rsidRPr="00A1291E">
          <w:rPr>
            <w:rFonts w:asciiTheme="minorHAnsi" w:hAnsiTheme="minorHAnsi" w:cstheme="minorHAnsi"/>
            <w:sz w:val="22"/>
          </w:rPr>
          <w:fldChar w:fldCharType="begin"/>
        </w:r>
        <w:r w:rsidRPr="00A1291E">
          <w:rPr>
            <w:rFonts w:asciiTheme="minorHAnsi" w:hAnsiTheme="minorHAnsi" w:cstheme="minorHAnsi"/>
            <w:sz w:val="22"/>
          </w:rPr>
          <w:instrText>PAGE   \* MERGEFORMAT</w:instrText>
        </w:r>
        <w:r w:rsidRPr="00A1291E">
          <w:rPr>
            <w:rFonts w:asciiTheme="minorHAnsi" w:hAnsiTheme="minorHAnsi" w:cstheme="minorHAnsi"/>
            <w:sz w:val="22"/>
          </w:rPr>
          <w:fldChar w:fldCharType="separate"/>
        </w:r>
        <w:r w:rsidR="00484727">
          <w:rPr>
            <w:rFonts w:asciiTheme="minorHAnsi" w:hAnsiTheme="minorHAnsi" w:cstheme="minorHAnsi"/>
            <w:noProof/>
            <w:sz w:val="22"/>
          </w:rPr>
          <w:t>1</w:t>
        </w:r>
        <w:r w:rsidRPr="00A1291E">
          <w:rPr>
            <w:rFonts w:asciiTheme="minorHAnsi" w:hAnsiTheme="minorHAnsi" w:cstheme="minorHAnsi"/>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4EEA" w:rsidRDefault="00AE4EEA" w:rsidP="00986629">
      <w:r>
        <w:separator/>
      </w:r>
    </w:p>
  </w:footnote>
  <w:footnote w:type="continuationSeparator" w:id="0">
    <w:p w:rsidR="00AE4EEA" w:rsidRDefault="00AE4EEA" w:rsidP="00986629">
      <w:r>
        <w:continuationSeparator/>
      </w:r>
    </w:p>
  </w:footnote>
  <w:footnote w:id="1">
    <w:p w:rsidR="00AF2F17" w:rsidRPr="00F33BCA" w:rsidRDefault="00AF2F17">
      <w:pPr>
        <w:pStyle w:val="FootnoteText"/>
        <w:rPr>
          <w:rFonts w:asciiTheme="minorHAnsi" w:hAnsiTheme="minorHAnsi" w:cstheme="minorHAnsi"/>
        </w:rPr>
      </w:pPr>
      <w:r>
        <w:rPr>
          <w:rStyle w:val="FootnoteReference"/>
          <w:rFonts w:asciiTheme="minorHAnsi" w:hAnsiTheme="minorHAnsi" w:cstheme="minorHAnsi"/>
        </w:rPr>
        <w:footnoteRef/>
      </w:r>
      <w:r>
        <w:rPr>
          <w:rFonts w:asciiTheme="minorHAnsi" w:hAnsiTheme="minorHAnsi"/>
        </w:rPr>
        <w:t xml:space="preserve"> Priglašeno v skladu z Direktivo (EU) 2015/1535 Evropskega parlamenta in Sveta z dne 9. septembra 2015 o določitvi postopka za zbiranje informacij na področju tehničnih predpisov in pravil za storitve informacijske družbe (UL L 241, 17.9.2015, str.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6629" w:rsidRDefault="00FA085F">
    <w:pPr>
      <w:pStyle w:val="Header"/>
    </w:pPr>
    <w:r>
      <w:rPr>
        <w:noProof/>
        <w:lang w:val="en-US" w:eastAsia="zh-CN"/>
      </w:rPr>
      <w:drawing>
        <wp:anchor distT="0" distB="0" distL="114300" distR="114300" simplePos="0" relativeHeight="251658240" behindDoc="0" locked="1" layoutInCell="1" allowOverlap="1" wp14:anchorId="506558D4" wp14:editId="5B0DA52A">
          <wp:simplePos x="0" y="0"/>
          <wp:positionH relativeFrom="page">
            <wp:posOffset>4425950</wp:posOffset>
          </wp:positionH>
          <wp:positionV relativeFrom="page">
            <wp:posOffset>400685</wp:posOffset>
          </wp:positionV>
          <wp:extent cx="2172970" cy="510540"/>
          <wp:effectExtent l="0" t="0" r="0" b="3810"/>
          <wp:wrapNone/>
          <wp:docPr id="2"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2970" cy="510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E547B"/>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F147B9"/>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5725CC"/>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8EC7FEF"/>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D0E023D"/>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D20064"/>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8C008C8"/>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D2E70CA"/>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F5B487C"/>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8B87AE4"/>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B803552"/>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B1E6391"/>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DDC3BA2"/>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10"/>
  </w:num>
  <w:num w:numId="5">
    <w:abstractNumId w:val="3"/>
  </w:num>
  <w:num w:numId="6">
    <w:abstractNumId w:val="11"/>
  </w:num>
  <w:num w:numId="7">
    <w:abstractNumId w:val="4"/>
  </w:num>
  <w:num w:numId="8">
    <w:abstractNumId w:val="7"/>
  </w:num>
  <w:num w:numId="9">
    <w:abstractNumId w:val="12"/>
  </w:num>
  <w:num w:numId="10">
    <w:abstractNumId w:val="2"/>
  </w:num>
  <w:num w:numId="11">
    <w:abstractNumId w:val="6"/>
  </w:num>
  <w:num w:numId="12">
    <w:abstractNumId w:val="1"/>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C25"/>
    <w:rsid w:val="00003F08"/>
    <w:rsid w:val="000045F8"/>
    <w:rsid w:val="00013A16"/>
    <w:rsid w:val="000508DB"/>
    <w:rsid w:val="000544D5"/>
    <w:rsid w:val="00074EC8"/>
    <w:rsid w:val="00075A82"/>
    <w:rsid w:val="00077B73"/>
    <w:rsid w:val="000C657E"/>
    <w:rsid w:val="001504D9"/>
    <w:rsid w:val="00165009"/>
    <w:rsid w:val="00171DE3"/>
    <w:rsid w:val="0018279D"/>
    <w:rsid w:val="001B0E42"/>
    <w:rsid w:val="001C0704"/>
    <w:rsid w:val="001D2E17"/>
    <w:rsid w:val="00220524"/>
    <w:rsid w:val="002417C5"/>
    <w:rsid w:val="002643CD"/>
    <w:rsid w:val="002644D4"/>
    <w:rsid w:val="00290049"/>
    <w:rsid w:val="002C21BC"/>
    <w:rsid w:val="002C35D6"/>
    <w:rsid w:val="003421E6"/>
    <w:rsid w:val="003574F8"/>
    <w:rsid w:val="0038319A"/>
    <w:rsid w:val="003C28A6"/>
    <w:rsid w:val="003F26AC"/>
    <w:rsid w:val="0048212F"/>
    <w:rsid w:val="00483146"/>
    <w:rsid w:val="00484727"/>
    <w:rsid w:val="00485576"/>
    <w:rsid w:val="00490C3B"/>
    <w:rsid w:val="00506FCB"/>
    <w:rsid w:val="00511D74"/>
    <w:rsid w:val="00517E15"/>
    <w:rsid w:val="00521970"/>
    <w:rsid w:val="00543B52"/>
    <w:rsid w:val="0058421F"/>
    <w:rsid w:val="00590EAA"/>
    <w:rsid w:val="005D5943"/>
    <w:rsid w:val="005F244D"/>
    <w:rsid w:val="0060422A"/>
    <w:rsid w:val="00650B4F"/>
    <w:rsid w:val="00653AA0"/>
    <w:rsid w:val="00691044"/>
    <w:rsid w:val="00774A92"/>
    <w:rsid w:val="00793947"/>
    <w:rsid w:val="007C3618"/>
    <w:rsid w:val="007C685D"/>
    <w:rsid w:val="007E4D6F"/>
    <w:rsid w:val="00816EE9"/>
    <w:rsid w:val="00862E68"/>
    <w:rsid w:val="008B6DA5"/>
    <w:rsid w:val="00903F24"/>
    <w:rsid w:val="00915B2E"/>
    <w:rsid w:val="009217BC"/>
    <w:rsid w:val="009574F2"/>
    <w:rsid w:val="00986629"/>
    <w:rsid w:val="009C012D"/>
    <w:rsid w:val="009C24A4"/>
    <w:rsid w:val="009F46B5"/>
    <w:rsid w:val="00A1291E"/>
    <w:rsid w:val="00A16C12"/>
    <w:rsid w:val="00A211F5"/>
    <w:rsid w:val="00AC1705"/>
    <w:rsid w:val="00AD10EE"/>
    <w:rsid w:val="00AE1692"/>
    <w:rsid w:val="00AE4EEA"/>
    <w:rsid w:val="00AF2F17"/>
    <w:rsid w:val="00B126BF"/>
    <w:rsid w:val="00B25AAD"/>
    <w:rsid w:val="00B45353"/>
    <w:rsid w:val="00B82C25"/>
    <w:rsid w:val="00B93BDE"/>
    <w:rsid w:val="00BF13E2"/>
    <w:rsid w:val="00C04BEE"/>
    <w:rsid w:val="00C5646E"/>
    <w:rsid w:val="00C57E5E"/>
    <w:rsid w:val="00C74DCA"/>
    <w:rsid w:val="00C902B9"/>
    <w:rsid w:val="00CC7F6D"/>
    <w:rsid w:val="00CE1C3D"/>
    <w:rsid w:val="00DB7447"/>
    <w:rsid w:val="00E14290"/>
    <w:rsid w:val="00E22B72"/>
    <w:rsid w:val="00E24DDF"/>
    <w:rsid w:val="00E72479"/>
    <w:rsid w:val="00EE5E7F"/>
    <w:rsid w:val="00EF68F9"/>
    <w:rsid w:val="00F33BCA"/>
    <w:rsid w:val="00F33CAE"/>
    <w:rsid w:val="00F40F94"/>
    <w:rsid w:val="00F55623"/>
    <w:rsid w:val="00F57DE5"/>
    <w:rsid w:val="00F702A0"/>
    <w:rsid w:val="00F71879"/>
    <w:rsid w:val="00FA085F"/>
    <w:rsid w:val="00FA6037"/>
    <w:rsid w:val="00FC769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A0877444-1310-4159-A6DA-9FFF7C70F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jc w:val="center"/>
      <w:outlineLvl w:val="0"/>
    </w:pPr>
    <w:rPr>
      <w:rFonts w:ascii="Arial" w:hAnsi="Arial"/>
      <w: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Pr>
      <w:rFonts w:ascii="Calibri" w:hAnsi="Calibri"/>
      <w:color w:val="000000"/>
      <w:sz w:val="24"/>
    </w:rPr>
  </w:style>
  <w:style w:type="paragraph" w:styleId="BodyText">
    <w:name w:val="Body Text"/>
    <w:basedOn w:val="Normal"/>
    <w:rPr>
      <w:rFonts w:ascii="Arial" w:hAnsi="Arial"/>
      <w:sz w:val="21"/>
    </w:rPr>
  </w:style>
  <w:style w:type="character" w:customStyle="1" w:styleId="CommentTextChar">
    <w:name w:val="Comment Text Char"/>
    <w:link w:val="CommentText"/>
    <w:locked/>
    <w:rPr>
      <w:lang w:val="sl-SI" w:eastAsia="de-DE" w:bidi="ar-SA"/>
    </w:rPr>
  </w:style>
  <w:style w:type="paragraph" w:styleId="Header">
    <w:name w:val="header"/>
    <w:basedOn w:val="Normal"/>
    <w:link w:val="HeaderChar"/>
    <w:rsid w:val="00986629"/>
    <w:pPr>
      <w:tabs>
        <w:tab w:val="center" w:pos="4536"/>
        <w:tab w:val="right" w:pos="9072"/>
      </w:tabs>
    </w:pPr>
  </w:style>
  <w:style w:type="character" w:customStyle="1" w:styleId="HeaderChar">
    <w:name w:val="Header Char"/>
    <w:link w:val="Header"/>
    <w:uiPriority w:val="99"/>
    <w:rsid w:val="00986629"/>
    <w:rPr>
      <w:sz w:val="24"/>
      <w:szCs w:val="24"/>
    </w:rPr>
  </w:style>
  <w:style w:type="paragraph" w:styleId="Footer">
    <w:name w:val="footer"/>
    <w:basedOn w:val="Normal"/>
    <w:link w:val="FooterChar"/>
    <w:uiPriority w:val="99"/>
    <w:rsid w:val="00986629"/>
    <w:pPr>
      <w:tabs>
        <w:tab w:val="center" w:pos="4536"/>
        <w:tab w:val="right" w:pos="9072"/>
      </w:tabs>
    </w:pPr>
  </w:style>
  <w:style w:type="character" w:customStyle="1" w:styleId="FooterChar">
    <w:name w:val="Footer Char"/>
    <w:link w:val="Footer"/>
    <w:uiPriority w:val="99"/>
    <w:rsid w:val="00986629"/>
    <w:rPr>
      <w:sz w:val="24"/>
      <w:szCs w:val="24"/>
    </w:rPr>
  </w:style>
  <w:style w:type="paragraph" w:customStyle="1" w:styleId="GGSZ">
    <w:name w:val="GGS ZÜ"/>
    <w:basedOn w:val="Normal"/>
    <w:link w:val="GGSZZchn"/>
    <w:uiPriority w:val="4"/>
    <w:qFormat/>
    <w:rsid w:val="005D5943"/>
    <w:pPr>
      <w:spacing w:before="120"/>
    </w:pPr>
    <w:rPr>
      <w:rFonts w:asciiTheme="minorHAnsi" w:hAnsiTheme="minorHAnsi"/>
      <w:b/>
      <w:sz w:val="22"/>
    </w:rPr>
  </w:style>
  <w:style w:type="character" w:customStyle="1" w:styleId="GGSZZchn">
    <w:name w:val="GGS ZÜ Zchn"/>
    <w:basedOn w:val="DefaultParagraphFont"/>
    <w:link w:val="GGSZ"/>
    <w:uiPriority w:val="4"/>
    <w:rsid w:val="005D5943"/>
    <w:rPr>
      <w:rFonts w:asciiTheme="minorHAnsi" w:hAnsiTheme="minorHAnsi"/>
      <w:b/>
      <w:sz w:val="22"/>
      <w:szCs w:val="24"/>
    </w:rPr>
  </w:style>
  <w:style w:type="paragraph" w:styleId="ListParagraph">
    <w:name w:val="List Paragraph"/>
    <w:basedOn w:val="Normal"/>
    <w:uiPriority w:val="34"/>
    <w:qFormat/>
    <w:rsid w:val="00650B4F"/>
    <w:pPr>
      <w:ind w:left="720"/>
      <w:contextualSpacing/>
    </w:pPr>
  </w:style>
  <w:style w:type="paragraph" w:styleId="FootnoteText">
    <w:name w:val="footnote text"/>
    <w:basedOn w:val="Normal"/>
    <w:link w:val="FootnoteTextChar"/>
    <w:rsid w:val="00AF2F17"/>
    <w:rPr>
      <w:sz w:val="20"/>
      <w:szCs w:val="20"/>
    </w:rPr>
  </w:style>
  <w:style w:type="character" w:customStyle="1" w:styleId="FootnoteTextChar">
    <w:name w:val="Footnote Text Char"/>
    <w:basedOn w:val="DefaultParagraphFont"/>
    <w:link w:val="FootnoteText"/>
    <w:rsid w:val="00AF2F17"/>
  </w:style>
  <w:style w:type="character" w:styleId="FootnoteReference">
    <w:name w:val="footnote reference"/>
    <w:basedOn w:val="DefaultParagraphFont"/>
    <w:rsid w:val="00AF2F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609660">
      <w:bodyDiv w:val="1"/>
      <w:marLeft w:val="0"/>
      <w:marRight w:val="0"/>
      <w:marTop w:val="0"/>
      <w:marBottom w:val="0"/>
      <w:divBdr>
        <w:top w:val="none" w:sz="0" w:space="0" w:color="auto"/>
        <w:left w:val="none" w:sz="0" w:space="0" w:color="auto"/>
        <w:bottom w:val="none" w:sz="0" w:space="0" w:color="auto"/>
        <w:right w:val="none" w:sz="0" w:space="0" w:color="auto"/>
      </w:divBdr>
    </w:div>
    <w:div w:id="45973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925B8-7EE9-4F93-9EFA-97CA538DB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3626</Words>
  <Characters>21760</Characters>
  <Application>Microsoft Office Word</Application>
  <DocSecurity>0</DocSecurity>
  <Lines>181</Lines>
  <Paragraphs>50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Geschäfts- und Verfahrensordnung</vt:lpstr>
      <vt:lpstr>Geschäfts- und Verfahrensordnung</vt:lpstr>
    </vt:vector>
  </TitlesOfParts>
  <Company>Bayer. Sozialgerichtsbarkeit</Company>
  <LinksUpToDate>false</LinksUpToDate>
  <CharactersWithSpaces>25336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Geschäfts- und Verfahrensordnung</dc:title>
  <dc:subject/>
  <dc:creator>Sigmar.Roll</dc:creator>
  <cp:keywords/>
  <cp:lastModifiedBy>BONITO, Joana</cp:lastModifiedBy>
  <cp:revision>4</cp:revision>
  <cp:lastPrinted>2014-01-13T11:15:00Z</cp:lastPrinted>
  <dcterms:created xsi:type="dcterms:W3CDTF">2020-12-31T08:56:00Z</dcterms:created>
  <dcterms:modified xsi:type="dcterms:W3CDTF">2020-12-31T09:32:00Z</dcterms:modified>
</cp:coreProperties>
</file>