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PROGETTO DATATO 24 aprile 2023</w:t>
      </w:r>
    </w:p>
    <w:p w14:paraId="47AEB7CF" w14:textId="77777777" w:rsidR="00A61365" w:rsidRDefault="00A61365">
      <w:pPr>
        <w:rPr>
          <w:b/>
        </w:rPr>
      </w:pPr>
    </w:p>
    <w:p w14:paraId="6180DDA9" w14:textId="710E2BAE" w:rsidR="00812A71" w:rsidRDefault="00DE2DBE">
      <w:r>
        <w:rPr>
          <w:b/>
        </w:rPr>
        <w:t>Decreto del... recante modifica del decreto sui fuochi d'artificio in relazione all'attuazione della decisione del Benelux relativa all'introduzione di una licenza di pirotecnico e di altre modifiche</w:t>
      </w:r>
    </w:p>
    <w:p w14:paraId="72D47658" w14:textId="77777777" w:rsidR="004550E6" w:rsidRDefault="004550E6"/>
    <w:p w14:paraId="27C48DC3" w14:textId="1F17E5B8" w:rsidR="00812A71" w:rsidRDefault="00DE2DBE">
      <w:r>
        <w:t> </w:t>
      </w:r>
    </w:p>
    <w:p w14:paraId="29AE9671" w14:textId="77777777" w:rsidR="001B02F2" w:rsidRDefault="00DE2DBE">
      <w:r>
        <w:t>Sulla raccomandazione del segretario di Stato per le infrastrutture e la gestione delle risorse idriche, n. Ien/BSK, dipartimento centrale degli Affari amministrativi e giuridici;</w:t>
      </w:r>
    </w:p>
    <w:p w14:paraId="35B52BA7" w14:textId="77777777" w:rsidR="001B02F2" w:rsidRDefault="00DE2DBE">
      <w:r>
        <w:t>visti l'articolo 9.2.2.1, paragrafi 1 e 2, e l'articolo 9.5.8, paragrafi 3, 4 e 6, della legge sulla gestione ambientale;</w:t>
      </w:r>
    </w:p>
    <w:p w14:paraId="0BFE77BB" w14:textId="12D6A4A0" w:rsidR="001B02F2" w:rsidRDefault="00DE2DBE">
      <w:r>
        <w:t xml:space="preserve">sentito il parere della sezione consultiva del Consiglio di stato </w:t>
      </w:r>
      <w:r w:rsidR="00D310A6">
        <w:rPr>
          <w:lang w:val="el-GR"/>
        </w:rPr>
        <w:t xml:space="preserve">    </w:t>
      </w:r>
      <w:r>
        <w:t>(parere n. );</w:t>
      </w:r>
    </w:p>
    <w:p w14:paraId="6870CA70" w14:textId="3C44008C" w:rsidR="00812A71" w:rsidRDefault="00DE2DBE">
      <w:r>
        <w:t>considerando la relazione dettagliata del segretario di Stato per le infrastrutture e la gestione delle risorse idriche, n. IenW/BSK-, dipartimento centrale degli Affari amministrativi e giuridici;</w:t>
      </w:r>
    </w:p>
    <w:p w14:paraId="4A13238C" w14:textId="77777777" w:rsidR="00812A71" w:rsidRDefault="00DE2DBE">
      <w:r>
        <w:t> </w:t>
      </w:r>
    </w:p>
    <w:p w14:paraId="5B478B2C" w14:textId="77777777" w:rsidR="00812A71" w:rsidRDefault="00DE2DBE">
      <w:r>
        <w:t>abbiamo approvato e decretiamo quanto segue:</w:t>
      </w:r>
    </w:p>
    <w:p w14:paraId="62B3049A" w14:textId="77777777" w:rsidR="00812A71" w:rsidRDefault="00DE2DBE">
      <w:r>
        <w:t> </w:t>
      </w:r>
    </w:p>
    <w:p w14:paraId="08C47E30" w14:textId="147069F8" w:rsidR="00812A71" w:rsidRDefault="006F7252">
      <w:pPr>
        <w:rPr>
          <w:b/>
          <w:bCs/>
        </w:rPr>
      </w:pPr>
      <w:bookmarkStart w:id="0" w:name="_Hlk124949658"/>
      <w:r>
        <w:rPr>
          <w:b/>
        </w:rPr>
        <w:t>ARTICOLO I</w:t>
      </w:r>
    </w:p>
    <w:p w14:paraId="379E0185" w14:textId="43AD2E86" w:rsidR="006F7252" w:rsidRDefault="006F7252">
      <w:pPr>
        <w:rPr>
          <w:b/>
          <w:bCs/>
        </w:rPr>
      </w:pPr>
    </w:p>
    <w:p w14:paraId="65DE9109" w14:textId="514A9AD2" w:rsidR="006F7252" w:rsidRPr="006F7252" w:rsidRDefault="006F7252">
      <w:r>
        <w:t>Il decreto sui fuochi d'artificio [Vuurwerkbesluit] è modificato come segue:</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In ordine alfabetico di cui all'articolo 1.1.1, paragrafo 1, devono essere inserite le seguenti definizioni:</w:t>
      </w:r>
    </w:p>
    <w:p w14:paraId="0714850A" w14:textId="6A9B9B8B" w:rsidR="00A00841" w:rsidRPr="00DF3AEC" w:rsidRDefault="00A00841" w:rsidP="00864C9A">
      <w:r>
        <w:t>licenza di pirotecnico: documento di ispezione rilasciato dall'autorità competente in Belgio, Lussemburgo o Paesi Bassi che consente al titolare di dimostrare che gli articoli pirotecnici delle categorie F3 e F4, articoli pirotecnici per uso teatrale della categoria T2 e altri articoli pirotecnici della categoria P2 possono essere forniti a loro;</w:t>
      </w:r>
    </w:p>
    <w:p w14:paraId="02589494" w14:textId="44710ED4" w:rsidR="006722D9" w:rsidRPr="00DF3AEC" w:rsidRDefault="006722D9" w:rsidP="00864C9A">
      <w:r>
        <w:t>registro delle licenze di pirotecnico: registro di cui all'articolo 9.5.8, paragrafo 1, della legge sulla gestione ambientale;</w:t>
      </w:r>
    </w:p>
    <w:p w14:paraId="5F9CB859" w14:textId="063BB3E5" w:rsidR="001D30A8" w:rsidRPr="00DF3AEC" w:rsidRDefault="00031518" w:rsidP="00317EB5">
      <w:r>
        <w:t xml:space="preserve">persona responsabile: persona con conoscenze specialistiche, elaboratore di fuochi d'artificio o operatore di fuochi d'artificio designato da </w:t>
      </w:r>
      <w:bookmarkStart w:id="1" w:name="_Hlk130044621"/>
      <w:r>
        <w:t xml:space="preserve">persona giuridica con il diritto di utilizzare, conservare o mettere a disposizione sul mercato articoli pirotecnici, </w:t>
      </w:r>
      <w:bookmarkEnd w:id="1"/>
      <w:r>
        <w:t>per trattare o utilizzare articoli pirotecnici per conto di tale persona giuridica;</w:t>
      </w:r>
    </w:p>
    <w:p w14:paraId="317A0783" w14:textId="73E49B15" w:rsidR="001D30A8" w:rsidRPr="00DF3AEC" w:rsidRDefault="001D30A8" w:rsidP="00317EB5">
      <w:r>
        <w:t xml:space="preserve">elaboratore di fuochi d'artificio: persona </w:t>
      </w:r>
      <w:bookmarkStart w:id="2" w:name="_Hlk124078821"/>
      <w:r>
        <w:t>inserita nel registro degli elaboratori di fuochi d'artificio di cui all'articolo 4.9, paragrafo 2, del decreto sulle condizioni lavorative</w:t>
      </w:r>
      <w:bookmarkEnd w:id="2"/>
      <w:r>
        <w:t>;</w:t>
      </w:r>
    </w:p>
    <w:p w14:paraId="710EEB49" w14:textId="241E6D0A" w:rsidR="00031518" w:rsidRDefault="001D30A8" w:rsidP="00317EB5">
      <w:r>
        <w:t xml:space="preserve">operatore di fuochi d'artificio: persona inserita nel registro degli operatori di fuochi d'artificio di cui all'articolo 4.9, paragrafo 1, del decreto sulle condizioni lavorative; </w:t>
      </w:r>
    </w:p>
    <w:p w14:paraId="6785AB54" w14:textId="5BBC2F4A" w:rsidR="00864C9A" w:rsidRDefault="00864C9A" w:rsidP="00864C9A"/>
    <w:p w14:paraId="5D6EFE7A" w14:textId="416A9532" w:rsidR="003F0C01" w:rsidRDefault="003F0C01" w:rsidP="00D310A6">
      <w:pPr>
        <w:keepNext/>
        <w:keepLines/>
      </w:pPr>
      <w:r>
        <w:lastRenderedPageBreak/>
        <w:t>B</w:t>
      </w:r>
    </w:p>
    <w:p w14:paraId="30EA7B1A" w14:textId="2E81696A" w:rsidR="00400AC3" w:rsidRDefault="00400AC3" w:rsidP="00D310A6">
      <w:pPr>
        <w:keepNext/>
        <w:keepLines/>
      </w:pPr>
    </w:p>
    <w:p w14:paraId="67F69213" w14:textId="0D7C0B08" w:rsidR="003F0C01" w:rsidRDefault="00603A66" w:rsidP="00D310A6">
      <w:pPr>
        <w:keepNext/>
        <w:keepLines/>
      </w:pPr>
      <w:r>
        <w:t>All'articolo 1.1.3 è stato aggiunto un paragrafo con il seguente testo:</w:t>
      </w:r>
    </w:p>
    <w:p w14:paraId="6207D1B7" w14:textId="2B1CFD2E" w:rsidR="00603A66" w:rsidRDefault="00603A66" w:rsidP="00D310A6">
      <w:pPr>
        <w:keepNext/>
        <w:keepLines/>
      </w:pPr>
      <w:r>
        <w:t>3. Il capitolo 4 si applica anche agli articoli pirotecnici della categoria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All'articolo 1.2.5, paragrafo 2, i termini "un certificato di registrazione o una lettera di vettura di cui agli articoli 20 e 29 della legge sul trasporto merci su strada" sono sostituiti da "una lettera di vettura di cui all'articolo 2.13 della legge sul trasporto merci su strada".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All'articolo 3B.1 è stato aggiunto un paragrafo con il seguente testo:</w:t>
      </w:r>
    </w:p>
    <w:p w14:paraId="649EF529" w14:textId="77777777" w:rsidR="002B6FA7" w:rsidRDefault="002B6FA7" w:rsidP="002B6FA7">
      <w:r>
        <w:t xml:space="preserve">7. La domanda di autorizzazione è valida per cinque anni.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All'articolo 3B.6 è stato aggiunto un paragrafo con il seguente testo:</w:t>
      </w:r>
    </w:p>
    <w:p w14:paraId="1CDB343A" w14:textId="0F48CA81" w:rsidR="00895E5E" w:rsidRDefault="0054451D" w:rsidP="00864C9A">
      <w:r>
        <w:t>6. Una modifica dei dati di cui al paragrafo 1, lettera a), deve essere immediatamente notificata al nostro ministro.</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Dopo il capitolo 3B è stato inserito un capitolo come segue:</w:t>
      </w:r>
    </w:p>
    <w:p w14:paraId="4CEFE234" w14:textId="29C5BC09" w:rsidR="000F702A" w:rsidRDefault="000F702A" w:rsidP="00864C9A"/>
    <w:p w14:paraId="21CB6243" w14:textId="17276665" w:rsidR="000F702A" w:rsidRPr="002304E9" w:rsidRDefault="004B4934">
      <w:pPr>
        <w:rPr>
          <w:b/>
          <w:bCs/>
        </w:rPr>
      </w:pPr>
      <w:r>
        <w:rPr>
          <w:b/>
        </w:rPr>
        <w:t>Capitolo 4. Licenza di pirotecnico</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Articolo 4.1</w:t>
      </w:r>
    </w:p>
    <w:p w14:paraId="57E5750B" w14:textId="28D6C40F" w:rsidR="004B4934" w:rsidRPr="009A55B4" w:rsidRDefault="003F1E3A" w:rsidP="004B4934">
      <w:pPr>
        <w:pStyle w:val="ListParagraph"/>
        <w:numPr>
          <w:ilvl w:val="0"/>
          <w:numId w:val="26"/>
        </w:numPr>
      </w:pPr>
      <w:r>
        <w:t>Gli operatori possono mettere sul mercato fuochi d'artificio professionali, articoli pirotecnici teatrali e articoli pirotecnici della categoria P2 solo a persone con conoscenze specialistiche, su presentazione di un documento di controllo e di un documento di identità.</w:t>
      </w:r>
    </w:p>
    <w:p w14:paraId="7E9230A5" w14:textId="530D3733" w:rsidR="00AB2AC7" w:rsidRPr="009A55B4" w:rsidRDefault="00AB2AC7" w:rsidP="004B4934">
      <w:pPr>
        <w:pStyle w:val="ListParagraph"/>
        <w:numPr>
          <w:ilvl w:val="0"/>
          <w:numId w:val="26"/>
        </w:numPr>
      </w:pPr>
      <w:r>
        <w:t xml:space="preserve">Inoltre, qualora una persona fisica agisca per conto di una persona giuridica legittimata ad applicare, conservare o mettere a disposizione sul mercato articoli pirotecnici, gli articoli pirotecnici in questione possono essere forniti solo dietro presentazione del documento di controllo e del documento di identità della persona designata da tale persona giuridica. </w:t>
      </w:r>
    </w:p>
    <w:p w14:paraId="31B600EA" w14:textId="7B16AA02" w:rsidR="00C532E8" w:rsidRDefault="008E1C92" w:rsidP="004B4934">
      <w:pPr>
        <w:pStyle w:val="ListParagraph"/>
        <w:numPr>
          <w:ilvl w:val="0"/>
          <w:numId w:val="26"/>
        </w:numPr>
      </w:pPr>
      <w:r>
        <w:t xml:space="preserve">Per le persone con conoscenze specialistiche o persone responsabili designate ai sensi della legge in Belgio, Lussemburgo o Paesi Bassi, ad eccezione delle persone con conoscenze specialistiche di cui all'articolo 1.1.2 bis, paragrafo 1, lettere da c) a f), il documento di controllo di cui al paragrafo 1. </w:t>
      </w:r>
    </w:p>
    <w:p w14:paraId="6F2C5157" w14:textId="1E4A15D5" w:rsidR="00C532E8" w:rsidRDefault="00C532E8" w:rsidP="004B4934">
      <w:pPr>
        <w:pStyle w:val="ListParagraph"/>
        <w:numPr>
          <w:ilvl w:val="0"/>
          <w:numId w:val="26"/>
        </w:numPr>
      </w:pPr>
      <w:r>
        <w:t xml:space="preserve">I titolari di licenza di pirotecnico autorizzati per i fuochi d'artificio di categoria F3 o F4 sono considerati autorizzati anche per i fuochi d'artificio della categoria F2 non designati per uso privato. </w:t>
      </w:r>
    </w:p>
    <w:p w14:paraId="3BA1F50D" w14:textId="3F881A76" w:rsidR="000850FB" w:rsidRPr="009A55B4" w:rsidRDefault="00C532E8" w:rsidP="004B4934">
      <w:pPr>
        <w:pStyle w:val="ListParagraph"/>
        <w:numPr>
          <w:ilvl w:val="0"/>
          <w:numId w:val="26"/>
        </w:numPr>
      </w:pPr>
      <w:r>
        <w:t xml:space="preserve">I titolari di licenza di pirotecnico autorizzati per gli articoli pirotecnici per l'uso di articoli pirotecnici di categoria T2 sono considerati autorizzati anche per gli articoli pirotecnici della categoria T1. </w:t>
      </w:r>
    </w:p>
    <w:p w14:paraId="790DA6F6" w14:textId="07CEEADF" w:rsidR="008E1C92" w:rsidRPr="009A55B4" w:rsidRDefault="00C41727" w:rsidP="004B4934">
      <w:pPr>
        <w:pStyle w:val="ListParagraph"/>
        <w:numPr>
          <w:ilvl w:val="0"/>
          <w:numId w:val="26"/>
        </w:numPr>
      </w:pPr>
      <w:r>
        <w:t>Nel controllare la licenza di pirotecnico, gli operatori economici consultano anche il registro delle licenze di pirotecnico per verificarne la validità.</w:t>
      </w:r>
    </w:p>
    <w:p w14:paraId="5A80755F" w14:textId="37B504C7" w:rsidR="00BB309A" w:rsidRPr="009A55B4" w:rsidRDefault="00BB309A" w:rsidP="004B4934">
      <w:pPr>
        <w:pStyle w:val="ListParagraph"/>
        <w:numPr>
          <w:ilvl w:val="0"/>
          <w:numId w:val="26"/>
        </w:numPr>
      </w:pPr>
      <w:r>
        <w:t xml:space="preserve">Per le persone con conoscenze specialistiche che non sono state designate come tali in Belgio, Lussemburgo o Paesi Bassi, il documento di controllo consiste nella </w:t>
      </w:r>
      <w:r>
        <w:lastRenderedPageBreak/>
        <w:t xml:space="preserve">prova scritta dell'autorizzazione ricevuta da una persona in uno Stato membro dell'Unione europea non facente parte del Benelux di cui all'articolo 1.1.2 bis, paragrafo 2. </w:t>
      </w:r>
    </w:p>
    <w:p w14:paraId="401495BD" w14:textId="09A5EDDF" w:rsidR="00F57FFC" w:rsidRDefault="003A36BF" w:rsidP="004B4934">
      <w:pPr>
        <w:pStyle w:val="ListParagraph"/>
        <w:numPr>
          <w:ilvl w:val="0"/>
          <w:numId w:val="26"/>
        </w:numPr>
      </w:pPr>
      <w:r>
        <w:t xml:space="preserve">Gli operatori del mercato </w:t>
      </w:r>
      <w:r>
        <w:rPr>
          <w:color w:val="auto"/>
        </w:rPr>
        <w:t>che forniscono fuochi d'artificio di cui al primo</w:t>
      </w:r>
      <w:r>
        <w:t xml:space="preserve"> paragrafo devono conservare una copia del documento di controllo nei registri, unitamente alla relativa fattura e al documento di trasporto in questione, come previsto dall'allegato 1 del regolamento relativo al trasporto via terra di sostanze pericolose, che è la traduzione in olandese degli allegati A e B dell'ADR e degli allegati che la accompagnano, per sette anni. </w:t>
      </w:r>
    </w:p>
    <w:bookmarkEnd w:id="3"/>
    <w:p w14:paraId="77CCAB3D" w14:textId="6C5EE37D" w:rsidR="000D187A" w:rsidRPr="00F57FFC" w:rsidRDefault="000D187A" w:rsidP="000D187A"/>
    <w:p w14:paraId="0F4A2607" w14:textId="6E2FEC3B" w:rsidR="007542A2" w:rsidRDefault="007542A2" w:rsidP="000D187A">
      <w:pPr>
        <w:rPr>
          <w:b/>
          <w:bCs/>
        </w:rPr>
      </w:pPr>
      <w:r>
        <w:rPr>
          <w:b/>
        </w:rPr>
        <w:t>Articolo 4.2</w:t>
      </w:r>
    </w:p>
    <w:p w14:paraId="6C9263C0" w14:textId="2F392ECE" w:rsidR="00E32087" w:rsidRDefault="002F342A" w:rsidP="00C03B50">
      <w:pPr>
        <w:pStyle w:val="ListParagraph"/>
        <w:numPr>
          <w:ilvl w:val="0"/>
          <w:numId w:val="28"/>
        </w:numPr>
      </w:pPr>
      <w:r>
        <w:t>Possono beneficiare di una licenza di pirotecnico le seguenti persone fisiche:</w:t>
      </w:r>
    </w:p>
    <w:p w14:paraId="7E1D1169" w14:textId="0C382BF9" w:rsidR="002E68CD" w:rsidRPr="00DF3AEC" w:rsidRDefault="002E68CD" w:rsidP="00B35E9F">
      <w:pPr>
        <w:pStyle w:val="ListParagraph"/>
        <w:numPr>
          <w:ilvl w:val="1"/>
          <w:numId w:val="28"/>
        </w:numPr>
      </w:pPr>
      <w:r>
        <w:t>una persona con conoscenze specialistiche di cui all'articolo 1.1.2 bis, paragrafo 1, lettera a), che è anche un elaboratore di fuochi d'artificio;</w:t>
      </w:r>
    </w:p>
    <w:p w14:paraId="6D94DC98" w14:textId="09CB35A6" w:rsidR="002E68CD" w:rsidRPr="00DF3AEC" w:rsidRDefault="002E68CD" w:rsidP="002E68CD">
      <w:pPr>
        <w:pStyle w:val="ListParagraph"/>
        <w:numPr>
          <w:ilvl w:val="1"/>
          <w:numId w:val="28"/>
        </w:numPr>
      </w:pPr>
      <w:r>
        <w:t>una persona con conoscenze specialistiche di cui all'articolo 1.1.2 bis, paragrafo 1, lettera a), che è anche un operatore di fuochi d'artificio;</w:t>
      </w:r>
    </w:p>
    <w:p w14:paraId="53D5CF3C" w14:textId="24BCD38A" w:rsidR="00BC356D" w:rsidRPr="00DF3AEC" w:rsidRDefault="00B35E9F" w:rsidP="002E68CD">
      <w:pPr>
        <w:pStyle w:val="ListParagraph"/>
        <w:numPr>
          <w:ilvl w:val="1"/>
          <w:numId w:val="28"/>
        </w:numPr>
      </w:pPr>
      <w:r>
        <w:t xml:space="preserve">una persona responsabile; </w:t>
      </w:r>
    </w:p>
    <w:p w14:paraId="56DE35FC" w14:textId="1FE5C43F" w:rsidR="006A7277" w:rsidRPr="00DF3AEC" w:rsidRDefault="0076622F" w:rsidP="002E68CD">
      <w:pPr>
        <w:pStyle w:val="ListParagraph"/>
        <w:numPr>
          <w:ilvl w:val="1"/>
          <w:numId w:val="28"/>
        </w:numPr>
      </w:pPr>
      <w:r>
        <w:t xml:space="preserve">una persona con conoscenze specialistiche per articoli pirotecnici della categoria P2. </w:t>
      </w:r>
    </w:p>
    <w:p w14:paraId="6C382F70" w14:textId="2769EB19" w:rsidR="0007311B" w:rsidRPr="00DF3AEC" w:rsidRDefault="0007311B" w:rsidP="002D1271">
      <w:pPr>
        <w:pStyle w:val="ListParagraph"/>
        <w:numPr>
          <w:ilvl w:val="0"/>
          <w:numId w:val="28"/>
        </w:numPr>
      </w:pPr>
      <w:r>
        <w:t xml:space="preserve">La richiesta di una licenza di pirotecnico per una persona responsabile deve essere presentata al nostro ministro dal titolare di una domanda di autorizzazione insieme alla persona responsabile. </w:t>
      </w:r>
    </w:p>
    <w:p w14:paraId="4BDACCD8" w14:textId="6400775F" w:rsidR="00BA12A9" w:rsidRPr="00734FD2" w:rsidRDefault="00C57360" w:rsidP="00D73B55">
      <w:pPr>
        <w:pStyle w:val="ListParagraph"/>
        <w:numPr>
          <w:ilvl w:val="0"/>
          <w:numId w:val="28"/>
        </w:numPr>
      </w:pPr>
      <w:r>
        <w:t xml:space="preserve">Si applica il modello per la licenza di pirotecnico, i requisiti per la richiesta e la procedura relativa, come stabilito con ordinanza ministeriale. </w:t>
      </w:r>
    </w:p>
    <w:p w14:paraId="702AC5EF" w14:textId="77777777" w:rsidR="004F1E43" w:rsidRDefault="00C15C66" w:rsidP="00C03B50">
      <w:pPr>
        <w:pStyle w:val="ListParagraph"/>
        <w:numPr>
          <w:ilvl w:val="0"/>
          <w:numId w:val="28"/>
        </w:numPr>
      </w:pPr>
      <w:r>
        <w:t xml:space="preserve">La licenza di pirotecnico degli elaboratori e degli operatori pirotecnici scade quando scade la loro iscrizione nel registro degli elaboratori di fuochi d'artificio o nel registro degli operatori pirotecnici. </w:t>
      </w:r>
    </w:p>
    <w:p w14:paraId="2A5184CC" w14:textId="0ED72ECA" w:rsidR="0076622F" w:rsidRPr="00734FD2" w:rsidRDefault="009632C8" w:rsidP="00C03B50">
      <w:pPr>
        <w:pStyle w:val="ListParagraph"/>
        <w:numPr>
          <w:ilvl w:val="0"/>
          <w:numId w:val="28"/>
        </w:numPr>
      </w:pPr>
      <w:r>
        <w:t>Il periodo di validità della licenza di pirotecnico deve essere la validità della registrazione come elaboratore di fuochi d'artificio o operatore di fuochi d'artificio, a meno che un'autorizzazione ambientale di cui all'articolo 1.1.2 bis, paragrafo 1, lettera a), o la richiesta di domanda abbiano un periodo di validità più breve.</w:t>
      </w:r>
    </w:p>
    <w:p w14:paraId="0DE9BD15" w14:textId="7E5A88AF" w:rsidR="00C03B50" w:rsidRDefault="00866364" w:rsidP="008709B6">
      <w:pPr>
        <w:pStyle w:val="ListParagraph"/>
        <w:numPr>
          <w:ilvl w:val="0"/>
          <w:numId w:val="28"/>
        </w:numPr>
      </w:pPr>
      <w:r>
        <w:t xml:space="preserve">Il nostro ministro deve revocare la licenza di pirotecnico se la persona a cui esso è stato rilasciato: </w:t>
      </w:r>
    </w:p>
    <w:p w14:paraId="2ED244AD" w14:textId="215639E0" w:rsidR="00C03B50" w:rsidRDefault="00C03B50" w:rsidP="006D6DD1">
      <w:pPr>
        <w:pStyle w:val="ListParagraph"/>
        <w:numPr>
          <w:ilvl w:val="1"/>
          <w:numId w:val="28"/>
        </w:numPr>
      </w:pPr>
      <w:r>
        <w:t xml:space="preserve">non soddisfa più i requisiti per una persona con conoscenze specialistiche di cui all'articolo 1.1.2 bis o non è più designata da una persona con conoscenze specialistiche per gestire o utilizzare fuochi d'artificio per conto di tale persona; </w:t>
      </w:r>
    </w:p>
    <w:p w14:paraId="26A5E645" w14:textId="7F810F0C" w:rsidR="00C03B50" w:rsidRDefault="00C03B50" w:rsidP="006D6DD1">
      <w:pPr>
        <w:pStyle w:val="ListParagraph"/>
        <w:numPr>
          <w:ilvl w:val="1"/>
          <w:numId w:val="28"/>
        </w:numPr>
      </w:pPr>
      <w:r>
        <w:t>ha abusato della licenza di pirotecnico.</w:t>
      </w:r>
    </w:p>
    <w:p w14:paraId="7A9A9F1A" w14:textId="622A6EF4" w:rsidR="00C03B50" w:rsidRDefault="00C03B50" w:rsidP="00C03B50">
      <w:pPr>
        <w:pStyle w:val="ListParagraph"/>
        <w:numPr>
          <w:ilvl w:val="0"/>
          <w:numId w:val="28"/>
        </w:numPr>
      </w:pPr>
      <w:r>
        <w:t>L'uso improprio di cui al paragrafo 6, lettera b), comprende:</w:t>
      </w:r>
    </w:p>
    <w:p w14:paraId="09E47B8D" w14:textId="1241E2ED" w:rsidR="00C03B50" w:rsidRDefault="00C03B50" w:rsidP="00C03B50">
      <w:pPr>
        <w:pStyle w:val="ListParagraph"/>
        <w:numPr>
          <w:ilvl w:val="1"/>
          <w:numId w:val="28"/>
        </w:numPr>
      </w:pPr>
      <w:r>
        <w:t>la messa a disposizione sul mercato di fuochi d'artificio delle categorie F3 e F4, articoli pirotecnici teatrali della categoria T2 e altri articoli pirotecnici della categoria P2 a una persona diversa da quella con conoscenze specialistiche;</w:t>
      </w:r>
    </w:p>
    <w:p w14:paraId="51CEFB2A" w14:textId="12860C5F" w:rsidR="00C03B50" w:rsidRDefault="00C03B50" w:rsidP="00450E58">
      <w:pPr>
        <w:pStyle w:val="ListParagraph"/>
        <w:numPr>
          <w:ilvl w:val="1"/>
          <w:numId w:val="28"/>
        </w:numPr>
      </w:pPr>
      <w:r>
        <w:t>la conservazione di questi in un luogo senza licenza.</w:t>
      </w:r>
    </w:p>
    <w:p w14:paraId="3B9564DD" w14:textId="17356908" w:rsidR="00C41727" w:rsidRPr="00C41727" w:rsidRDefault="00C41727" w:rsidP="009A55B4">
      <w:pPr>
        <w:pStyle w:val="ListParagraph"/>
        <w:numPr>
          <w:ilvl w:val="0"/>
          <w:numId w:val="28"/>
        </w:numPr>
      </w:pPr>
      <w:r>
        <w:t>Il nostro ministro deve indicare nel registro se la licenza di pirotecnico è stata ritirata o se è scaduta.</w:t>
      </w:r>
    </w:p>
    <w:p w14:paraId="7E2D75FF" w14:textId="77777777" w:rsidR="00BA12A9" w:rsidRPr="00C41727" w:rsidRDefault="00BA12A9" w:rsidP="000D187A"/>
    <w:p w14:paraId="7D32A34D" w14:textId="71E8F1B3" w:rsidR="00F90681" w:rsidRPr="009A55B4" w:rsidRDefault="00F90681" w:rsidP="000D187A">
      <w:pPr>
        <w:rPr>
          <w:b/>
          <w:bCs/>
        </w:rPr>
      </w:pPr>
      <w:r>
        <w:rPr>
          <w:b/>
        </w:rPr>
        <w:t>Articolo 4.3</w:t>
      </w:r>
    </w:p>
    <w:p w14:paraId="108D4D5A" w14:textId="5BC28F8A" w:rsidR="00F90681" w:rsidRPr="009A55B4" w:rsidRDefault="00F90681" w:rsidP="000D187A">
      <w:r>
        <w:t>I seguenti dati e documenti devono essere inseriti nel registro delle licenze di pirotecnico:</w:t>
      </w:r>
    </w:p>
    <w:p w14:paraId="5209896F" w14:textId="08B555D1" w:rsidR="00A42410" w:rsidRPr="009A55B4" w:rsidRDefault="0096601D" w:rsidP="00A42410">
      <w:pPr>
        <w:pStyle w:val="ListParagraph"/>
        <w:numPr>
          <w:ilvl w:val="0"/>
          <w:numId w:val="51"/>
        </w:numPr>
      </w:pPr>
      <w:r>
        <w:t>una copia della licenza di pirotecnico;</w:t>
      </w:r>
    </w:p>
    <w:p w14:paraId="6DDD51EE" w14:textId="6EAB093F" w:rsidR="00972741" w:rsidRPr="009A55B4" w:rsidRDefault="0083099A" w:rsidP="00A42410">
      <w:pPr>
        <w:pStyle w:val="ListParagraph"/>
        <w:numPr>
          <w:ilvl w:val="0"/>
          <w:numId w:val="51"/>
        </w:numPr>
      </w:pPr>
      <w:r>
        <w:lastRenderedPageBreak/>
        <w:t>la prova che il richiedente è stato designato come persona con conoscenze specialistiche per gli articoli pirotecnici della categoria P2; o</w:t>
      </w:r>
    </w:p>
    <w:p w14:paraId="08498957" w14:textId="23B692FD" w:rsidR="00A42410" w:rsidRPr="009A55B4" w:rsidRDefault="0083099A" w:rsidP="00A42410">
      <w:pPr>
        <w:pStyle w:val="ListParagraph"/>
        <w:numPr>
          <w:ilvl w:val="0"/>
          <w:numId w:val="51"/>
        </w:numPr>
      </w:pPr>
      <w:r>
        <w:t>prova della registrazione del richiedente come operatore o utilizzatore di fuochi d'artificio; e</w:t>
      </w:r>
    </w:p>
    <w:p w14:paraId="7052A3C4" w14:textId="43D7FCA7" w:rsidR="00972741" w:rsidRPr="009A55B4" w:rsidRDefault="0083099A" w:rsidP="00972741">
      <w:pPr>
        <w:pStyle w:val="ListParagraph"/>
        <w:numPr>
          <w:ilvl w:val="0"/>
          <w:numId w:val="51"/>
        </w:numPr>
      </w:pPr>
      <w:r>
        <w:t>se del caso, una copia della domanda di autorizzazione o dell'autorizzazione ambientale di cui all'articolo 1.1.2 bis, paragrafo 1, lettera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Articolo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Il nostro ministro provvede affinché i dati e i documenti inseriti nel registro delle licenze di pirotecnico siano messi a disposizione senza indugio delle autorità alle quali i dati e i documenti sono accessibili ai sensi dell'articolo 4.5, paragrafi 1 e 2.e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Articolo 4.5 </w:t>
      </w:r>
    </w:p>
    <w:p w14:paraId="0C7D3561" w14:textId="63C5A020" w:rsidR="00A83423" w:rsidRDefault="008A135A" w:rsidP="00B35E9F">
      <w:pPr>
        <w:pStyle w:val="ListParagraph"/>
        <w:numPr>
          <w:ilvl w:val="0"/>
          <w:numId w:val="31"/>
        </w:numPr>
      </w:pPr>
      <w:r>
        <w:t>I dati e i documenti inclusi nel registro delle licenze di pirotecnico sono accessibili alle autorità competenti del Belgio, del Lussemburgo e dei Paesi Bassi responsabili del controllo del rispetto delle norme applicabili agli articoli pirotecnici e dell'applicazione di tali norme.</w:t>
      </w:r>
    </w:p>
    <w:p w14:paraId="4CD86864" w14:textId="2603B817" w:rsidR="00A83423" w:rsidRDefault="008A135A" w:rsidP="0024295E">
      <w:pPr>
        <w:pStyle w:val="ListParagraph"/>
        <w:numPr>
          <w:ilvl w:val="0"/>
          <w:numId w:val="31"/>
        </w:numPr>
      </w:pPr>
      <w:r>
        <w:t>Le informazioni e i documenti iscritti nel registro delle licenze di pirotecnico sono accessibili agli operatori economici di cui all'articolo 4.1, paragrafo 1, al fine di verificare la validità dei documenti di controllo e della licenza di pirotecnico.</w:t>
      </w:r>
    </w:p>
    <w:p w14:paraId="13A7FA7F" w14:textId="1E079461" w:rsidR="00A83423" w:rsidRDefault="008A135A" w:rsidP="00A83423">
      <w:pPr>
        <w:pStyle w:val="ListParagraph"/>
        <w:numPr>
          <w:ilvl w:val="0"/>
          <w:numId w:val="31"/>
        </w:numPr>
      </w:pPr>
      <w:r>
        <w:t xml:space="preserve">Per l'accesso al registro delle licenze di pirotecnico si utilizza l'eRecognition o qualsiasi altro mezzo elettronico di autenticazione designato dal gestore del registro. </w:t>
      </w:r>
    </w:p>
    <w:p w14:paraId="5548DEA6" w14:textId="77777777" w:rsidR="00B8205D" w:rsidRDefault="008A135A" w:rsidP="00A83423">
      <w:pPr>
        <w:pStyle w:val="ListParagraph"/>
        <w:numPr>
          <w:ilvl w:val="0"/>
          <w:numId w:val="31"/>
        </w:numPr>
      </w:pPr>
      <w:r>
        <w:t xml:space="preserve">L'accesso al registro delle licenze di pirotecnico è limitato ai dipendenti delle autorità di cui ai paragrafi 1 e 2 che sono direttamente coinvolti nell'esecuzione dei compiti giuridici dell'organismo interessato o dei lavori svolti dalla società interessata per la vendita di articoli pirotecnici e autorizzati dall'organismo o dalla società. </w:t>
      </w:r>
    </w:p>
    <w:p w14:paraId="4CDEBD4E" w14:textId="4DBA1CD8" w:rsidR="00B8205D" w:rsidRDefault="00C72CE5" w:rsidP="00A83423">
      <w:pPr>
        <w:pStyle w:val="ListParagraph"/>
        <w:numPr>
          <w:ilvl w:val="0"/>
          <w:numId w:val="31"/>
        </w:numPr>
      </w:pPr>
      <w:r>
        <w:t>Le norme dettagliate stabilite dall'ordinanza ministeriale devono essere applicate per quanto riguarda l'inserimento e la consultazione dei dati e delle registrazioni nel registro delle licenze di pirotecnico da parte di coloro che hanno accesso a tale sistema, compreso il livello di affidabilità richiesto dell'eRecognition.</w:t>
      </w:r>
      <w:r>
        <w:rPr>
          <w:b/>
        </w:rPr>
        <w:t xml:space="preserve"> </w:t>
      </w:r>
      <w:r>
        <w:rPr>
          <w:b/>
        </w:rPr>
        <w:br/>
      </w:r>
    </w:p>
    <w:p w14:paraId="3627E4CF" w14:textId="641AF07A" w:rsidR="00164C4F" w:rsidRDefault="008A135A" w:rsidP="00B8205D">
      <w:r>
        <w:rPr>
          <w:b/>
        </w:rPr>
        <w:t xml:space="preserve">Articolo 4.6 </w:t>
      </w:r>
      <w:r>
        <w:rPr>
          <w:b/>
        </w:rPr>
        <w:br/>
      </w:r>
      <w:r>
        <w:t xml:space="preserve">I dati e i documenti inseriti nel registro delle licenze di pirotecnico devono essere conservati per 12 anni. </w:t>
      </w:r>
    </w:p>
    <w:p w14:paraId="1C231879" w14:textId="77777777" w:rsidR="007F6D5D" w:rsidRDefault="007F6D5D" w:rsidP="0022132D"/>
    <w:p w14:paraId="55F68ADA" w14:textId="46A2A4D2" w:rsidR="00510B4B" w:rsidRDefault="008A135A" w:rsidP="0022132D">
      <w:pPr>
        <w:rPr>
          <w:b/>
          <w:bCs/>
        </w:rPr>
      </w:pPr>
      <w:r>
        <w:br/>
      </w:r>
      <w:r>
        <w:rPr>
          <w:b/>
        </w:rPr>
        <w:t>Articolo II Disposizione transitoria</w:t>
      </w:r>
    </w:p>
    <w:p w14:paraId="144AE3D4" w14:textId="1812F051" w:rsidR="001A647B" w:rsidRDefault="001A647B" w:rsidP="0022132D">
      <w:pPr>
        <w:rPr>
          <w:b/>
          <w:bCs/>
        </w:rPr>
      </w:pPr>
    </w:p>
    <w:p w14:paraId="299A2506" w14:textId="30EE6ECC" w:rsidR="001A647B" w:rsidRDefault="001A647B" w:rsidP="0022132D">
      <w:r>
        <w:t>Fatte salve le disposizioni dell'articolo 3B.1, paragrafo 6, le domande di licenza già rilasciati al momento dell'entrata in vigore del presente decreto perdono la loro validità a decorrere dal 1 gennaio 2025.</w:t>
      </w:r>
    </w:p>
    <w:p w14:paraId="461D4DA5" w14:textId="6D387BFE" w:rsidR="001A647B" w:rsidRDefault="001A647B" w:rsidP="0022132D"/>
    <w:p w14:paraId="01073440" w14:textId="72BC960E" w:rsidR="00510B4B" w:rsidRDefault="001A647B" w:rsidP="0022132D">
      <w:pPr>
        <w:rPr>
          <w:b/>
          <w:bCs/>
        </w:rPr>
      </w:pPr>
      <w:r>
        <w:rPr>
          <w:b/>
        </w:rPr>
        <w:t>Articolo III</w:t>
      </w:r>
    </w:p>
    <w:p w14:paraId="4126569C" w14:textId="77777777" w:rsidR="001A647B" w:rsidRDefault="001A647B" w:rsidP="0022132D">
      <w:pPr>
        <w:rPr>
          <w:b/>
          <w:bCs/>
        </w:rPr>
      </w:pPr>
    </w:p>
    <w:p w14:paraId="2CA2AEBF" w14:textId="785F24DD" w:rsidR="00510B4B" w:rsidRPr="00510B4B" w:rsidRDefault="00510B4B" w:rsidP="0022132D">
      <w:r>
        <w:t xml:space="preserve">Il presente decreto entra in vigore a una data specificata mediante regio decreto, che può essere differente per i singoli articoli o per parti degli stessi. </w:t>
      </w:r>
    </w:p>
    <w:p w14:paraId="550DE960" w14:textId="77777777" w:rsidR="00812A71" w:rsidRDefault="00DE2DBE">
      <w:r>
        <w:t> </w:t>
      </w:r>
    </w:p>
    <w:p w14:paraId="11BEDBA6" w14:textId="77777777" w:rsidR="00812A71" w:rsidRDefault="00DE2DBE">
      <w:r>
        <w:t>Con la presente si ordina che il decreto sia pubblicato sulla Gazzetta ufficiale del Regno dei Paesi Bassi unitamente alla relativa nota esplicativa.</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lastRenderedPageBreak/>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IL SEGRETARIO DI STATO ALLE INFRASTRUTTURE E ALLA GESTIONE DELLE RISORSE IDRICHE,</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NOTA ESPLICATIVA</w:t>
      </w:r>
    </w:p>
    <w:p w14:paraId="25FB4EDE" w14:textId="350D65BA" w:rsidR="00865EEC" w:rsidRDefault="00865EEC">
      <w:pPr>
        <w:rPr>
          <w:b/>
          <w:bCs/>
        </w:rPr>
      </w:pPr>
    </w:p>
    <w:p w14:paraId="5E046A8F" w14:textId="37E54663" w:rsidR="00865EEC" w:rsidRDefault="00865EEC">
      <w:pPr>
        <w:rPr>
          <w:b/>
          <w:bCs/>
        </w:rPr>
      </w:pPr>
      <w:r>
        <w:rPr>
          <w:b/>
        </w:rPr>
        <w:t>Generale</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Introduzione</w:t>
      </w:r>
    </w:p>
    <w:p w14:paraId="2B349D7E" w14:textId="77777777" w:rsidR="00E021AD" w:rsidRDefault="00E021AD" w:rsidP="002701E5"/>
    <w:p w14:paraId="297BEA88" w14:textId="7A565559" w:rsidR="00E021AD" w:rsidRDefault="0022132D">
      <w:r>
        <w:t>Lo scopo del presente decreto è quello di attuare una decisione Benelux</w:t>
      </w:r>
      <w:r w:rsidR="002701E5" w:rsidRPr="00183C54">
        <w:rPr>
          <w:rStyle w:val="FootnoteReference"/>
        </w:rPr>
        <w:footnoteReference w:id="2"/>
      </w:r>
      <w:r>
        <w:t xml:space="preserve"> nel campo dei fuochi d'artificio nel decreto dei fuochi d'artificio. Il presente decreto rende operativo ulteriormente il registro delle licenze di pirotecnico, come annunciato nella relazione al disegno di legge che modifica alcune leggi del ministero delle Infrastrutture e della gestione delle risorse idriche (IenW legge collettiva 2021).</w:t>
      </w:r>
      <w:r>
        <w:rPr>
          <w:rStyle w:val="FootnoteReference"/>
        </w:rPr>
        <w:footnoteReference w:id="3"/>
      </w:r>
      <w:r>
        <w:t xml:space="preserve"> L'istituzione del registro delle licenze di pirotecnico è disciplinata dall'articolo 9.5.8 della legge sulla gestione ambientale (di seguito: Wm). La sua elaborazione avviene nel presente decreto. I dettagli tecnici del registro e della procedura di richiesta sono elaborati mediante ordinanza ministeriale. La base del presente decreto è il testo del decreto fuochi d'artificio in quanto sarà successivo all'entrata in vigore della legge sull'ambiente e alla modifica del decreto fuochi d'artificio, che entra in vigore contemporaneamente alla legge sull'ambiente (Bollettino degli atti e dei decreti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Legislazione di attuazione</w:t>
      </w:r>
    </w:p>
    <w:p w14:paraId="5F25AEAD" w14:textId="77777777" w:rsidR="000734E3" w:rsidRPr="000734E3" w:rsidRDefault="000734E3" w:rsidP="000734E3">
      <w:pPr>
        <w:pStyle w:val="ListParagraph"/>
        <w:rPr>
          <w:b/>
          <w:bCs/>
        </w:rPr>
      </w:pPr>
    </w:p>
    <w:p w14:paraId="3E0499A7" w14:textId="5D131EB0" w:rsidR="007F40A5" w:rsidRDefault="007F40A5" w:rsidP="00E021AD">
      <w:r>
        <w:t>Sulla base della direttiva 2013/29/UE</w:t>
      </w:r>
      <w:r>
        <w:rPr>
          <w:rStyle w:val="FootnoteReference"/>
        </w:rPr>
        <w:footnoteReference w:id="4"/>
      </w:r>
      <w:r>
        <w:t xml:space="preserve"> (di seguito: la direttiva sugli articoli pirotecnici), alcuni articoli pirotecnici possono essere messi a disposizione sul mercato solo a persone con conoscenze specialistiche. Il 7 dicembre 2020 è stata firmata una decisione del Benelux con l'obiettivo di introdurre un documento di controllo uniforme in modo che una persona che desideri acquistare gli articoli pirotecnici in questione possa dimostrare di possedere le conoscenze specialistiche necessarie in un contesto transfrontaliero. L'introduzione della licenza di pirotecnico, un documento di controllo uniforme all'interno del Benelux, può rendere più facile per un venditore di tali articoli pirotecnici in un paese del Benelux verificare un documento per l'autenticità e la validità. Ciò elimina un ostacolo al corretto funzionamento del mercato interno. Inoltre, questo strumento può contribuire in modo significativo alla lotta contro il commercio illecito e alla prevenzione di lesioni e danni materiali. I paesi del Benelux desiderano assumere la guida all'interno dell'UE, con l'obiettivo di stabilire un accordo che si applichi infine alle persone autorizzate in qualità di persone con conoscenze specialistiche in altri Stati membri dell'UE. </w:t>
      </w:r>
    </w:p>
    <w:p w14:paraId="39FD9BF4" w14:textId="5154AA32" w:rsidR="00FA2E81" w:rsidRDefault="00FA2E81" w:rsidP="00E021AD"/>
    <w:p w14:paraId="0EC72B35" w14:textId="77BA0E63" w:rsidR="00FA2E81" w:rsidRDefault="00C22BC4" w:rsidP="00E021AD">
      <w:r>
        <w:t>La decisione Benelux è limitata nell'ambito di applicazione e nell'oggetto. La decisione del Benelux non mira ad armonizzare i requisiti sostanziali che i rispettivi paesi del Benelux possono o non possono imporre per autorizzare una persona in qualità di esperto con conoscenze specialistiche.</w:t>
      </w:r>
      <w:r w:rsidR="00FA2E81">
        <w:rPr>
          <w:rStyle w:val="FootnoteReference"/>
        </w:rPr>
        <w:footnoteReference w:id="5"/>
      </w:r>
      <w:r>
        <w:t xml:space="preserve"> Inoltre la decisione del Benelux non modifica gli attuali divieti, europei o olandesi, di mettere determinati articoli pirotecnici a disposizione del pubblico. La decisione Benelux non contiene inoltre norme sulla manipolazione e/o l'uso di articoli pirotecnici dopo l'acquisto.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Principi della proposta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L'uso inappropriato di articoli pirotecnici da parte di persone non autorizzate a farlo è un problema persistente che si traduce ogni anno in una grande quantità di lesioni e danni. Alcuni tipi di articoli pirotecnici più pesanti possono essere messi a disposizione sul mercato solo a persone con conoscenze specialistiche. Sebbene la persona che desidera acquistare tali prodotti in un contesto transfrontaliero possa presentare un documento proveniente da un altro paese per dimostrarlo, il venditore non è in grado di valutare adeguatamente l'autenticità e la validità di tale documento. L'introduzione della licenza di pirotecnico come documento di controllo uniforme può ovviare a questo riguardo alle persone autorizzate come persone con conoscenze specialistiche in un altro paese del Benelux. Ciò consente di rendere visibili i flussi commerciali legali, in modo da ridurre in modo più efficace la vendita illegale di fuochi d'artificio professionali. Inoltre, contribuisce al corretto funzionamento del mercato interno per gli operatori professionali di fuochi d'artificio che desiderano prestare i loro servizi in un altro paese.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La presente modifica del decreto sui fuochi d'artificio stabilisce i casi in cui la verifica dei documenti di ispezione richiesti deve essere effettuata sulla base della licenza di pirotecnico, dell'obbligo di verifica e dei motivi di recesso. Inoltre, viene ulteriormente elaborata l'accessibilità al registro delle licenze di pirotecnico.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La presente proposta obbliga gli operatori economici (produttori, importatori e distributori) a mettere a disposizione sul mercato fuochi d'artificio professionali, articoli pirotecnici per uso teatrale e articoli pirotecnici della categoria P2 per verificare se tale persona abbia il diritto di acquistare tali articoli pirotecnici. Per le persone designate ai sensi della legislazione dei paesi del Benelux come persona con conoscenze specialistiche o persona responsabile, tale verifica è effettuata sulla base della licenza di pirotecnico. L'operatore è quindi in grado di verificare la validità della licenza di pirotecnico nel sistema attrezzato a tal fine. Inoltre, l'operatore economico è tenuto a conservare nei propri registri una copia della licenza di pirotecnico e della fattura. La licenza di pirotecnico può essere ritirata quando la designazione come persona con conoscenze specialistiche o persona responsabile non è più valida o in caso di uso improprio.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Inoltre, viene utilizzata la possibilità di allegare un periodo di validità ala domanda di autorizzazione e vengono rettificate alcune omissioni minori. Ciò sarà discusso in modo più dettagliato nelle note articolo per articolo.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Relazioni con il diritto superiore</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Diritto europeo</w:t>
      </w:r>
    </w:p>
    <w:p w14:paraId="15B82FB7" w14:textId="459F957D" w:rsidR="00AC6B62" w:rsidRDefault="00CF7C1C" w:rsidP="00AC6B62">
      <w:pPr>
        <w:spacing w:line="240" w:lineRule="auto"/>
      </w:pPr>
      <w:r>
        <w:t xml:space="preserve">Gli articoli pirotecnici sono in gran parte disciplinati dalla direttiva sugli articoli pirotecnici. L'articolo 5 di tale direttiva stabilisce che gli Stati membri adottano le misure necessarie per garantire che gli articoli pirotecnici siano messi a disposizione sul mercato solo se soddisfano i requisiti della presente direttiva. L'articolo 6 di tale direttiva definisce i fuochi d'artificio della categoria F4, articoli pirotecnici per uso teatrale della categoria T2 e altri articoli pirotecnici della categoria P2 come destinati esclusivamente ad essere utilizzati da persone con conoscenze specialistiche e stabilisce che gli Stati membri devono informare la Commissione europea delle procedure in base alle quali essi identificano e autorizzano persone con conoscenze specialistiche. L'articolo 7, paragrafo 3, della direttiva sugli articoli pirotecnici stabilisce che i suddetti articoli possono essere messi a disposizione sul mercato solo da fabbricanti, importatori o distributori a persone con conoscenze specialistiche. Ai sensi dell'art. 4, paragrafo 2, della direttiva sugli articoli pirotecnici, uno Stato membro può adottare misure per vietare o limitare taluni articoli pirotecnici. Pertanto, nei Paesi Bassi, ad esempio, la messa a disposizione sul mercato di articoli pirotecnici della categoria T1, fuochi d'artificio della categoria F3 e taluni articoli della categoria F2 è completamente vietata. </w:t>
      </w:r>
    </w:p>
    <w:p w14:paraId="10FDAB75" w14:textId="6EA752F6" w:rsidR="00776C70" w:rsidRDefault="00776C70" w:rsidP="00AC6B62">
      <w:pPr>
        <w:spacing w:line="240" w:lineRule="auto"/>
      </w:pPr>
    </w:p>
    <w:p w14:paraId="24268EB2" w14:textId="6DFD3872" w:rsidR="00776C70" w:rsidRDefault="00776C70" w:rsidP="00D310A6">
      <w:pPr>
        <w:keepNext/>
        <w:keepLines/>
        <w:spacing w:line="240" w:lineRule="auto"/>
        <w:rPr>
          <w:u w:val="single"/>
        </w:rPr>
      </w:pPr>
      <w:r>
        <w:rPr>
          <w:u w:val="single"/>
        </w:rPr>
        <w:lastRenderedPageBreak/>
        <w:t>Benelux</w:t>
      </w:r>
    </w:p>
    <w:p w14:paraId="266B5C3C" w14:textId="71C2CD25" w:rsidR="00776C70" w:rsidRPr="00776C70" w:rsidRDefault="00776C70" w:rsidP="00D310A6">
      <w:pPr>
        <w:keepNext/>
        <w:keepLines/>
        <w:spacing w:line="240" w:lineRule="auto"/>
      </w:pPr>
      <w:r>
        <w:t xml:space="preserve">La base giuridica della decisione Benelux è costituita dall'articolo 6, paragrafo 2, lettera a), del trattato che istituisce l'Unione del Benelux e dall'articolo 1, lettera b), del protocollo del 29 aprile 1969 relativo all'abolizione dei controlli e delle formalità alle frontiere interne del Benelux e all'eliminazione degli ostacoli alla libera circolazione. Sulla base di tali disposizioni, il comitato dei ministri può prendere decisioni al fine di coordinare le leggi dei tre paesi del Benelux per eliminare determinati ostacoli. La decisione Benelux si concentra principalmente sul corretto funzionamento del mercato interno degli articoli pirotecnici. Questo rende la vendita di articoli pirotecnici più facile a persone con le conoscenze specialistiche necessarie. Inoltre, la decisione Benelux contribuisce anche alla lotta contro il commercio illecito e la prevenzione del pregiudizio e dei danni materiali, in cui l'Unione del Benelux intende assumere un ruolo di primo piano.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Relazione con le normative nazionali</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Gli articoli pirotecnici sono disciplinati principalmente dalla legge olandese nel decreto sui fuochi d'artificio. L'articolo 9.2.2.1, paragrafi 1 e 2, del Wm costituisce la base principale del decreto sui fuochi d'artificio. Tuttavia, per l'attuazione del registro delle licenze di pirotecnico è necessaria una base specifica in relazione al trattamento dei dati personali, che è stato realizzato a tal fine nell'articolo 9.5.8 del Wm. Il presente decreto si basa quindi sui paragrafi 1 e 2 dell'articolo 9.2.2.1 e sull'articolo 9.5.8, paragrafi 3 e 4, del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L'articolo 1.1.2 bis, paragrafo 1, del decreto sui fuochi d'artificio designa persone con conoscenze specialistiche. Ai sensi dell'articolo 1.1.2 bis, paragrafo 2, una persona con conoscenze specialistiche è designata come tale anche in relazione ai fuochi d'artificio e agli articoli pirotecnici per uso teatrale in un altro Stato membro dell'Unione europea.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In pratica, il gruppo più numeroso di persone con conoscenze specialistiche è costituito dai titolari di una domanda di autorizzazione (articolo 1.1.2 bis, paragrafo 1, lettera b)). Tuttavia, alla luce dell'articolo 3B.1, paragrafo 6, il titolare di una domanda di autorizzazione può essere sia una persona giuridica che una persona fisica, mentre la licenza di pirotecnico può essere fornita solo a una persona fisica ai sensi della decisione Benelux. Tuttavia, la decisione Benelux include anche la figura di una "persona responsabile". Si tratta di una persona designata da una persona giuridica autorizzata a conservare o mettere a disposizione sul mercato articoli pirotecnici per utilizzare articoli pirotecnici per conto di tale persona giuridica.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La persona che accende effettivamente i fuochi d'artificio di solito non è la stessa persona (legale o meno) del titolare di una domanda di autorizzazione. La formazione e l'iscrizione sono necessarie per l'avvio di fuochi d'artificio professionali ai sensi del decreto sulle condizioni di lavoro. Per ottenere una domanda di autorizzazione, i richiedenti devono, tra l'altro, presentare copia di un'iscrizione valida nel registro degli operatori pirotecnici di cui all'articolo 4.9, paragrafo 1, del decreto sulle condizioni di lavoro, rilasciata alla persona da cui sono effettuati gli atti oggetto della domanda e che si riferisce a tali atti. Inoltre, vi sono anche elaboratori di fuochi d'artificio (articolo 4.9, comma 2, del decreto sulle condizioni di lavoro) che svolgono lavori che comprendono la vendita, la lavorazione o la messa a disposizione di fuochi d'artificio del consumatore, fuochi d'artificio professionali o articoli pirotecnici per l'uso teatrale. Queste persone sono designate come "persona responsabile".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Sulla base del decreto condizioni di lavoro e ulteriormente elaborato nel regolamento condizioni di lavoro, è disciplinato chi ha accesso al registro degli elaboratori di fuochi d'artificio e degli operatori pirotecnici. Ai sensi dell'articolo 1.5o(c) del decreto condizioni di lavoro, i registri possono essere consultati da altre persone direttamente interessate (oltre, tra l'altro, dal cliente o dal rappresentante autorizzato del cliente) per quanto riguarda la registrazione o la sospensione di una persona. La motivazione di tale decisione precisa che ciò potrebbe includere, ad esempio, le autorità pubbliche che </w:t>
      </w:r>
      <w:r>
        <w:lastRenderedPageBreak/>
        <w:t xml:space="preserve">prendono decisioni sulla base del decreto sui fuochi d'artificio. Ciò è rilevante per verificare se la registrazione di un lavoratore pirotecnico sia valida nel contesto della licenza di pirotecnico.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Il modello per la licenza di pirotecnico e i dettagli più tecnici, come previsto dalla base giuridica, sono elaborati in un regolamento ministeriale.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Conseguenze (escluse le conseguenze finanziarie)</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Impatto a livello di oneri normativi</w:t>
      </w:r>
    </w:p>
    <w:p w14:paraId="6914D7FF" w14:textId="28F21F0E" w:rsidR="00936355" w:rsidRDefault="00C43025" w:rsidP="00AE0502">
      <w:pPr>
        <w:keepNext/>
        <w:keepLines/>
        <w:spacing w:line="240" w:lineRule="auto"/>
      </w:pPr>
      <w:r>
        <w:t xml:space="preserve">La modifica del decreto sui fuochi d'artificio ha conseguenze normative per diverse parti del settore dei fuochi d'artificio. Ciò vale per gli operatori e le persone che sono tenuti a richiedere la licenza di pirotecnico. </w:t>
      </w:r>
      <w:r>
        <w:rPr>
          <w:color w:val="auto"/>
          <w:shd w:val="clear" w:color="auto" w:fill="FFFFFF"/>
        </w:rPr>
        <w:t>Nel calcolare l'onere amministrativo, è prescritta la metodologia nazionale per gli effetti di pressione normativa, che assume 50 EURO all'ora di costi.</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Gli operatori economici dovranno essere presto obbligati a richiedere la licenza di pirotecnico per la vendita di determinati articoli pirotecnici, a verificarne la validità nel registro delle licenze di pirotecnico e a conservarne la prova nei loro registri. Al momento, queste parti sono anche tenute a verificare se la persona che acquista articoli pirotecnici è una persona con conoscenze specialistiche. Di conseguenza, gli effetti dell'introduzione della licenza di pirotecnico su questi lotti sono di piccole dimensioni e devono anche facilitare i controlli. Tuttavia, gli operatori economici devono prendere atto dei nuovi obblighi; a tal fine viene assegnata circa un'ora per operatore economico. Inoltre, gli operatori economici sono tenuti a conservare le informazioni nei loro registri, per i quali vengono calcolati cinque minuti per operazione per operatore economico. Nei Paesi Bassi sono attivi circa 10 operatori di mercato. Ciò significa che l'onere normativo di queste modifiche è praticamente nullo per questo gruppo target.</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Per le persone con conoscenze specialistiche o persone responsabili, la modifica del decreto fuochi d'artificio significa che devono essere in grado di dimostrare, sulla base della licenza di pirotecnico, che sono autorizzati in quanto tali. Devono richiedere una licenza di pirotecnico. Ciò costituisce un atto aggiuntivo per queste parti, anche se non vengono imposti nuovi requisiti di formazione o altri requisiti. Di conseguenza, le conseguenze per questo gruppo target sono state mantenute il più possibile limitate. Due ore sono assegnate per prendere atto dell'obbligo e della domanda per la licenza di pirotecnico e raccogliere i dati necessari. Attualmente è difficile stimare quante persone dovranno richiedere una licenza di pirotecnico. Tale numero dovrebbe essere compreso tra 50 e 150 persone. Ciò significa che l'onere normativo di tali modifiche per questo gruppo di riferimento nel suo complesso è stimato in totale tra 5 000 EUR e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Il presente decreto stabilisce un periodo di validità della domanda di autorizzazione. Ciò significa che la domanda di autorizzazione deve essere nuovamente richiesta dopo la scadenza del periodo di validità. Attualmente, ci sono circa 75 titolari di una domanda di autorizzazione. La richiesta per la domanda di autorizzazione, compresa la dichiarazione di condotta necessaria (di seguito: VOG), ha una tempistica stimata di due ore. Non viene addebitata alcuna tassa per la domanda di licenza stessa. Ciò significa che per questo specifico gruppo di destinatari l'onere normativo complessivo è stimato a circa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Efficacia ed efficienza</w:t>
      </w:r>
    </w:p>
    <w:p w14:paraId="2BE5AB6D" w14:textId="0BC0329B" w:rsidR="008D009E" w:rsidRDefault="008D009E" w:rsidP="00C43025">
      <w:pPr>
        <w:spacing w:line="240" w:lineRule="auto"/>
      </w:pPr>
      <w:r>
        <w:t>Con l'introduzione del sistema di licenza di pirotecnico solo nel Benelux, l'efficacia e l'efficienza sono inizialmente limitate. Tuttavia, l'introduzione ha anche un importante ruolo di sperimentazione e i risultati dell'UE sono monitorati. L'obiettivo del Benelux è che la licenza di pirotecnico venga lanciato all'interno dell'Unione europea.</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Conseguenze per la privacy</w:t>
      </w:r>
    </w:p>
    <w:p w14:paraId="57A10400" w14:textId="10864A2A" w:rsidR="00CA1DB1" w:rsidRDefault="00252E79" w:rsidP="00C43025">
      <w:pPr>
        <w:spacing w:line="240" w:lineRule="auto"/>
      </w:pPr>
      <w:r>
        <w:t xml:space="preserve">Il presente decreto comporta il trattamento dei dati personali. Il disegno di legge che istituisce il registro delle licenze di pirotecnico è la base principale per questo; a tal fine </w:t>
      </w:r>
      <w:r>
        <w:lastRenderedPageBreak/>
        <w:t xml:space="preserve">è stata elaborata una DPIA ed è stato richiesto un parere all'Autorità olandese per la protezione dei dati. A riguardo non sono state formulate osservazioni.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Per il presente emendamento è stata elaborata una nuova DPIA. Il ministro delle Infrastrutture e della gestione delle risorse idriche (IenW) è il responsabile del trattamento. Ai fini del presente decreto sono previste diverse operazioni di trattamento dei dati, vale a dire la domanda di licenza di pirotecnico, la sua valutazione e il suo rilascio. Inoltre, i dati necessari, come richiesto dalla decisione Benelux, sono conservati nel registro delle licenze di pirotecnico. Qualora gli articoli pirotecnici della categoria F3, F4, T2 o P2 siano venduti da un operatore economico, il venditore è tenuto a verificare la licenza di pirotecnico e il documento d'identità e a consultare il registro delle licenze di pirotecnico. Inoltre, l'operatore economico deve conservare nei suoi registri alcuni documenti di cui all'articolo 4.1, paragrafo 8. Infine, i dati personali sono trattati quando gli organismi responsabili del controllo del rispetto delle norme applicabili agli articoli pirotecnici e dell'applicazione di tali norme hanno accesso al registro. Il requisito di proporzionalità e sussidiarietà è stato preso in considerazione sia nel contesto della decisione Benelux che nell'attuale attuazione. In tutte le operazioni di trattamento, non vengono trattati più dati personali del necessario, né vengono trattati oltre lo scopo per il quale sono stati ottenuti (finalità vincolanti), </w:t>
      </w:r>
      <w:bookmarkStart w:id="4" w:name="_Hlk125126125"/>
      <w:r>
        <w:t>tranne nel contesto del controllo del rispetto delle norme applicabili agli articoli pirotecnici e dell'applicazione di tali norme da parte delle autorità competenti.</w:t>
      </w:r>
      <w:bookmarkEnd w:id="4"/>
      <w:r>
        <w:t xml:space="preserve"> Quest'ultima è rilevante, ad esempio, quando l’ufficio del pubblico ministero (di seguito: PM) riceve l'accesso al registro.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I dati non saranno conservati più a lungo del necessario. I registri e i dati inseriti nel registro delle licenze di pirotecnico sono conservati per 12 anni. A tal fine, ciò è allineato al termine massimo di prescrizione delle infrazioni pirotecniche.</w:t>
      </w:r>
    </w:p>
    <w:p w14:paraId="7D003D62" w14:textId="413391F3" w:rsidR="00CA1DB1" w:rsidRDefault="00447582" w:rsidP="00447582">
      <w:pPr>
        <w:spacing w:line="240" w:lineRule="auto"/>
        <w:rPr>
          <w:color w:val="auto"/>
        </w:rPr>
      </w:pPr>
      <w:r>
        <w:t xml:space="preserve">Gli operatori conservano copia del documento di controllo nei registri unitamente alla fattura in questione e, se del caso, al documento di trasporto in questione per sette anni. </w:t>
      </w:r>
      <w:r>
        <w:rPr>
          <w:color w:val="auto"/>
        </w:rPr>
        <w:t>Ciò è in linea con il periodo di conservazione nazionale per i registri.</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Il rilascio della licenza di pirotecnico e l'attuazione e la gestione del registro delle licenze di pirotecnico sono effettuati su istruzione di un'organizzazione da determinare. Gli accordi necessari, come un accordo di elaborazione, saranno conclusi a tale fine.</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Attuazione &amp; esecuzione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È necessario creare e gestire il registro delle licenze di pirotecnico. Questo potere è stato conferito al ministro di IenW nel presente decreto. </w:t>
      </w:r>
      <w:r>
        <w:rPr>
          <w:highlight w:val="yellow"/>
        </w:rPr>
        <w:t>Da specificare</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Le norme sui fuochi d'artificio sono applicate sia per quanto riguarda il diritto amministrativo che penale. In termini di diritto amministrativo, una multa può essere inflitta sulla base del Wm, o come sanzione amministrativa. L'Ispettorato dell'ambiente e dei trasporti (ILT) supervisiona la sicurezza e la qualità dei fuochi d'artificio immessi sul mercato dalle aziende. L'ILT è l'autorità di controllo per il trasporto di sostanze pericolose, compresi i fuochi d'artificio ai sensi della normativa sui trasporti e l'importazione e l'esportazione di fuochi d'artificio da parte delle imprese ai sensi del decreto sui fuochi d'artificio. L'ITT rilascia anche i permessi. Il progetto di decreto è stato sottoposto all'ILT il xx per un processo di applicabilità, praticabilità e resistenza alle frodi. Il decreto è stato valutato dalla ILT come </w:t>
      </w:r>
      <w:r>
        <w:rPr>
          <w:highlight w:val="yellow"/>
        </w:rPr>
        <w:t>... PM HUF 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La legge sui reati economici prevede pene per le violazioni delle disposizioni del decreto sui fuochi d'artificio. L’applicazione delle pene è affidata alla polizia e al pubblico ministero. Ciò vale, ad esempio, per la vendita di fuochi d'artificio professionali a privati. La legge collettiva IenW 2021 modifica la legge sui reati economici per far rispettare anche l'articolo 9.5.8, paragrafo 6. In caso di reato, è prevista una pena detentiva massima di sei anni, servizi sociali o sanzione pecuniaria della quinta categoria (attualmente 90 000 EUR). Il progetto di decreto è stato presentato alla Procura della repubblica il </w:t>
      </w:r>
      <w:r>
        <w:rPr>
          <w:highlight w:val="yellow"/>
        </w:rPr>
        <w:t>xx</w:t>
      </w:r>
      <w:r>
        <w:t xml:space="preserve">. </w:t>
      </w:r>
      <w:r>
        <w:rPr>
          <w:highlight w:val="yellow"/>
        </w:rPr>
        <w:t>HUF test da specificare</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lastRenderedPageBreak/>
        <w:t>8. Impatto finanziario</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Ai sensi dell'articolo 9.5.8, paragrafo 5, della Wm, è possibile applicare una tariffa per la domanda della licenza di pirotecnico. Ciò non è attualmente previsto in questo caso, il che rende molto limitato l'impatto finanziario sul settore. Non è richiesta alcuna tassa per il la domanda di autorizzazione, il che significa che l'introduzione di un periodo di validità non comporta costi più elevati.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Consulenza e consultazioni</w:t>
      </w:r>
    </w:p>
    <w:p w14:paraId="1D22CCE9" w14:textId="3285AF09" w:rsidR="00D4395F" w:rsidRDefault="006B5035" w:rsidP="00FF6FF4">
      <w:pPr>
        <w:keepNext/>
        <w:keepLines/>
        <w:spacing w:line="240" w:lineRule="auto"/>
      </w:pPr>
      <w:r>
        <w:t>Diverse parti sono state consultate in merito all'elaborazione del presente decreto. I test di prestazione di OM e ILT sono già stati discussi sopra. È stato inoltre discusso un progetto iniziale con i rappresentanti del VEN (Dutch Event Fireworks Association), della BPN (Dutch Pyrotechnics Association) e dello Stichting VuurwerkCheck. Di conseguenza, il decreto prevede che anche i titolari di licenza di pirotecnico autorizzati per i fuochi d'artificio di categoria F3 o F4 siano considerati autorizzati per i fuochi d'artificio della categoria F2 non designati per uso privato. È inoltre previsto che i titolari di un licenza di pirotecnico autorizzata per gli articoli pirotecnici per l'uso di articoli pirotecnici di categoria T2 siano considerati autorizzati anche per gli articoli pirotecnici per uso teatrale della categoria T1. Sebbene l'industria abbia indicato che l'approccio al commercio illecito con i fuochi d'artificio è importante, essi nutrono dubbi circa l'efficacia del passaggio alla licenza di pirotecnico sui flussi commerciali illegali, poiché è importato solo all'interno del Benelux. La licenza di pirotecnico è uno strumento che fa parte di un più ampio pacchetto di misure per ridurre l'illegalità con fuochi d'artificio professionali. È il desiderio del Benelux che la licenza di pirotecnico sia elaborata all'interno dell'Unione europea. L'industria ha indicato che l'introduzione della licenza di pirotecnico è vista come un aumento degli oneri amministrativi, in quanto ritengono che questo passaggio costituisca una duplicazione della notifica ai sensi dell'articolo 1.4.1 del decreto sui fuochi d'artificio. L'onere amministrativo, come spiegato al paragrafo 6 della relazione, è stato mantenuto il più limitato possibile. La licenza di pirotecnico rende più facile per gli operatori economici verificare se un acquirente ha i permessi richiesti. Inoltre, non vi è alcuna duplicazione con il sistema di notifica di cui all'articolo 1.4.1 del decreto sui fuochi d'artificio, in quanto lo scopo di questo sistema non è esattamente paragonabile alla finalità della licenza di pirotecnico. Il sistema di notifica si riferisce alla mappatura dei flussi transfrontalieri di prodotti, mentre la licenza di pirotecnico riguarda le operazioni di vendita.</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A causa dell'impatto molto limitato sull'onere normativo, non è stato effettuato alcun test per le PMI.</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Un parere dell'Autorità olandese per la protezione dei dati è stato richiesto il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Si è svolta una consultazione via Internet sul presente decreto. Sulla base del comma 4 dell'articolo 21.6, il progetto di decreto è stato anche pre-pubblicato sulla Gazzetta ufficiale per dare a tutti la possibilità di informare per iscritto il nostro ministro entro un termine di quattro settimane. In questo caso, la consultazione su Internet può essere omessa. </w:t>
      </w:r>
    </w:p>
    <w:p w14:paraId="62852144" w14:textId="72BDE637" w:rsidR="00027B61" w:rsidRDefault="00027B61" w:rsidP="006B5035">
      <w:pPr>
        <w:spacing w:line="240" w:lineRule="auto"/>
      </w:pPr>
      <w:r>
        <w:rPr>
          <w:highlight w:val="yellow"/>
        </w:rPr>
        <w:t>Commenti di consultazione internet e pre-pubblicazione PM</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Inoltre, il progetto di decreto è stato presentato il </w:t>
      </w:r>
      <w:r>
        <w:rPr>
          <w:highlight w:val="yellow"/>
        </w:rPr>
        <w:t>data x</w:t>
      </w:r>
      <w:r>
        <w:t xml:space="preserve"> alla prima e alla seconda camera nel contesto della sospensione prevista dalla legge (articolo 21.6, paragrafo 4, del Wm). </w:t>
      </w:r>
      <w:r>
        <w:rPr>
          <w:highlight w:val="yellow"/>
        </w:rPr>
        <w:t>Allegato contributo PM.</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Valutazione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Il presente decreto e il funzionamento della licenza di pirotecnico devono essere valutati dopo tre anni. Ciò è importante anche per poter determinare se questo sistema funziona </w:t>
      </w:r>
      <w:r>
        <w:lastRenderedPageBreak/>
        <w:t xml:space="preserve">all'interno del Benelux e per fornire contributi per un'eventuale introduzione a livello europeo.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Legge transitoria ed entrata in vigore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La legge transitoria è auspicabile per quanto riguarda il periodo di validità della domanda di autorizzazione al fine di evitare che le licenze rilasciate (un lungo periodo) in passato non siano più valide improvvisamente. A tal fine è stato fissato un periodo transitorio di un anno. Questo periodo dà al settore e al fornitore della licenza un tempo sufficiente per presentare una domanda.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Ai sensi dell'articolo 7, paragrafo 2, della decisione Benelux, i paesi del Benelux devono mettere in vigore le disposizioni legislative, penali, regolamentari e amministrative necessarie per conformarsi alle disposizioni della presente decisione Benelux entro tre anni dall'entrata in vigore della decisione Benelux. La decisione Benelux è entrata in vigore il 7 dicembre 2020, il che significa che l'attuazione della presente deve essere completata il 7 dicembre 2023. L'entrata in vigore del presente decreto avviene con regio decreto, con l'obiettivo di mettere in vigore tale modifica il 1 gennaio 2024. L'entrata in vigore il 1 gennaio 2024 è auspicabile a causa della relativa modifica del decreto sulle condizioni di lavoro (Bollettino delle leggi e dei decreti 2019, 471), anch'esso entrato in vigore in tale data. </w:t>
      </w:r>
      <w:r>
        <w:rPr>
          <w:highlight w:val="yellow"/>
        </w:rPr>
        <w:t>Ulteriore legge transitoria PM, se necessario.</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Note esplicative per articolo</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Articolo I, parte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In tale disposizione sono aggiunte alcune definizioni all'articolo 1.1.1, paragrafo 1, del decreto sui fuochi d'artificio. Il concetto di persona responsabile discende dalla decisione Benelux. Per la situazione olandese, oltre a una persona con conoscenze specialistiche, si afferma più specificamente che si tratta di un elaboratore di fuochi d'artificio o di un operatore di fuochi d'artificio designato da un soggetto giuridico legittimato a immagazzinare o mettere a disposizione sul mercato (spesso il titolare della domanda di autorizzazione). I concetti di elaboratore di fuochi d'artificio e di operatore pirotecnico sono legati al sistema del decreto condizioni di lavoro che disciplina la registrazione di tali professioni. Ciò garantisce che si tratti di una persona che ha una conoscenza professionale degli articoli pirotecnici in questione e ha ricevuto una formazione a tale scopo.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Articolo I, parte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L'articolo 1.1.3 contiene l'ambito di applicazione del decreto sui fuochi d'artificio. Con la modifica del decreto dei fuochi d'artificio del 20 giugno 2022 (Bollettino delle leggi dei decreti 2022, 291), ciò è stato esteso agli articoli pirotecnici delle categorie P1 e P2 utilizzati come fuochi d'artificio o apparentemente destinati ad essere utilizzati come fuochi d'artificio. Con questa modifica attuale, è necessario integrarlo perché la vendita di P2 non è consentita senza verifica dei documenti di controllo, anche se questo articolo non è utilizzato o destinato ad essere utilizzato come fuoco d'artificio. Tuttavia, l'estensione dell'ambito di applicazione a questo punto si applica solo al nuovo capitolo 4 del decreto sui fuochi d'artificio.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Articolo I, lettera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L'opportunità è stata utilizzata per correggere un riferimento a una legge ormai scaduta. All'articolo 1.2.5, paragrafo 2, è stato fatto riferimento alle disposizioni della legge sul trasporto merci su strada. Tuttavia, questa legge è scaduta il 1 maggio 2009 ed è stata sostituita con la legge sul trasporto merci su strada. L'ex articolo 20 della legge sul trasporto merci su strada, che comprendeva in breve l'obbligo di registrazione e il certificato di registrazione di accompagnamento, è stato abrogato. L'articolo 29, il divieto di effettuare il trasporto senza la redazione di una lettera di vettura, è stato </w:t>
      </w:r>
      <w:r>
        <w:lastRenderedPageBreak/>
        <w:t xml:space="preserve">sostanzialmente sostituito dall'articolo 2.13 della legge sul trasporto merci su strada. L'articolo 1.2.5, paragrafo 2, è stato modificato di conseguenza.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Articolo I, lettera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La domanda di licenza è attualmente concessa per un periodo di tempo indefinito. L'attuazione della presente decisione Benelux ha dimostrato che ciò non è più auspicabile. Allegando un periodo di validità di cinque anni alla domanda di autorizzazione, è necessario verificare nuovamente entro cinque anni se il richiedente soddisfa (ancora) tutti i requisiti, come un VOG. Ciò contribuisce al controllo e all'esecuzione della domanda di autorizzazione.</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Articolo I, lettera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Dopo il capitolo 3B, nel decreto fuochi d'artificio viene inserito un nuovo capitolo con le principali disposizioni per la licenza di pirotecnico.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Articolo 4.1</w:t>
      </w:r>
    </w:p>
    <w:p w14:paraId="6D216F10" w14:textId="000E4BB8" w:rsidR="0026407F" w:rsidRPr="0026407F" w:rsidRDefault="0026407F" w:rsidP="00975E08">
      <w:pPr>
        <w:spacing w:line="240" w:lineRule="auto"/>
      </w:pPr>
      <w:r>
        <w:t xml:space="preserve">L'articolo 4.1, paragrafo 1, vieta agli operatori di mettere a disposizione sul mercato gli articoli pirotecnici specificati in tale paragrafo senza controllare i documenti di persone con conoscenze specialistiche. Il paragrafo 2 dispone che, quando gli articoli pirotecnici sono forniti e una persona fisica agisce per conto di una persona giuridica, il documento di ispezione e il documento di identità di tale persona responsabile devono essere controllati. Il paragrafo 3 disciplina quali persone con conoscenze specialistiche o persone responsabili devono dimostrarlo con una licenza di pirotecnico. I requisiti della direttiva sugli articoli pirotecnici e quindi della decisione Benelux non si applicano agli articoli pirotecnici per uso non commerciale, conformemente al diritto nazionale, da parte delle forze armate, della polizia o dei vigili del fuoco. Pertanto, anche questi gruppi non devono richiedere una licenza di pirotecnico (articolo 1.1.2 bis, paragrafo 1, lettere da c) a f). Il modello della licenza di pirotecnico è stato stabilito nella decisione Benelux e sono incluse solo alcune categorie di articoli pirotecnici. Tuttavia, nei Paesi Bassi, i fuochi d'artificio della categoria F2 non destinati ad uso privato e gli articoli pirotecnici per l'uso teatrale della categoria T1 sono riservati anche a persone con conoscenze specialistiche. Pertanto, il paragrafo 4 dispone che le persone autorizzate per i fuochi d'artificio di categoria F3 o F4 sono autorizzate anche per i fuochi d'artificio di categoria F2 e, al paragrafo 5, che le persone autorizzate per gli articoli pirotecnici per l'uso teatrale di categoria T2 sono autorizzate anche per gli articoli pirotecnici per l'uso teatrale di categoria T1. In caso contrario, ciò porterebbe alla situazione che, ad esempio, una persona con conoscenze specialistiche deve mostrare la propria licenza di pirotecnico per una transazione commerciale per articoli pirotecnici di categoria T2 e un altro documento che dimostri di essere una persona con conoscenze specialistiche per gli articoli di categoria T1. Questo è considerato indesiderabile. Il paragrafo 8 stabilisce i documenti che gli operatori economici devono conservare e per quale durata. Nei casi in cui avviene il trasporto, deve essere conservato il pertinente documento di trasporto. Sulla base della decisione Benelux, è necessario rispettare i termini previsti dal diritto nazionale. Nei Paesi Bassi, l'amministrazione finanziaria delle imprese deve essere mantenuta per sette anni. Ciò è allegato al presente decreto.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Articolo 4.2</w:t>
      </w:r>
    </w:p>
    <w:p w14:paraId="2012168C" w14:textId="7E3C8FCA" w:rsidR="000C0E6D" w:rsidRPr="000C0E6D" w:rsidRDefault="00453DDC" w:rsidP="000C0E6D">
      <w:pPr>
        <w:pStyle w:val="CommentText"/>
        <w:rPr>
          <w:sz w:val="18"/>
          <w:szCs w:val="18"/>
        </w:rPr>
      </w:pPr>
      <w:r>
        <w:rPr>
          <w:sz w:val="18"/>
        </w:rPr>
        <w:t xml:space="preserve">Questo articolo elenca le persone che possono beneficiare di una licenza di pirotecnico nei Paesi Bassi. Sebbene ciò non sia direttamente disciplinato dalla decisione Benelux, è importante definire chi può richiedere la licenza di pirotecnico. È stato concordato nel contesto del Benelux che le persone con conoscenze specialistiche devono richiedere la licenza di pirotecnico nel paese in cui sono designate ai sensi della legge applicabile come persona con conoscenze specialistiche. Tuttavia, la relazione della decisione Benelux precisa che la licenza di pirotecnico è sempre un documento personale. Pertanto, questo articolo prevede che solo le persone fisiche possono beneficiare di una licenza di pirotecnico. La decisione Benelux disciplina anche gli articoli P2. Sulla base dell'articolo 3 del regolamento relativo ad altri articoli pirotecnici, sono designate </w:t>
      </w:r>
      <w:r>
        <w:rPr>
          <w:sz w:val="18"/>
        </w:rPr>
        <w:lastRenderedPageBreak/>
        <w:t>persone con conoscenze specialistiche che possono utilizzare articoli pirotecnici appartenenti alla categoria P2 a causa dello svolgimento della loro funzione. Queste persone sono anche eleggibili per una licenza di pirotecnico.</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Il paragrafo 2 prevede in particolare che la domanda di una licenza di pirotecnico per una persona responsabile deve essere effettuata insieme al titolare di una domanda di autorizzazione. In questo modo, si può garantire che sia il titolare dell’autorizzazione che la persona responsabile acconsentono alla domanda.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La licenza di pirotecnico deve avere anche un periodo di validità indicato su questo. La decisione Benelux stessa non disciplina tale periodo di validità. A causa del collegamento con la registrazione come elaboratore di fuochi d'artificio o operatore di fuochi d'artificio, è stato deciso di allinearsi al periodo di validità della registrazione. Una volta scaduto, è necessario richiedere una nuova licenza di pirotecnico dopo un massimo di cinque anni. Tuttavia, il periodo di validità della licenza di pirotecnico può essere più breve a seconda che l’autorizzazione o l'autorizzazione ambientale sia inferiore alla registrazione. Ciò garantisce che il registro sia aggiornato.</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Una serie di aspetti più tecnici e procedurali sono sviluppati dal regolamento ministeriale. Ad esempio, il modello della licenza di pirotecnico, come è allegato anche alla decisione Benelux, è stato definito con regolamento ministeriale.</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Il sistema di licenza di pirotecnico può funzionare correttamente solo se ci sono anche possibilità di revoca di questo. I paragrafi 6 e 7 precisano le circostanze in cui ciò si verifica. Tali circostanze sono l'attuazione della decisione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Articolo 4.3</w:t>
      </w:r>
    </w:p>
    <w:p w14:paraId="2D850221" w14:textId="7AF0A3A5" w:rsidR="004A650F" w:rsidRPr="0045450C" w:rsidRDefault="004A650F" w:rsidP="00E910E4">
      <w:pPr>
        <w:keepNext/>
        <w:keepLines/>
        <w:spacing w:line="240" w:lineRule="auto"/>
      </w:pPr>
      <w:r>
        <w:t xml:space="preserve">Questo articolo specifica quali documenti sono contenuti nel registro delle licenze di pirotecnico. In tal modo, non vengono conservate più informazioni di quelle necessarie per effettuare i controlli.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Articolo 4.4</w:t>
      </w:r>
      <w:r>
        <w:br/>
        <w:t xml:space="preserve">Le parti che hanno accesso al registro delle licenze di pirotecnico, in pratica gli operatori economici e gli organismi di regolamentazione, dovrebbero disporre senza indugio delle informazioni necessarie dal registro per adempiere ai loro obblighi. Pertanto, questo articolo stabilisce che il nostro ministro deve garantire che i dati e i documenti nel registro delle licenze di pirotecnico siano messi a disposizione senza indugio.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Articolo 4.5</w:t>
      </w:r>
    </w:p>
    <w:p w14:paraId="2E43070D" w14:textId="2C1D619E" w:rsidR="005D21FE" w:rsidRDefault="008B1DFC" w:rsidP="00975E08">
      <w:pPr>
        <w:spacing w:line="240" w:lineRule="auto"/>
      </w:pPr>
      <w:r>
        <w:t xml:space="preserve">Questo articolo stabilisce a chi sono accessibili le informazioni e i documenti del registro delle licenze di pirotecnico. In primo luogo, è importante che le autorità preposte all'applicazione degli articoli pirotecnici abbiano accesso al registro. In pratica, questi sono l'ILT e il pubblico ministero. Questi sono indicati al paragrafo 1. Inoltre, gli operatori economici dovrebbero avere accesso al momento della messa a disposizione degli articoli sul mercato, ma solo al fine di verificare la validità della licenza di pirotecnico. Di conseguenza, non hanno più accesso ai dati personali del necessario.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Articolo 4.6</w:t>
      </w:r>
    </w:p>
    <w:p w14:paraId="4759D869" w14:textId="43FA3E6D" w:rsidR="008B1DFC" w:rsidRPr="00414847" w:rsidRDefault="008B1DFC" w:rsidP="00975E08">
      <w:pPr>
        <w:spacing w:line="240" w:lineRule="auto"/>
      </w:pPr>
      <w:r>
        <w:t>Questo articolo stabilisce il periodo di conservazione dei dati nel registro delle licenze di pirotecnico a 12 anni. I dati personali non possono essere conservati più a lungo del necessario. Tenuto conto del termine massimo di prescrizione per i reati di fuochi d'artificio, il periodo di conservazione è vincolato a quest’ultimo.</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Articolo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Le autorizzazioni già rilasciate prima dell'entrata in vigore del presente decreto sono concesse per un periodo indefinito. Il termine del 1 gennaio 2025 è stato scelto per il periodo di validità delle attuali autorizzazioni di domanda. Questo periodo di un anno </w:t>
      </w:r>
      <w:r>
        <w:rPr>
          <w:sz w:val="18"/>
        </w:rPr>
        <w:lastRenderedPageBreak/>
        <w:t xml:space="preserve">offre sia ai candidati che al ministro di IenW, in qualità di fornitore di autorizzazioni, il tempo sufficiente per presentare e valutare una domanda.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Articolo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Il presente decreto entra in vigore a una data specificata mediante regio decreto, che può essere differente per i singoli articoli o per parti degli stessi. Come spiegato nella sezione generale della relazione, la decisione Benelux deve essere attuata il 7 dicembre 2023. L'obiettivo è quello di allinearsi il più possibile a questo, entrando in vigore il 1 gennaio 2024. L'entrata in vigore prima del 1 gennaio 2024 non è auspicabile a causa dell'entrata in vigore della modifica del decreto condizioni di lavoro (Bollettino delle leggi e dei decreti 2019, 471) che ha conseguenze per il presente decreto. 1 Gennaio è anche un tempo fisso per un ordine amministrativo generale (o una modifica) di cui alla nota 4.17 del regolamento. Ai sensi dell'articolo 21.6, paragrafo 5, del Wm, il presente decreto, dopo la sua adozione, sarà trasmesso alle due camere degli Stati generali ed entrerà in vigore non prima di quattro settimane dalla data di emissione della Gazzetta ufficiale in cui è stata pubblicata.</w:t>
      </w:r>
    </w:p>
    <w:p w14:paraId="0EE9ECA0" w14:textId="3F277537" w:rsidR="007F3C60" w:rsidRDefault="007F3C60" w:rsidP="005D21FE">
      <w:pPr>
        <w:spacing w:line="240" w:lineRule="auto"/>
      </w:pPr>
    </w:p>
    <w:p w14:paraId="154545D8" w14:textId="306748D7" w:rsidR="007F3C60" w:rsidRPr="00D310A6" w:rsidRDefault="007F3C60" w:rsidP="007F3C60">
      <w:pPr>
        <w:rPr>
          <w:lang w:val="el-GR"/>
        </w:rPr>
      </w:pPr>
      <w:r>
        <w:t>IL SEGRETARIO DI STATO ALLE INFRASTRUTTURE E ALLA GESTIONE DELLE RISORSE IDRICHE,</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EF0E" w14:textId="77777777" w:rsidR="00131982" w:rsidRDefault="00131982">
      <w:pPr>
        <w:spacing w:line="240" w:lineRule="auto"/>
      </w:pPr>
      <w:r>
        <w:separator/>
      </w:r>
    </w:p>
  </w:endnote>
  <w:endnote w:type="continuationSeparator" w:id="0">
    <w:p w14:paraId="0F35EF1B" w14:textId="77777777" w:rsidR="00131982" w:rsidRDefault="00131982">
      <w:pPr>
        <w:spacing w:line="240" w:lineRule="auto"/>
      </w:pPr>
      <w:r>
        <w:continuationSeparator/>
      </w:r>
    </w:p>
  </w:endnote>
  <w:endnote w:type="continuationNotice" w:id="1">
    <w:p w14:paraId="02389657" w14:textId="77777777" w:rsidR="00131982" w:rsidRDefault="001319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0CAF" w14:textId="77777777" w:rsidR="00131982" w:rsidRDefault="00131982">
      <w:pPr>
        <w:spacing w:line="240" w:lineRule="auto"/>
      </w:pPr>
      <w:r>
        <w:separator/>
      </w:r>
    </w:p>
  </w:footnote>
  <w:footnote w:type="continuationSeparator" w:id="0">
    <w:p w14:paraId="4459DEC6" w14:textId="77777777" w:rsidR="00131982" w:rsidRDefault="00131982">
      <w:pPr>
        <w:spacing w:line="240" w:lineRule="auto"/>
      </w:pPr>
      <w:r>
        <w:continuationSeparator/>
      </w:r>
    </w:p>
  </w:footnote>
  <w:footnote w:type="continuationNotice" w:id="1">
    <w:p w14:paraId="6ED895D9" w14:textId="77777777" w:rsidR="00131982" w:rsidRDefault="00131982">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Decisione del Comitato dei ministri del Benelux sull'introduzione di una licenza di pirotecnico — M (2020) 14 (Gazzetta ufficiale del Belgio 2021, n. 1), modificata da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Documenti Parlamentari II </w:t>
      </w:r>
      <w:r>
        <w:rPr>
          <w:sz w:val="16"/>
        </w:rPr>
        <w:t>2022-2023, 36268, n.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Direttiva 2013/29/UE del Parlamento europeo e del Consiglio, del 12 giugno 2013, in materia di armonizzazione delle legislazioni degli Stati membri relative alla messa a disposizione sul mercato di articoli pirotecnici (GU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Tuttavia, è perseguita una maggiore convergenza attraverso la raccomandazione M (2020) 15 del comitato dei ministri del Benelux sui requisiti di conoscenze specialistiche per la manipolazione e/o l'uso di articoli pirotecnici.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noi </w:t>
                          </w:r>
                          <w:r>
                            <w:rPr>
                              <w:rFonts w:ascii="Arial" w:hAnsi="Arial"/>
                              <w:smallCaps/>
                              <w:color w:val="D78632"/>
                              <w:sz w:val="128"/>
                            </w:rPr>
                            <w:t>G</w:t>
                          </w:r>
                          <w:r>
                            <w:rPr>
                              <w:rFonts w:ascii="Arial" w:hAnsi="Arial"/>
                              <w:smallCaps/>
                              <w:color w:val="auto"/>
                              <w:sz w:val="52"/>
                            </w:rPr>
                            <w:t xml:space="preserve">uglielmo </w:t>
                          </w:r>
                          <w:r>
                            <w:rPr>
                              <w:rFonts w:ascii="Arial" w:hAnsi="Arial"/>
                              <w:smallCaps/>
                              <w:color w:val="D78632"/>
                              <w:sz w:val="128"/>
                            </w:rPr>
                            <w:t>A</w:t>
                          </w:r>
                          <w:r>
                            <w:rPr>
                              <w:rFonts w:ascii="Arial" w:hAnsi="Arial"/>
                              <w:smallCaps/>
                              <w:color w:val="auto"/>
                              <w:sz w:val="52"/>
                            </w:rPr>
                            <w:t>lessandro, per la grazia di Dio, re dei Paesi Bassi, principe di Orange-Nassau, ecc. ecc.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noi </w:t>
                    </w:r>
                    <w:r>
                      <w:rPr>
                        <w:smallCaps/>
                        <w:color w:val="D78632"/>
                        <w:sz w:val="128"/>
                        <w:rFonts w:ascii="Arial" w:hAnsi="Arial"/>
                      </w:rPr>
                      <w:t xml:space="preserve">G</w:t>
                    </w:r>
                    <w:r>
                      <w:rPr>
                        <w:smallCaps/>
                        <w:color w:val="auto"/>
                        <w:sz w:val="52"/>
                        <w:rFonts w:ascii="Arial" w:hAnsi="Arial"/>
                      </w:rPr>
                      <w:t xml:space="preserve">uglielmo </w:t>
                    </w:r>
                    <w:r>
                      <w:rPr>
                        <w:smallCaps/>
                        <w:color w:val="D78632"/>
                        <w:sz w:val="128"/>
                        <w:rFonts w:ascii="Arial" w:hAnsi="Arial"/>
                      </w:rPr>
                      <w:t xml:space="preserve">A</w:t>
                    </w:r>
                    <w:r>
                      <w:rPr>
                        <w:smallCaps/>
                        <w:color w:val="auto"/>
                        <w:sz w:val="52"/>
                        <w:rFonts w:ascii="Arial" w:hAnsi="Arial"/>
                      </w:rPr>
                      <w:t xml:space="preserve">lessandro, per la grazia di Dio, re dei Paesi Bassi, principe di Orange-Nassau, ecc. ecc.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1982"/>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310A6"/>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it-I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7054</Words>
  <Characters>40211</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2023-05-11T13:18:00Z</dcterms:modified>
</cp:coreProperties>
</file>