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550E0871" w:rsidR="00DF230E" w:rsidRDefault="00055DCE" w:rsidP="00055DCE">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752CC040">
            <wp:simplePos x="0" y="0"/>
            <wp:positionH relativeFrom="column">
              <wp:posOffset>3298825</wp:posOffset>
            </wp:positionH>
            <wp:positionV relativeFrom="paragraph">
              <wp:posOffset>-63500</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7E6A3256">
                <wp:simplePos x="0" y="0"/>
                <wp:positionH relativeFrom="column">
                  <wp:posOffset>3774538</wp:posOffset>
                </wp:positionH>
                <wp:positionV relativeFrom="paragraph">
                  <wp:posOffset>-244</wp:posOffset>
                </wp:positionV>
                <wp:extent cx="1094105" cy="527538"/>
                <wp:effectExtent l="0" t="0" r="0" b="6350"/>
                <wp:wrapNone/>
                <wp:docPr id="1979656083" name="Text Box 1"/>
                <wp:cNvGraphicFramePr/>
                <a:graphic xmlns:a="http://schemas.openxmlformats.org/drawingml/2006/main">
                  <a:graphicData uri="http://schemas.microsoft.com/office/word/2010/wordprocessingShape">
                    <wps:wsp>
                      <wps:cNvSpPr txBox="1"/>
                      <wps:spPr>
                        <a:xfrm>
                          <a:off x="0" y="0"/>
                          <a:ext cx="1094105" cy="527538"/>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ŠVÉDSKY DOPRAVNÝ ÚRAD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7.2pt;margin-top:0;width:86.15pt;height:41.5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" fillcolor="white [3201]" stroked="f" strokeweight=".5pt">
                <v:textbox inset="0,0,0,0">
                  <w:txbxContent>
                    <w:p w14:paraId="0E4F1C78" w14:textId="649D1583" w:rsidR="00BF48CC" w:rsidRPr="00BF48CC" w:rsidRDefault="00BF48CC">
                      <w:pPr>
                        <w:rPr>
                          <w:b/>
                          <w:bCs/>
                          <w:sz w:val="22"/>
                          <w:szCs w:val="22"/>
                        </w:rPr>
                      </w:pPr>
                      <w:r>
                        <w:rPr>
                          <w:b/>
                          <w:sz w:val="22"/>
                        </w:rPr>
                        <w:t>ŠVÉDSKY DOPRAVNÝ ÚRAD</w:t>
                      </w:r>
                    </w:p>
                  </w:txbxContent>
                </v:textbox>
              </v:shape>
            </w:pict>
          </mc:Fallback>
        </mc:AlternateContent>
      </w:r>
      <w:r w:rsidR="00BF48CC">
        <w:t xml:space="preserve">Zbierka predpisov </w:t>
      </w:r>
      <w:r w:rsidR="00BF48CC">
        <w:br/>
        <w:t>Švédskeho dopravného úradu</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Predpisy Švédskeho dopravného úradu </w:t>
      </w:r>
      <w:r>
        <w:br/>
        <w:t xml:space="preserve">o </w:t>
      </w:r>
      <w:sdt>
        <w:sdtPr>
          <w:alias w:val="Kliknite sem a zadajte text"/>
          <w:tag w:val="Rub"/>
          <w:id w:val="1080104925"/>
          <w:placeholder>
            <w:docPart w:val="F22C8F9D5F9340BE9A821B78F374FAD6"/>
          </w:placeholder>
          <w:dataBinding w:prefixMappings="xmlns:ns0='consensis-fs'" w:xpath="/ns0:root[1]/ns0:fs-fields[1]/ns0:fs-heading[1]" w:storeItemID="{F222B965-9C48-4AC7-962E-E2AF3EEF1550}"/>
          <w:text/>
        </w:sdtPr>
        <w:sdtContent>
          <w:r>
            <w:t>technických požiadavkách na cestné súpravy s dĺžkou viac ako 25,25 metra</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Rok"/>
                                <w:tag w:val="År"/>
                                <w:id w:val="-1222900966"/>
                                <w:showingPlcHdr/>
                                <w:dataBinding w:prefixMappings="xmlns:ns0='consensis-fs'" w:xpath="/ns0:root[1]/ns0:fs-fields[1]/ns0:fs-year[1]" w:storeItemID="{F222B965-9C48-4AC7-962E-E2AF3EEF1550}"/>
                                <w:text/>
                              </w:sdtPr>
                              <w:sdtContent>
                                <w:r w:rsidR="00E044E9">
                                  <w:rPr>
                                    <w:rStyle w:val="PlaceholderText"/>
                                  </w:rPr>
                                  <w:t>[Rok]</w:t>
                                </w:r>
                              </w:sdtContent>
                            </w:sdt>
                            <w:r w:rsidR="00E044E9">
                              <w:t>:</w:t>
                            </w:r>
                            <w:sdt>
                              <w:sdtPr>
                                <w:alias w:val="Č."/>
                                <w:tag w:val="Nr"/>
                                <w:id w:val="1068315890"/>
                                <w:showingPlcHdr/>
                                <w:dataBinding w:prefixMappings="xmlns:ns0='consensis-fs'" w:xpath="/ns0:root[1]/ns0:fs-fields[1]/ns0:fs-no[1]" w:storeItemID="{F222B965-9C48-4AC7-962E-E2AF3EEF1550}"/>
                                <w:text/>
                              </w:sdtPr>
                              <w:sdtContent>
                                <w:r w:rsidR="00E044E9">
                                  <w:rPr>
                                    <w:rStyle w:val="PlaceholderText"/>
                                  </w:rPr>
                                  <w:t>[č.]</w:t>
                                </w:r>
                              </w:sdtContent>
                            </w:sdt>
                          </w:p>
                          <w:p w14:paraId="7AC60FE8" w14:textId="77777777" w:rsidR="00925C91" w:rsidRDefault="00925C91" w:rsidP="001E320C">
                            <w:pPr>
                              <w:pStyle w:val="Trycket"/>
                              <w:shd w:val="clear" w:color="auto" w:fill="auto"/>
                            </w:pPr>
                            <w:r>
                              <w:t>Uverejnené</w:t>
                            </w:r>
                            <w:r>
                              <w:br/>
                              <w:t xml:space="preserve">dňa </w:t>
                            </w:r>
                            <w:sdt>
                              <w:sdtPr>
                                <w:alias w:val="Vyberte dátum"/>
                                <w:tag w:val="Utkom datum"/>
                                <w:id w:val="1764647152"/>
                                <w:showingPlcHdr/>
                                <w:dataBinding w:prefixMappings="xmlns:ns0='consensis-fs'" w:xpath="/ns0:root[1]/ns0:fs-fields[1]/ns0:fs-date[1]" w:storeItemID="{F222B965-9C48-4AC7-962E-E2AF3EEF1550}"/>
                                <w:date>
                                  <w:dateFormat w:val="d MMMM yyyy"/>
                                  <w:lid w:val="sk-SK"/>
                                  <w:storeMappedDataAs w:val="dateTime"/>
                                  <w:calendar w:val="gregorian"/>
                                </w:date>
                              </w:sdtPr>
                              <w:sdtContent>
                                <w:r>
                                  <w:rPr>
                                    <w:rStyle w:val="PlaceholderText"/>
                                  </w:rPr>
                                  <w:t>[Vyberte dátum]</w:t>
                                </w:r>
                              </w:sdtContent>
                            </w:sdt>
                          </w:p>
                          <w:sdt>
                            <w:sdtPr>
                              <w:alias w:val="Zadajte sériu"/>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CESTY</w:t>
                                </w:r>
                              </w:p>
                            </w:sdtContent>
                          </w:sdt>
                          <w:p w14:paraId="615A4AE6" w14:textId="77777777" w:rsidR="00925C91" w:rsidRPr="007C403E" w:rsidRDefault="00000000" w:rsidP="007C403E">
                            <w:pPr>
                              <w:pStyle w:val="Underserie"/>
                              <w:rPr>
                                <w:bCs/>
                              </w:rPr>
                            </w:pPr>
                            <w:sdt>
                              <w:sdtPr>
                                <w:alias w:val="Zadajte podsériu"/>
                                <w:tag w:val="Userie"/>
                                <w:id w:val="1607690029"/>
                                <w:showingPlcHdr/>
                                <w:dataBinding w:prefixMappings="xmlns:ns0='consensis-fs'" w:xpath="/ns0:root[1]/ns0:fs-fields[1]/ns0:fs-subseries[1]" w:storeItemID="{F222B965-9C48-4AC7-962E-E2AF3EEF1550}"/>
                                <w:text/>
                              </w:sdtPr>
                              <w:sdtContent>
                                <w:r w:rsidR="00E044E9">
                                  <w:rPr>
                                    <w:rStyle w:val="PlaceholderText"/>
                                  </w:rPr>
                                  <w:t>[Zadajte podsériu]</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Rok"/>
                          <w:tag w:val="År"/>
                          <w:id w:val="-1222900966"/>
                          <w:showingPlcHdr/>
                          <w:dataBinding w:prefixMappings="xmlns:ns0='consensis-fs'" w:xpath="/ns0:root[1]/ns0:fs-fields[1]/ns0:fs-year[1]" w:storeItemID="{F222B965-9C48-4AC7-962E-E2AF3EEF1550}"/>
                          <w:text/>
                        </w:sdtPr>
                        <w:sdtEndPr/>
                        <w:sdtContent>
                          <w:r>
                            <w:rPr>
                              <w:rStyle w:val="PlaceholderText"/>
                            </w:rPr>
                            <w:t xml:space="preserve">[Rok]</w:t>
                          </w:r>
                        </w:sdtContent>
                      </w:sdt>
                      <w:r>
                        <w:t xml:space="preserve">:</w:t>
                      </w:r>
                      <w:sdt>
                        <w:sdtPr>
                          <w:alias w:val="Č."/>
                          <w:tag w:val="Nr"/>
                          <w:id w:val="1068315890"/>
                          <w:showingPlcHdr/>
                          <w:dataBinding w:prefixMappings="xmlns:ns0='consensis-fs'" w:xpath="/ns0:root[1]/ns0:fs-fields[1]/ns0:fs-no[1]" w:storeItemID="{F222B965-9C48-4AC7-962E-E2AF3EEF1550}"/>
                          <w:text/>
                        </w:sdtPr>
                        <w:sdtEndPr/>
                        <w:sdtContent>
                          <w:r>
                            <w:rPr>
                              <w:rStyle w:val="PlaceholderText"/>
                            </w:rPr>
                            <w:t xml:space="preserve">[č.]</w:t>
                          </w:r>
                        </w:sdtContent>
                      </w:sdt>
                    </w:p>
                    <w:p w14:paraId="7AC60FE8" w14:textId="77777777" w:rsidR="00925C91" w:rsidRDefault="00925C91" w:rsidP="001E320C">
                      <w:pPr>
                        <w:pStyle w:val="Trycket"/>
                        <w:shd w:val="clear" w:color="auto" w:fill="auto"/>
                      </w:pPr>
                      <w:r>
                        <w:t xml:space="preserve">Uverejnené</w:t>
                      </w:r>
                      <w:r>
                        <w:br/>
                      </w:r>
                      <w:r>
                        <w:t xml:space="preserve">dňa </w:t>
                      </w:r>
                      <w:sdt>
                        <w:sdtPr>
                          <w:alias w:val="Vyberte dátum"/>
                          <w:tag w:val="Utkom datum"/>
                          <w:id w:val="1764647152"/>
                          <w:showingPlcHdr/>
                          <w:dataBinding w:prefixMappings="xmlns:ns0='consensis-fs'" w:xpath="/ns0:root[1]/ns0:fs-fields[1]/ns0:fs-date[1]" w:storeItemID="{F222B965-9C48-4AC7-962E-E2AF3EEF1550}"/>
                          <w:date>
                            <w:dateFormat w:val="d MMMM yyyy"/>
                            <w:lid w:val="sk-SK"/>
                            <w:storeMappedDataAs w:val="dateTime"/>
                            <w:calendar w:val="gregorian"/>
                          </w:date>
                        </w:sdtPr>
                        <w:sdtEndPr/>
                        <w:sdtContent>
                          <w:r>
                            <w:rPr>
                              <w:rStyle w:val="PlaceholderText"/>
                            </w:rPr>
                            <w:t xml:space="preserve">[Vyberte dátum]</w:t>
                          </w:r>
                        </w:sdtContent>
                      </w:sdt>
                    </w:p>
                    <w:sdt>
                      <w:sdtPr>
                        <w:alias w:val="Zadajte sériu"/>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CESTY</w:t>
                          </w:r>
                        </w:p>
                      </w:sdtContent>
                    </w:sdt>
                    <w:p w14:paraId="615A4AE6" w14:textId="77777777" w:rsidR="00925C91" w:rsidRPr="007C403E" w:rsidRDefault="00E044E9" w:rsidP="007C403E">
                      <w:pPr>
                        <w:pStyle w:val="Underserie"/>
                        <w:rPr>
                          <w:bCs/>
                        </w:rPr>
                      </w:pPr>
                      <w:sdt>
                        <w:sdtPr>
                          <w:alias w:val="Zadajte podsériu"/>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[Zadajte podsériu]</w:t>
                          </w:r>
                        </w:sdtContent>
                      </w:sdt>
                    </w:p>
                  </w:txbxContent>
                </v:textbox>
                <w10:wrap anchorx="page" anchory="page"/>
                <w10:anchorlock/>
              </v:shape>
            </w:pict>
          </mc:Fallback>
        </mc:AlternateContent>
      </w:r>
      <w:r>
        <w:t xml:space="preserve">prijaté dňa </w:t>
      </w:r>
      <w:sdt>
        <w:sdtPr>
          <w:rPr>
            <w:szCs w:val="22"/>
          </w:rPr>
          <w:alias w:val="Vyberte dátum"/>
          <w:tag w:val="Välj ett datum"/>
          <w:id w:val="1438946608"/>
          <w:placeholder>
            <w:docPart w:val="0EA98AAD02484BC4BACB240D92FCD4DF"/>
          </w:placeholder>
          <w:showingPlcHdr/>
          <w:date>
            <w:dateFormat w:val="d MMMM yyyy"/>
            <w:lid w:val="sk-SK"/>
            <w:storeMappedDataAs w:val="dateTime"/>
            <w:calendar w:val="gregorian"/>
          </w:date>
        </w:sdtPr>
        <w:sdtContent>
          <w:r>
            <w:rPr>
              <w:rStyle w:val="PlaceholderText"/>
            </w:rPr>
            <w:t>[Vyberte dátum]</w:t>
          </w:r>
        </w:sdtContent>
      </w:sdt>
      <w:r>
        <w:t>.</w:t>
      </w:r>
    </w:p>
    <w:p w14:paraId="5FF84AFF" w14:textId="6FCE1252" w:rsidR="00E43EE1" w:rsidRDefault="00B71032" w:rsidP="00B71032">
      <w:pPr>
        <w:pStyle w:val="Styckemedindrag"/>
      </w:pPr>
      <w:r>
        <w:t>Na základe kapitoly 4 oddielov 12, 13 a 17 písm. f) nariadenia o cestnej premávke (1998:1276) a kapitoly 8 oddielu 16 nariadenia o vozidlách (2009:211) Švédsky dopravný úrad stanovuje</w:t>
      </w:r>
      <w:r>
        <w:rPr>
          <w:rStyle w:val="FootnoteReference"/>
        </w:rPr>
        <w:footnoteReference w:id="2"/>
      </w:r>
      <w:r>
        <w:t xml:space="preserve"> nasledujúce ustanovenia.</w:t>
      </w:r>
    </w:p>
    <w:p w14:paraId="4552D472" w14:textId="047D4784" w:rsidR="00B71032" w:rsidRDefault="00543345" w:rsidP="00654E7A">
      <w:pPr>
        <w:pStyle w:val="Heading3"/>
      </w:pPr>
      <w:r>
        <w:t>Úvodné ustanovenia</w:t>
      </w:r>
    </w:p>
    <w:p w14:paraId="3966556B" w14:textId="5FB95A13" w:rsidR="00543345" w:rsidRDefault="00031159" w:rsidP="00031159">
      <w:pPr>
        <w:pStyle w:val="Stycke"/>
        <w:spacing w:before="120"/>
      </w:pPr>
      <w:r>
        <w:rPr>
          <w:rStyle w:val="Fparagrafbeteckning"/>
        </w:rPr>
        <w:t>Oddiel 1 </w:t>
      </w:r>
      <w:r>
        <w:t>Tieto predpisy ustanovujú podrobné pravidlá týkajúce sa konštrukcie a vybavenia pre cestné súpravy, ktorých dĺžka presahuje 25,25 metra, ale nepresahuje 34,5 metra, ako aj pre vozidlá zahrnuté v cestnej súprave. Predpisy sa uplatňujú pri jazde na cestách, kde správca cesty podľa kapitoly 4 oddielu 17 písm. f) nariadenia o cestnej premávke (1998:1276) vydal predpisy, podľa ktorých dĺžka cestnej súpravy nesmie presiahnuť 34,5 metra.</w:t>
      </w:r>
    </w:p>
    <w:p w14:paraId="06E20FC3" w14:textId="6ACEA899" w:rsidR="00D506F9" w:rsidRDefault="0068573B" w:rsidP="003F4DC3">
      <w:pPr>
        <w:pStyle w:val="Stycke"/>
        <w:spacing w:before="120"/>
      </w:pPr>
      <w:r>
        <w:rPr>
          <w:rStyle w:val="Fparagrafbeteckning"/>
        </w:rPr>
        <w:t>Oddiel 2 </w:t>
      </w:r>
      <w:r>
        <w:t>Tovar, ktorý sa v súlade s právnymi predpismi uvádza na trh v inom členskom štáte Európskej únie alebo v Turecku, alebo ktorý pochádza zo štátu EZVO a v súlade s právnymi predpismi sa uvádza na trh v štáte EZVO, ktorý je zmluvnou stranou Dohody o EHP, sa považuje za tovar, ktorý je v súlade s týmito ustanoveniami. Na uplatňovanie týchto ustanovení sa vzťahuje nariadenie Európskeho parlamentu a Rady (EÚ) 2019/515 z 19. marca 2019 o vzájomnom uznávaní tovaru, ktorý je v súlade s právnymi predpismi uvedený na trh v inom členskom štáte a o zrušení nariadenia (ES) č. 764/2008.</w:t>
      </w:r>
    </w:p>
    <w:p w14:paraId="00B4A5A3" w14:textId="47704300" w:rsidR="0000372E" w:rsidRDefault="0012379D" w:rsidP="00031159">
      <w:pPr>
        <w:pStyle w:val="Stycke"/>
        <w:spacing w:before="120"/>
      </w:pPr>
      <w:r>
        <w:rPr>
          <w:rStyle w:val="Fparagrafbeteckning"/>
        </w:rPr>
        <w:t>Oddiel 3 </w:t>
      </w:r>
      <w:r>
        <w:t xml:space="preserve">Pojmy používané v týchto predpisoch majú význam stanovený v zákone o definíciách cestnej premávky (2001:559). </w:t>
      </w:r>
    </w:p>
    <w:p w14:paraId="29432767" w14:textId="058536F8" w:rsidR="00553E8F" w:rsidRDefault="00031159" w:rsidP="00553E8F">
      <w:pPr>
        <w:pStyle w:val="Styckemedindrag"/>
      </w:pPr>
      <w:r>
        <w:t>V opačnom prípade sa na účely týchto predpisov používajú nasledujúce pojmy a vymedzenia pojmov.</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lastRenderedPageBreak/>
              <w:t>dvojité A</w:t>
            </w:r>
          </w:p>
        </w:tc>
        <w:tc>
          <w:tcPr>
            <w:tcW w:w="4338" w:type="dxa"/>
          </w:tcPr>
          <w:p w14:paraId="4806A036" w14:textId="241CA4B6" w:rsidR="006B4159" w:rsidRPr="006B4159" w:rsidRDefault="00E31D87" w:rsidP="000B177D">
            <w:pPr>
              <w:pStyle w:val="Stycke"/>
              <w:jc w:val="left"/>
            </w:pPr>
            <w:r>
              <w:t xml:space="preserve">jazdná súprava pozostávajúca z </w:t>
            </w:r>
            <w:r>
              <w:rPr>
                <w:i/>
              </w:rPr>
              <w:t>ťahača</w:t>
            </w:r>
            <w:r>
              <w:t xml:space="preserve"> spojeného s návesom a dolly s pripojeným návesom</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dvojité AB</w:t>
            </w:r>
          </w:p>
        </w:tc>
        <w:tc>
          <w:tcPr>
            <w:tcW w:w="4338" w:type="dxa"/>
          </w:tcPr>
          <w:p w14:paraId="059F7929" w14:textId="55158731" w:rsidR="006B4159" w:rsidRDefault="00E31D87" w:rsidP="00567D83">
            <w:pPr>
              <w:pStyle w:val="Stycke"/>
              <w:jc w:val="left"/>
            </w:pPr>
            <w:r>
              <w:t xml:space="preserve">jazdná súprava pozostávajúca z ťažkého úžitkového vozidla spojeného s dolly s pripojeným </w:t>
            </w:r>
            <w:r>
              <w:rPr>
                <w:i/>
                <w:iCs/>
              </w:rPr>
              <w:t>spojovacím návesom</w:t>
            </w:r>
            <w:r>
              <w:t>, ktorý je zase spojený s návesom</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ťahač</w:t>
            </w:r>
          </w:p>
        </w:tc>
        <w:tc>
          <w:tcPr>
            <w:tcW w:w="4338" w:type="dxa"/>
          </w:tcPr>
          <w:p w14:paraId="5F0BBB3A" w14:textId="2FEAB1D0" w:rsidR="007A578D" w:rsidRDefault="007A578D" w:rsidP="00F50DFF">
            <w:pPr>
              <w:pStyle w:val="Stycke"/>
              <w:jc w:val="left"/>
            </w:pPr>
            <w:r>
              <w:t xml:space="preserve">ťažké úžitkové vozidlo vybavené spojovacím zariadením (točňa) pre náves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spojovací náves</w:t>
            </w:r>
          </w:p>
        </w:tc>
        <w:tc>
          <w:tcPr>
            <w:tcW w:w="4338" w:type="dxa"/>
          </w:tcPr>
          <w:p w14:paraId="4CED4314" w14:textId="3FE02C7D" w:rsidR="007A578D" w:rsidRDefault="007A578D" w:rsidP="00232756">
            <w:pPr>
              <w:pStyle w:val="Stycke"/>
              <w:jc w:val="left"/>
            </w:pPr>
            <w:r>
              <w:t xml:space="preserve">náves so zadnou točňou na spojenie s ďalším návesom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hodnota výkonu </w:t>
            </w:r>
          </w:p>
        </w:tc>
        <w:tc>
          <w:tcPr>
            <w:tcW w:w="4338" w:type="dxa"/>
          </w:tcPr>
          <w:p w14:paraId="6311725D" w14:textId="0960B9B3" w:rsidR="002D153A" w:rsidRDefault="009F5C5A" w:rsidP="00AB1C5A">
            <w:pPr>
              <w:pStyle w:val="Stycke"/>
              <w:jc w:val="left"/>
            </w:pPr>
            <w:r>
              <w:t>hodnota určená výrobcom označujúca zaťaženie, ktoré môže vozidlo a jeho spojovacie zariadenie zniesť</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samoriadená náprava</w:t>
            </w:r>
          </w:p>
        </w:tc>
        <w:tc>
          <w:tcPr>
            <w:tcW w:w="4338" w:type="dxa"/>
          </w:tcPr>
          <w:p w14:paraId="65CC57A3" w14:textId="33BDDEC7" w:rsidR="00DB0AB5" w:rsidRDefault="00D356E7" w:rsidP="000F2D4A">
            <w:pPr>
              <w:pStyle w:val="Stycke"/>
              <w:jc w:val="left"/>
            </w:pPr>
            <w:r>
              <w:t>riadená náprava, ktorej uhol natočenia sa mení trením medzi pneumatikou a vozovkou</w:t>
            </w:r>
          </w:p>
        </w:tc>
      </w:tr>
    </w:tbl>
    <w:p w14:paraId="6965F6D4" w14:textId="58F802B0" w:rsidR="0054771A" w:rsidRPr="00A313CC" w:rsidRDefault="00572D73" w:rsidP="0054771A">
      <w:pPr>
        <w:pStyle w:val="Stycke"/>
        <w:spacing w:before="120"/>
      </w:pPr>
      <w:r>
        <w:rPr>
          <w:rStyle w:val="Fparagrafbeteckning"/>
        </w:rPr>
        <w:t>Oddiel 4 </w:t>
      </w:r>
      <w:r>
        <w:t>Na účely týchto predpisov platí nasledujúce vymedzenie pojmov:</w:t>
      </w:r>
    </w:p>
    <w:p w14:paraId="6E790FE2" w14:textId="702175ED" w:rsidR="0054771A" w:rsidRPr="00A313CC" w:rsidRDefault="0054771A" w:rsidP="0054771A">
      <w:pPr>
        <w:pStyle w:val="Styckemedindrag"/>
      </w:pPr>
      <w:r>
        <w:t>– Predpis EHK OSN č. 13 Jednotné ustanovenia na účely typového schvaľovania vozidiel kategórií M, N a O z hľadiska brzdenia</w:t>
      </w:r>
    </w:p>
    <w:p w14:paraId="3ADC911D" w14:textId="7838A56B" w:rsidR="0054771A" w:rsidRPr="00A313CC" w:rsidRDefault="0054771A" w:rsidP="00425CD0">
      <w:pPr>
        <w:pStyle w:val="Styckemedindrag"/>
      </w:pPr>
      <w:r>
        <w:t>– Predpis EHK OSN č. 55 Jednotné ustanovenia o schvaľovaní mechanických spojovacích komponentov súprav vozidiel</w:t>
      </w:r>
    </w:p>
    <w:p w14:paraId="09BB2E7C" w14:textId="4AFA7F89" w:rsidR="00BB64A3" w:rsidRPr="00BB64A3" w:rsidRDefault="00BB64A3" w:rsidP="00BB64A3">
      <w:pPr>
        <w:pStyle w:val="Heading3"/>
      </w:pPr>
      <w:r>
        <w:t>Všeobecné požiadavky</w:t>
      </w:r>
    </w:p>
    <w:p w14:paraId="28780548" w14:textId="34E14EC2" w:rsidR="006E2742" w:rsidRPr="006E2742" w:rsidRDefault="00654E7A" w:rsidP="006E2742">
      <w:pPr>
        <w:pStyle w:val="Stycke"/>
        <w:spacing w:before="120"/>
      </w:pPr>
      <w:r>
        <w:rPr>
          <w:rStyle w:val="Fparagrafbeteckning"/>
        </w:rPr>
        <w:t>Oddiel 5 </w:t>
      </w:r>
      <w:r>
        <w:rPr>
          <w:rStyle w:val="Fparagrafbeteckning"/>
          <w:b w:val="0"/>
        </w:rPr>
        <w:t xml:space="preserve">Cestná súprava musí pozostávať z kombinácie dvojité A alebo dvojité AB. </w:t>
      </w:r>
      <w:r>
        <w:t>Vozidlá a cestné súpravy musia spĺňať podmienky stanovené v oddieloch 6 až 12. Okrem toho kombinácia dvojité A musí spĺňať podmienky stanovené v oddieloch 13 až 23 a kombinácia dvojité AB musí spĺňať podmienky stanovené v oddieloch 24 až 31.</w:t>
      </w:r>
    </w:p>
    <w:p w14:paraId="5B645A93" w14:textId="7BE20624" w:rsidR="00907DF3" w:rsidRDefault="00654E7A" w:rsidP="0026562C">
      <w:pPr>
        <w:pStyle w:val="Stycke"/>
        <w:spacing w:before="120"/>
      </w:pPr>
      <w:r>
        <w:rPr>
          <w:rStyle w:val="Fparagrafbeteckning"/>
        </w:rPr>
        <w:t>Oddiel 6 </w:t>
      </w:r>
      <w:r>
        <w:t>Ťažké úžitkové vozidlo musí mať aspoň tri nápravy. Prípojné vozidlá, ktoré sú súčasťou cestnej súpravy, musia mať aspoň dve nápravy.</w:t>
      </w:r>
    </w:p>
    <w:p w14:paraId="5F01A09F" w14:textId="37445118" w:rsidR="00342CD6" w:rsidRDefault="00654E7A" w:rsidP="00CB6F3B">
      <w:pPr>
        <w:pStyle w:val="Stycke"/>
        <w:spacing w:before="120"/>
      </w:pPr>
      <w:r>
        <w:rPr>
          <w:rStyle w:val="Fparagrafbeteckning"/>
        </w:rPr>
        <w:t>Oddiel 7 </w:t>
      </w:r>
      <w:r>
        <w:t>Vozidlá s najviac tromi nápravami musia mať systém stability podľa predpisu EHK OSN č. 13, séria zmien 11, doplnok 3 alebo novší.</w:t>
      </w:r>
    </w:p>
    <w:p w14:paraId="13D4D58B" w14:textId="7481C6CC" w:rsidR="00342CD6" w:rsidRDefault="00654E7A" w:rsidP="00974FCA">
      <w:pPr>
        <w:pStyle w:val="Stycke"/>
        <w:spacing w:before="120"/>
      </w:pPr>
      <w:r>
        <w:rPr>
          <w:rStyle w:val="Fparagrafbeteckning"/>
        </w:rPr>
        <w:t>Oddiel 8 </w:t>
      </w:r>
      <w:r>
        <w:rPr>
          <w:rStyle w:val="Fparagrafbeteckning"/>
          <w:b w:val="0"/>
        </w:rPr>
        <w:t>Ťažké úžitkové vozidlo musí mať vybavenie, ktoré umožňuje vodičovi mať z miesta vodiča prehľad o pravej strane cestnej súpravy</w:t>
      </w:r>
      <w:r>
        <w:t>.</w:t>
      </w:r>
    </w:p>
    <w:p w14:paraId="26CC4ADA" w14:textId="1AFE7C5C" w:rsidR="00F654A8" w:rsidRDefault="00654E7A" w:rsidP="00F654A8">
      <w:pPr>
        <w:pStyle w:val="Stycke"/>
        <w:spacing w:before="120"/>
      </w:pPr>
      <w:r>
        <w:rPr>
          <w:rStyle w:val="Fparagrafbeteckning"/>
        </w:rPr>
        <w:t>Oddiel 9 </w:t>
      </w:r>
      <w:r>
        <w:t>Všetky vozidlá cestnej súpravy musia byť vybavené elektronickými brzdovými systémami s protiblokovacou funkciou a automatickým nastavovaním bŕzd podľa predpisu EHK OSN č. 13, séria zmien 11 alebo novšia.</w:t>
      </w:r>
    </w:p>
    <w:p w14:paraId="2FF5871A" w14:textId="03FC025B" w:rsidR="00693298" w:rsidRPr="00693298" w:rsidRDefault="00693298" w:rsidP="00693298">
      <w:pPr>
        <w:pStyle w:val="Stycke"/>
        <w:spacing w:before="120"/>
      </w:pPr>
      <w:r>
        <w:rPr>
          <w:rStyle w:val="Fparagrafbeteckning"/>
        </w:rPr>
        <w:t>Oddiel 10 </w:t>
      </w:r>
      <w:r>
        <w:t>Točnica dolly sa otáča okolo zvislej osi cez bod spojenia.</w:t>
      </w:r>
    </w:p>
    <w:p w14:paraId="5E1694F9" w14:textId="3CF383C6" w:rsidR="004E0F5A" w:rsidRDefault="004E0F5A" w:rsidP="004E0F5A">
      <w:pPr>
        <w:pStyle w:val="Heading3"/>
      </w:pPr>
      <w:r>
        <w:lastRenderedPageBreak/>
        <w:t>Značky</w:t>
      </w:r>
    </w:p>
    <w:p w14:paraId="4592D004" w14:textId="11082E40" w:rsidR="008C4B99" w:rsidRDefault="00691657" w:rsidP="008C4B99">
      <w:pPr>
        <w:pStyle w:val="Stycke"/>
        <w:spacing w:before="120"/>
      </w:pPr>
      <w:r>
        <w:rPr>
          <w:rStyle w:val="Fparagrafbeteckning"/>
        </w:rPr>
        <w:t>Oddiel 11 </w:t>
      </w:r>
      <w:r>
        <w:t>Cestná súprava musí byť vybavená vpredu a vzadu značkami znázornenými na obrázku 1. Dolný okraj značiek nesmie byť viac ako 2,0 metra nad vozovkou. Značka smerujúca dopredu musí byť umiestnená pod spodným okrajom čelného skla. Značka smerujúca dozadu musí byť umiestnená vľavo od osi vozidla.</w:t>
      </w:r>
    </w:p>
    <w:p w14:paraId="0B74021B" w14:textId="239ACB2F" w:rsidR="00BD677C" w:rsidRDefault="008C4B99" w:rsidP="00876EDB">
      <w:pPr>
        <w:pStyle w:val="Styckemedindrag"/>
      </w:pPr>
      <w:r>
        <w:t>Značky musia mať:</w:t>
      </w:r>
    </w:p>
    <w:p w14:paraId="44B2EF3A" w14:textId="61AEB2A1" w:rsidR="00EB7A30" w:rsidRPr="006800D8" w:rsidRDefault="00EB7A30" w:rsidP="00EB7A30">
      <w:pPr>
        <w:pStyle w:val="Styckemedindrag"/>
      </w:pPr>
      <w:r>
        <w:t>1. žlté pozadie a červený okraj, ktoré sú retroreflexné,</w:t>
      </w:r>
    </w:p>
    <w:p w14:paraId="1F904A48" w14:textId="464B2F56" w:rsidR="00EB7A30" w:rsidRPr="005C2570" w:rsidRDefault="00EB7A30" w:rsidP="00EB7A30">
      <w:pPr>
        <w:pStyle w:val="Styckemedindrag"/>
      </w:pPr>
      <w:r>
        <w:t>2. šírku okraja 3,0 cm,</w:t>
      </w:r>
    </w:p>
    <w:p w14:paraId="7D7E6732" w14:textId="1CDF41F9" w:rsidR="00EB7A30" w:rsidRDefault="006C6A1C" w:rsidP="00EB7A30">
      <w:pPr>
        <w:pStyle w:val="Styckemedindrag"/>
        <w:rPr>
          <w:rFonts w:cstheme="minorHAnsi"/>
        </w:rPr>
      </w:pPr>
      <w:r>
        <w:t>3. text s písmom Tratexsvart, veľkosť textu 75 milimetrov a</w:t>
      </w:r>
    </w:p>
    <w:p w14:paraId="160C24F8" w14:textId="541D68BF" w:rsidR="00EB7A30" w:rsidRDefault="00EB7A30" w:rsidP="00EB7A30">
      <w:pPr>
        <w:pStyle w:val="Styckemedindrag"/>
      </w:pPr>
      <w:r>
        <w:t>4. šírku najmenej 0,90 metra a výšku najmenej 0,45 metra.</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59397EA0">
                <wp:simplePos x="0" y="0"/>
                <wp:positionH relativeFrom="column">
                  <wp:posOffset>131004</wp:posOffset>
                </wp:positionH>
                <wp:positionV relativeFrom="paragraph">
                  <wp:posOffset>1543490</wp:posOffset>
                </wp:positionV>
                <wp:extent cx="3439551" cy="495300"/>
                <wp:effectExtent l="0" t="0" r="8890" b="0"/>
                <wp:wrapNone/>
                <wp:docPr id="498542860" name="Text Box 2"/>
                <wp:cNvGraphicFramePr/>
                <a:graphic xmlns:a="http://schemas.openxmlformats.org/drawingml/2006/main">
                  <a:graphicData uri="http://schemas.microsoft.com/office/word/2010/wordprocessingShape">
                    <wps:wsp>
                      <wps:cNvSpPr txBox="1"/>
                      <wps:spPr>
                        <a:xfrm>
                          <a:off x="0" y="0"/>
                          <a:ext cx="3439551" cy="495300"/>
                        </a:xfrm>
                        <a:prstGeom prst="rect">
                          <a:avLst/>
                        </a:prstGeom>
                        <a:solidFill>
                          <a:srgbClr val="FFCB25"/>
                        </a:solidFill>
                        <a:ln w="6350">
                          <a:noFill/>
                        </a:ln>
                      </wps:spPr>
                      <wps:txbx>
                        <w:txbxContent>
                          <w:p w14:paraId="40B229A7" w14:textId="1F4E24A1" w:rsidR="00BF48CC" w:rsidRPr="00055DCE" w:rsidRDefault="00BF48CC" w:rsidP="00055DCE">
                            <w:pPr>
                              <w:jc w:val="center"/>
                              <w:rPr>
                                <w:rFonts w:ascii="Arial" w:hAnsi="Arial" w:cs="Arial"/>
                                <w:b/>
                                <w:bCs/>
                                <w:sz w:val="54"/>
                                <w:szCs w:val="54"/>
                              </w:rPr>
                            </w:pPr>
                            <w:r w:rsidRPr="00055DCE">
                              <w:rPr>
                                <w:rFonts w:ascii="Arial" w:hAnsi="Arial"/>
                                <w:b/>
                                <w:sz w:val="54"/>
                                <w:szCs w:val="54"/>
                              </w:rPr>
                              <w:t>Dlhá cestná súprava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0FCB" id="Text Box 2" o:spid="_x0000_s1028" type="#_x0000_t202" style="position:absolute;left:0;text-align:left;margin-left:10.3pt;margin-top:121.55pt;width:270.85pt;height:39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" fillcolor="#ffcb25" stroked="f" strokeweight=".5pt">
                <v:textbox inset="0,0,0,0">
                  <w:txbxContent>
                    <w:p w14:paraId="40B229A7" w14:textId="1F4E24A1" w:rsidR="00BF48CC" w:rsidRPr="00055DCE" w:rsidRDefault="00BF48CC" w:rsidP="00055DCE">
                      <w:pPr>
                        <w:jc w:val="center"/>
                        <w:rPr>
                          <w:rFonts w:ascii="Arial" w:hAnsi="Arial" w:cs="Arial"/>
                          <w:b/>
                          <w:bCs/>
                          <w:sz w:val="54"/>
                          <w:szCs w:val="54"/>
                        </w:rPr>
                      </w:pPr>
                      <w:r w:rsidRPr="00055DCE">
                        <w:rPr>
                          <w:rFonts w:ascii="Arial" w:hAnsi="Arial"/>
                          <w:b/>
                          <w:sz w:val="54"/>
                          <w:szCs w:val="54"/>
                        </w:rPr>
                        <w:t>Dlhá cestná súprava</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Pomer šírky k výške musí byť 2:1.</w:t>
      </w:r>
      <w:r>
        <w:rPr>
          <w:rFonts w:ascii="Segoe UI" w:hAnsi="Segoe UI"/>
          <w:color w:val="000000"/>
          <w:sz w:val="20"/>
        </w:rPr>
        <w:t xml:space="preserve"> </w:t>
      </w:r>
      <w:r>
        <w:t>Ak sa zväčší veľkosť značky, zodpovedajúcim spôsobom sa zväčší aj šírka okraja a veľkosť textu.</w:t>
      </w:r>
    </w:p>
    <w:p w14:paraId="6A13AE47" w14:textId="53EBCBA3" w:rsidR="00B204CA" w:rsidRDefault="00B204CA" w:rsidP="00DD47B8">
      <w:pPr>
        <w:pStyle w:val="Tabelltext"/>
      </w:pPr>
      <w:r>
        <w:t>Obrázok 1. Návrh značky pre dlhú cestnú súpravu.</w:t>
      </w:r>
    </w:p>
    <w:p w14:paraId="06E84C76" w14:textId="72560BE8" w:rsidR="00C807A6" w:rsidRDefault="00EE3B53">
      <w:pPr>
        <w:pStyle w:val="Heading3"/>
      </w:pPr>
      <w:r>
        <w:t>Hnacie nápravy a výkon motora</w:t>
      </w:r>
    </w:p>
    <w:p w14:paraId="7C036BB8" w14:textId="09DAA351" w:rsidR="007B4D0A" w:rsidRPr="000C2719" w:rsidRDefault="00691657" w:rsidP="00EB57E6">
      <w:pPr>
        <w:pStyle w:val="Stycke"/>
        <w:spacing w:before="120"/>
      </w:pPr>
      <w:r>
        <w:rPr>
          <w:rStyle w:val="Fparagrafbeteckning"/>
        </w:rPr>
        <w:t>Oddiel 12 </w:t>
      </w:r>
      <w:r>
        <w:t>Ak celková hmotnosť cestnej súpravy presahuje 64 ton, ťažké úžitkové vozidlo musí mať najmenej dve hnacie nápravy a výkon motora najmenej 310 kW.</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Špeciálne podmienky pre kombináciu dvojité A</w:t>
      </w:r>
    </w:p>
    <w:p w14:paraId="5A896C78" w14:textId="5B717027" w:rsidR="00553E8F" w:rsidRPr="00553E8F" w:rsidRDefault="00553E8F" w:rsidP="00553E8F">
      <w:pPr>
        <w:pStyle w:val="Tabelltext"/>
        <w:rPr>
          <w:b/>
        </w:rPr>
      </w:pPr>
      <w:r>
        <w:t>Obrázok 2. Kombinácia dvojité A</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lastRenderedPageBreak/>
        <w:t>Predný náves</w:t>
      </w:r>
    </w:p>
    <w:p w14:paraId="62A94401" w14:textId="42001BAF" w:rsidR="002A63C1" w:rsidRDefault="00D96C34" w:rsidP="00DC3F69">
      <w:pPr>
        <w:pStyle w:val="Stycke"/>
        <w:spacing w:before="120"/>
      </w:pPr>
      <w:r>
        <w:rPr>
          <w:rStyle w:val="Fparagrafbeteckning"/>
        </w:rPr>
        <w:t>Oddiel 13 </w:t>
      </w:r>
      <w:r>
        <w:t>Posledná náprava predného návesu kombinácie dvojité A musí byť samoriadená pri rýchlostiach minimálne 30 kilometrov za hodinu, ale najviac 40 kilometrov za hodinu.</w:t>
      </w:r>
    </w:p>
    <w:p w14:paraId="7DE8E0CA" w14:textId="6D1DB835" w:rsidR="00840699" w:rsidRDefault="00D96C34" w:rsidP="002A63C1">
      <w:pPr>
        <w:pStyle w:val="Stycke"/>
        <w:spacing w:before="120"/>
      </w:pPr>
      <w:r>
        <w:rPr>
          <w:rStyle w:val="Fparagrafbeteckning"/>
        </w:rPr>
        <w:t>Oddiel 14 </w:t>
      </w:r>
      <w:r>
        <w:t>Ak má predný náves dve nápravy, vzdialenosť medzi predným spojovacím zariadením a stredom prvej nápravy musí byť aspoň 7,7 metra.</w:t>
      </w:r>
    </w:p>
    <w:p w14:paraId="0B9C6A61" w14:textId="26E90CCD" w:rsidR="002A63C1" w:rsidRPr="00DB5916" w:rsidRDefault="006B128F" w:rsidP="00840699">
      <w:pPr>
        <w:pStyle w:val="Styckemedindrag"/>
      </w:pPr>
      <w:r>
        <w:t>Ak má predný náves tri nápravy, vzdialenosť medzi predným spojovacím zariadením a stredom prvej nápravy musí byť aspoň 7,0 metra.</w:t>
      </w:r>
    </w:p>
    <w:p w14:paraId="0AA9BDE5" w14:textId="4B8E4B48" w:rsidR="002A63C1" w:rsidRDefault="003E081D" w:rsidP="002A63C1">
      <w:pPr>
        <w:pStyle w:val="Stycke"/>
        <w:spacing w:before="120"/>
      </w:pPr>
      <w:r>
        <w:rPr>
          <w:rStyle w:val="Fparagrafbeteckning"/>
        </w:rPr>
        <w:t>Oddiel 15 </w:t>
      </w:r>
      <w:r>
        <w:t>Vzdialenosť medzi poslednou nápravou a zadným spojovacím zariadením predného návesu nesmie presiahnuť 1,4 metra.</w:t>
      </w:r>
    </w:p>
    <w:p w14:paraId="2CE6A594" w14:textId="3DC05D79" w:rsidR="002A63C1" w:rsidRDefault="003E081D" w:rsidP="002A63C1">
      <w:pPr>
        <w:pStyle w:val="Stycke"/>
        <w:spacing w:before="120"/>
      </w:pPr>
      <w:r>
        <w:rPr>
          <w:rStyle w:val="Fparagrafbeteckning"/>
        </w:rPr>
        <w:t>Oddiel 16 </w:t>
      </w:r>
      <w:r>
        <w:t>Ak má predný náves aspoň tri nápravy, prvá náprava musí byť zdvíhateľná. Náprava sa musí dať počas jazdy zdvihnúť a spustiť z miesta vodiča.</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Zadný náves</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Oddiel 17 </w:t>
      </w:r>
      <w:r>
        <w:t>Vzdialenosť medzi predným spojovacím zariadením a stredom prvej nápravy zadného návesu musí byť aspoň 6,2 metra.</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Spojovacie zariadenia</w:t>
      </w:r>
    </w:p>
    <w:p w14:paraId="0E894B9A" w14:textId="741FC0F2" w:rsidR="00B41321" w:rsidRDefault="009E4F27" w:rsidP="00B41321">
      <w:pPr>
        <w:pStyle w:val="Stycke"/>
        <w:spacing w:before="120"/>
      </w:pPr>
      <w:r>
        <w:rPr>
          <w:rStyle w:val="Fparagrafbeteckning"/>
        </w:rPr>
        <w:t>Oddiel 18 </w:t>
      </w:r>
      <w:r>
        <w:t>Spojovacie zariadenia sa schvaľujú podľa predpisu EHK OSN č. 55, séria zmien 01 alebo novšia. Pokiaľ ide o hodnoty výkonu, zariadenia musia byť v súlade s predpismi Švédskeho dopravného úradu (TSFS 2019:127) o spájaní automobilov a prípojných vozidiel alebo s oddielmi 19 až 22.</w:t>
      </w:r>
    </w:p>
    <w:p w14:paraId="5B54B9A5" w14:textId="2E9B1C02" w:rsidR="00F87551" w:rsidRDefault="00114615" w:rsidP="008C2A5B">
      <w:pPr>
        <w:pStyle w:val="Stycke"/>
        <w:spacing w:before="120"/>
      </w:pPr>
      <w:r>
        <w:rPr>
          <w:rStyle w:val="Fparagrafbeteckning"/>
        </w:rPr>
        <w:t>Oddiel 19 </w:t>
      </w:r>
      <w:r>
        <w:t>Spojovacie zariadenie ťahača musí mať hodnotu D najmenej 130 kN.</w:t>
      </w:r>
    </w:p>
    <w:p w14:paraId="1A7DBCFD" w14:textId="5031FEE4" w:rsidR="00B41321" w:rsidRPr="00F87551" w:rsidRDefault="00691657" w:rsidP="00EA023A">
      <w:pPr>
        <w:pStyle w:val="Stycke"/>
        <w:spacing w:before="120"/>
      </w:pPr>
      <w:r>
        <w:rPr>
          <w:rStyle w:val="Fparagrafbeteckning"/>
        </w:rPr>
        <w:t>Oddiel 20 </w:t>
      </w:r>
      <w:r>
        <w:t>Predné spojovacie zariadenie predného návesu musí mať hodnotu D najmenej 130 kN. Zadné spojovacie zariadenie musí mať hodnotu DC najmenej 120 kN, hodnotu D najmenej 130 kN a hodnotu V najmenej 32 kN.</w:t>
      </w:r>
    </w:p>
    <w:p w14:paraId="6531828C" w14:textId="207EF389" w:rsidR="00B41321" w:rsidRPr="00F87551" w:rsidRDefault="000123E4" w:rsidP="00894B88">
      <w:pPr>
        <w:pStyle w:val="Stycke"/>
        <w:spacing w:before="120"/>
      </w:pPr>
      <w:r>
        <w:rPr>
          <w:rStyle w:val="Fparagrafbeteckning"/>
        </w:rPr>
        <w:t>Oddiel 21 </w:t>
      </w:r>
      <w:r>
        <w:t>Predné spojovacie zariadenie dolly musí mať hodnotu DC najmenej 120 kN, hodnotu D najmenej 130 kN a hodnotu V najmenej 32 kN. Zadné spojovacie zariadenie musí mať hodnotu D najmenej 130 kN.</w:t>
      </w:r>
    </w:p>
    <w:p w14:paraId="26AD840E" w14:textId="1E693AAE" w:rsidR="009E4F27" w:rsidRDefault="000123E4" w:rsidP="008A2747">
      <w:pPr>
        <w:pStyle w:val="Stycke"/>
        <w:spacing w:before="120"/>
      </w:pPr>
      <w:r>
        <w:rPr>
          <w:rStyle w:val="Fparagrafbeteckning"/>
        </w:rPr>
        <w:t>Oddiel 22 </w:t>
      </w:r>
      <w:r>
        <w:t>Spojovacie zariadenie zadného návesu musí mať hodnotu D najmenej 130 kN.</w:t>
      </w:r>
    </w:p>
    <w:p w14:paraId="1B2BE8B3" w14:textId="1C2C838A" w:rsidR="00837AB8" w:rsidRDefault="00837AB8" w:rsidP="00572D73">
      <w:pPr>
        <w:pStyle w:val="Heading4"/>
      </w:pPr>
      <w:r>
        <w:lastRenderedPageBreak/>
        <w:t>Výnimka z ustanovení o vzdialenostiach medzi nápravami</w:t>
      </w:r>
    </w:p>
    <w:p w14:paraId="29113AD4" w14:textId="12C4B2D1" w:rsidR="00362A7B" w:rsidRDefault="00894B88" w:rsidP="00362A7B">
      <w:pPr>
        <w:pStyle w:val="Stycke"/>
        <w:spacing w:before="120"/>
      </w:pPr>
      <w:r>
        <w:rPr>
          <w:rStyle w:val="Fparagrafbeteckning"/>
        </w:rPr>
        <w:t>Oddiel 23 </w:t>
      </w:r>
      <w:r>
        <w:t>Bez ohľadu na kapitolu 4 oddiel 13 prvý odsek bod 4 nariadenia o cestnej premávke (1998:1276) môže byť vzdialenosť medzi nápravami na ceste, ktorá patrí do triedy nosnosti 1, menšia ako 5 metrov, ale nie menej ako 4 metre. To platí, ak je celková hmotnosť podvozku a trojitej nápravy menšia ako maximálna prípustná celková hmotnosť pre zodpovedajúcu vzdialenosť medzi prvou a poslednou nápravou pre tieto skupiny náprav, ako sa stanovuje v prílohe 1 k danému nariadeniu.</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Špeciálne podmienky pre kombináciu dvojité AB</w:t>
      </w:r>
    </w:p>
    <w:p w14:paraId="073EC131" w14:textId="237096A5" w:rsidR="00553E8F" w:rsidRPr="00553E8F" w:rsidRDefault="00553E8F" w:rsidP="00553E8F">
      <w:pPr>
        <w:pStyle w:val="Tabelltext"/>
        <w:rPr>
          <w:b/>
        </w:rPr>
      </w:pPr>
      <w:r>
        <w:t>Obrázok 3. Kombinácia dvojité AB</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Predný spojovací náves</w:t>
      </w:r>
    </w:p>
    <w:p w14:paraId="18071B35" w14:textId="4DDDC41C" w:rsidR="00DC28E4" w:rsidRDefault="00700B2F" w:rsidP="00DC28E4">
      <w:pPr>
        <w:pStyle w:val="Stycke"/>
      </w:pPr>
      <w:r>
        <w:rPr>
          <w:rStyle w:val="Fparagrafbeteckning"/>
        </w:rPr>
        <w:t>Oddiel 24 </w:t>
      </w:r>
      <w:r>
        <w:t>Posledná náprava spojovacieho návesu v kombinácii dvojité AB musí byť samoriadená pri rýchlostiach minimálne 30 kilometrov za hodinu, ale najviac 40 kilometrov za hodinu.</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Zadný náves</w:t>
      </w:r>
    </w:p>
    <w:p w14:paraId="1B73D4D2" w14:textId="1FA00255" w:rsidR="00DC28E4" w:rsidRPr="00DC28E4" w:rsidRDefault="00DC28E4" w:rsidP="00884605">
      <w:pPr>
        <w:pStyle w:val="Stycke"/>
        <w:spacing w:before="120"/>
      </w:pPr>
      <w:r>
        <w:rPr>
          <w:rStyle w:val="Fparagrafbeteckning"/>
        </w:rPr>
        <w:t>Oddiel 25 </w:t>
      </w:r>
      <w:r>
        <w:t>Vzdialenosť medzi predným spojovacím zariadením a stredom prvej nápravy zadného návesu musí byť aspoň 6,2 metra.</w:t>
      </w:r>
    </w:p>
    <w:p w14:paraId="21991F17" w14:textId="4E162EF8" w:rsidR="000F4BE7" w:rsidRPr="00456CC7" w:rsidRDefault="000F4BE7" w:rsidP="00456CC7">
      <w:pPr>
        <w:pStyle w:val="Heading4"/>
        <w:rPr>
          <w:rStyle w:val="Fparagrafbeteckning"/>
          <w:rFonts w:asciiTheme="minorHAnsi" w:hAnsiTheme="minorHAnsi"/>
          <w:b w:val="0"/>
        </w:rPr>
      </w:pPr>
      <w:r>
        <w:t>Spojovacie zariadenia</w:t>
      </w:r>
    </w:p>
    <w:p w14:paraId="0C0726DC" w14:textId="4B7E5DD9" w:rsidR="005C6621" w:rsidRDefault="000123E4" w:rsidP="005C6621">
      <w:pPr>
        <w:pStyle w:val="Stycke"/>
        <w:spacing w:before="120"/>
      </w:pPr>
      <w:r>
        <w:rPr>
          <w:b/>
        </w:rPr>
        <w:t>Oddiel 26</w:t>
      </w:r>
      <w:r>
        <w:rPr>
          <w:rStyle w:val="Fparagrafbeteckning"/>
        </w:rPr>
        <w:t> </w:t>
      </w:r>
      <w:r>
        <w:t>Spojovacie zariadenia sa schvaľujú podľa predpisu EHK OSN č. 55, séria zmien 01 alebo novšia. Pokiaľ ide o hodnoty výkonu, zariadenia musia byť v súlade s oddielmi 27 až 31.</w:t>
      </w:r>
    </w:p>
    <w:p w14:paraId="1EB16C68" w14:textId="25745D90" w:rsidR="00D52C0D" w:rsidRDefault="00894B88" w:rsidP="00417958">
      <w:pPr>
        <w:pStyle w:val="Stycke"/>
        <w:spacing w:before="120"/>
      </w:pPr>
      <w:r>
        <w:rPr>
          <w:rStyle w:val="Fparagrafbeteckning"/>
        </w:rPr>
        <w:t>Oddiel 27 </w:t>
      </w:r>
      <w:r>
        <w:t>Spojovacie zariadenie ťažkého vozidla musí mať hodnotu DC najmenej 150 kN a hodnotu V najmenej 35 kN. Hodnota DC však môže byť menšia ako 150 kN, ale nie menej ako 130 kN, ak má spojovacie zariadenie hodnotu D najmenej 180 kN a hodnotu V najmenej 60 kN.</w:t>
      </w:r>
    </w:p>
    <w:p w14:paraId="19FE55DC" w14:textId="04D31C61" w:rsidR="001E5EAB" w:rsidRDefault="001E5EAB" w:rsidP="00D52C0D">
      <w:pPr>
        <w:pStyle w:val="Styckemedindrag"/>
      </w:pPr>
      <w:r>
        <w:t>Ak je celková hmotnosť cestnej súpravy väčšia ako 64 ton, ale najviac 70 ton, spojovacie zariadenie musí mať hodnotu DC najmenej 160 kN a hodnotu V najmenej 35 kN. Hodnota DC však môže byť menšia ako 160 kN, ale nie menej ako 130 kN, ak má spojovacie zariadenie hodnotu D najmenej 180 kN a hodnotu V najmenej 60 kN.</w:t>
      </w:r>
    </w:p>
    <w:p w14:paraId="038F3E58" w14:textId="38BFECB2" w:rsidR="00894B88" w:rsidRPr="00894B88" w:rsidRDefault="00894B88" w:rsidP="00D52C0D">
      <w:pPr>
        <w:pStyle w:val="Styckemedindrag"/>
      </w:pPr>
      <w:r>
        <w:t xml:space="preserve">Ak je celková hmotnosť cestnej súpravy väčšia ako 70 ton, ale najviac 74 ton, spojovacie zariadenie musí mať hodnotu DC najmenej 180 kN a hodnotu </w:t>
      </w:r>
      <w:r>
        <w:lastRenderedPageBreak/>
        <w:t>V najmenej 35 kN. Hodnota DC však môže byť menšia ako 180 kN, ale nie menej ako 130 kN, ak má spojovacie zariadenie hodnotu D najmenej 200 kN a hodnotu V najmenej 60 kN.</w:t>
      </w:r>
    </w:p>
    <w:p w14:paraId="6B2D4DAE" w14:textId="28DCA9C8" w:rsidR="00D52C0D" w:rsidRDefault="000123E4" w:rsidP="00770E89">
      <w:pPr>
        <w:pStyle w:val="Stycke"/>
        <w:spacing w:before="120"/>
      </w:pPr>
      <w:r>
        <w:rPr>
          <w:rStyle w:val="Fparagrafbeteckning"/>
        </w:rPr>
        <w:t>Oddiel 28 </w:t>
      </w:r>
      <w:r>
        <w:t>Predné spojovacie zariadenie dolly musí mať hodnotu DC najmenej 150 kN a hodnotu V najmenej 35 kN. Hodnota DC však môže byť menšia ako 150 kN, ale nie menej ako 130 kN, ak má spojovacie zariadenie hodnotu D najmenej 180 kN a hodnotu V najmenej 60 kN.</w:t>
      </w:r>
    </w:p>
    <w:p w14:paraId="5DA847D2" w14:textId="239D1819" w:rsidR="001E5EAB" w:rsidRDefault="001E5EAB" w:rsidP="001E5EAB">
      <w:pPr>
        <w:pStyle w:val="Styckemedindrag"/>
      </w:pPr>
      <w:r>
        <w:t>Ak je celková hmotnosť cestnej súpravy väčšia ako 64 ton, ale najviac 70 ton, spojovacie zariadenie musí mať hodnotu DC najmenej 160 kN a hodnotu V najmenej 35 kN. Hodnota DC však môže byť menšia ako 160 kN, ale nie menej ako 130 kN, ak má spojovacie zariadenie hodnotu D najmenej 180 kN a hodnotu V najmenej 60 kN.</w:t>
      </w:r>
    </w:p>
    <w:p w14:paraId="2790CFD2" w14:textId="7E40EFC3" w:rsidR="00700B2F" w:rsidRDefault="001E5EAB" w:rsidP="001E5EAB">
      <w:pPr>
        <w:pStyle w:val="Styckemedindrag"/>
      </w:pPr>
      <w:r>
        <w:t>Ak je celková hmotnosť cestnej súpravy väčšia ako 70 ton, ale najviac 74 ton, spojovacie zariadenie musí mať hodnotu DC najmenej 180 kN a hodnotu V najmenej 35 kN. Hodnota DC však môže byť menšia ako 180 kN, ale nie menej ako 130 kN, ak má spojovacie zariadenie hodnotu D najmenej 200 kN a hodnotu V najmenej 60 kN.</w:t>
      </w:r>
    </w:p>
    <w:p w14:paraId="455D475B" w14:textId="4C9C36E0" w:rsidR="00700B2F" w:rsidRDefault="00D96C34" w:rsidP="00D52C0D">
      <w:pPr>
        <w:pStyle w:val="Stycke"/>
        <w:spacing w:before="120"/>
      </w:pPr>
      <w:r>
        <w:rPr>
          <w:rStyle w:val="Fparagrafbeteckning"/>
        </w:rPr>
        <w:t>Oddiel 29 </w:t>
      </w:r>
      <w:r>
        <w:t>Zadné spojovacie zariadenie dolly musí mať hodnotu D najmenej 130 kN.</w:t>
      </w:r>
    </w:p>
    <w:p w14:paraId="3033F0F7" w14:textId="36470EF6" w:rsidR="00700B2F" w:rsidRPr="00700B2F" w:rsidRDefault="00DC28E4" w:rsidP="00D52C0D">
      <w:pPr>
        <w:pStyle w:val="Stycke"/>
        <w:spacing w:before="120"/>
      </w:pPr>
      <w:r>
        <w:rPr>
          <w:rStyle w:val="Fparagrafbeteckning"/>
        </w:rPr>
        <w:t>Oddiel 30 </w:t>
      </w:r>
      <w:r>
        <w:t>Predné spojovacie zariadenie spojovacieho návesu musí mať hodnotu D najmenej 130 kN. Zadné spojovacie zariadenie musí mať hodnotu D najmenej 130 kN.</w:t>
      </w:r>
    </w:p>
    <w:p w14:paraId="1F88EC27" w14:textId="7CC9501A" w:rsidR="00047D65" w:rsidRDefault="000123E4" w:rsidP="00FF6EB9">
      <w:pPr>
        <w:pStyle w:val="Stycke"/>
        <w:spacing w:before="120"/>
      </w:pPr>
      <w:r>
        <w:rPr>
          <w:rStyle w:val="Fparagrafbeteckning"/>
        </w:rPr>
        <w:t>Oddiel 31 </w:t>
      </w:r>
      <w:r>
        <w:t>Spojovacie zariadenie zadného návesu musí mať hodnotu D najmenej 130 kN.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Tieto predpisy nadobúdajú účinnosť </w:t>
      </w:r>
      <w:r>
        <w:rPr>
          <w:highlight w:val="yellow"/>
        </w:rPr>
        <w:t xml:space="preserve">deň mesiac </w:t>
      </w:r>
      <w:r>
        <w:t>rok.</w:t>
      </w:r>
    </w:p>
    <w:p w14:paraId="3B391984" w14:textId="7106C541" w:rsidR="00047D65" w:rsidRPr="00047D65" w:rsidRDefault="00047D65" w:rsidP="00EA023A">
      <w:pPr>
        <w:pStyle w:val="Beslutandeochfredragande"/>
      </w:pPr>
      <w:r>
        <w:t>V mene Švédskeho dopravného úradu</w:t>
      </w:r>
      <w:r>
        <w:br/>
      </w:r>
      <w:r>
        <w:br/>
        <w:t>JONAS BJELFVENSTAM</w:t>
      </w:r>
      <w:r>
        <w:br/>
      </w:r>
      <w:r>
        <w:tab/>
        <w:t>Omar Bagdadi</w:t>
      </w:r>
      <w:r>
        <w:br/>
      </w:r>
      <w:r>
        <w:tab/>
        <w:t>(Cesty a železnice)</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5C27" w14:textId="77777777" w:rsidR="00081509" w:rsidRDefault="00081509">
      <w:r>
        <w:separator/>
      </w:r>
    </w:p>
    <w:p w14:paraId="45AA2B92" w14:textId="77777777" w:rsidR="00081509" w:rsidRDefault="00081509"/>
  </w:endnote>
  <w:endnote w:type="continuationSeparator" w:id="0">
    <w:p w14:paraId="05D474A8" w14:textId="77777777" w:rsidR="00081509" w:rsidRDefault="00081509">
      <w:r>
        <w:continuationSeparator/>
      </w:r>
    </w:p>
    <w:p w14:paraId="428C1657" w14:textId="77777777" w:rsidR="00081509" w:rsidRDefault="00081509"/>
  </w:endnote>
  <w:endnote w:type="continuationNotice" w:id="1">
    <w:p w14:paraId="618C82EC" w14:textId="77777777" w:rsidR="00081509" w:rsidRDefault="00081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36902950" w:rsidR="00925C91" w:rsidRDefault="00925C91" w:rsidP="00D104F7">
                          <w:pPr>
                            <w:pStyle w:val="FSnr-sidhuvud"/>
                            <w:ind w:left="0" w:right="0"/>
                          </w:pPr>
                          <w:r>
                            <w:fldChar w:fldCharType="begin"/>
                          </w:r>
                          <w:r>
                            <w:instrText xml:space="preserve"> STYLEREF  FS-nr  \* MERGEFORMAT </w:instrText>
                          </w:r>
                          <w:r>
                            <w:fldChar w:fldCharType="separate"/>
                          </w:r>
                          <w:r w:rsidR="00055DCE">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36902950" w:rsidR="00925C91" w:rsidRDefault="00925C91" w:rsidP="00D104F7">
                    <w:pPr>
                      <w:pStyle w:val="FSnr-sidhuvud"/>
                      <w:ind w:left="0" w:right="0"/>
                    </w:pPr>
                    <w:r>
                      <w:fldChar w:fldCharType="begin"/>
                    </w:r>
                    <w:r>
                      <w:instrText xml:space="preserve"> STYLEREF  FS-nr  \* MERGEFORMAT </w:instrText>
                    </w:r>
                    <w:r>
                      <w:fldChar w:fldCharType="separate"/>
                    </w:r>
                    <w:r w:rsidR="00055DCE">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FCE0" w14:textId="77777777" w:rsidR="00081509" w:rsidRDefault="00081509"/>
  </w:footnote>
  <w:footnote w:type="continuationSeparator" w:id="0">
    <w:p w14:paraId="1CF28B60" w14:textId="77777777" w:rsidR="00081509" w:rsidRDefault="00081509">
      <w:r>
        <w:continuationSeparator/>
      </w:r>
    </w:p>
    <w:p w14:paraId="1FD99BB9" w14:textId="77777777" w:rsidR="00081509" w:rsidRDefault="00081509"/>
  </w:footnote>
  <w:footnote w:type="continuationNotice" w:id="1">
    <w:p w14:paraId="48756B3E" w14:textId="77777777" w:rsidR="00081509" w:rsidRDefault="00081509"/>
    <w:p w14:paraId="5BA017BE" w14:textId="77777777" w:rsidR="00081509" w:rsidRDefault="00081509"/>
  </w:footnote>
  <w:footnote w:id="2">
    <w:p w14:paraId="09FC70B9" w14:textId="34E3A6D0" w:rsidR="00925C91" w:rsidRDefault="00925C91" w:rsidP="00B71032">
      <w:pPr>
        <w:pStyle w:val="FootnoteText"/>
      </w:pPr>
      <w:r>
        <w:rPr>
          <w:rStyle w:val="FootnoteReference"/>
        </w:rPr>
        <w:footnoteRef/>
      </w:r>
      <w:r>
        <w:t xml:space="preserve"> Pozri smernicu Európskeho parlamentu</w:t>
      </w:r>
      <w:r>
        <w:rPr>
          <w:i/>
        </w:rPr>
        <w:t xml:space="preserve"> </w:t>
      </w:r>
      <w:r>
        <w:t>a Rady (EÚ) 2015/1535 z 9. septembra 2015, ktorou sa stanovuje postup pri poskytovaní informácií v oblasti technických predpisov a pravidiel vzťahujúcich sa na služby informačnej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00000" w:rsidP="00A41C32">
    <w:pPr>
      <w:pStyle w:val="FSnr-sidhuvud"/>
    </w:pPr>
    <w:sdt>
      <w:sdtPr>
        <w:alias w:val="Zbierka predpisov"/>
        <w:id w:val="-668563778"/>
        <w:text/>
      </w:sdtPr>
      <w:sdtContent>
        <w:r w:rsidR="00E044E9">
          <w:t>TSFS 20</w:t>
        </w:r>
      </w:sdtContent>
    </w:sdt>
    <w:sdt>
      <w:sdtPr>
        <w:alias w:val="Rok"/>
        <w:tag w:val="År"/>
        <w:id w:val="651943009"/>
        <w:showingPlcHdr/>
        <w:dataBinding w:prefixMappings="xmlns:ns0='consensis-fs'" w:xpath="/ns0:root[1]/ns0:fs-fields[1]/ns0:fs-year[1]" w:storeItemID="{F222B965-9C48-4AC7-962E-E2AF3EEF1550}"/>
        <w:text/>
      </w:sdtPr>
      <w:sdtContent>
        <w:r w:rsidR="00E044E9">
          <w:rPr>
            <w:rStyle w:val="PlaceholderText"/>
          </w:rPr>
          <w:t>[Rok]</w:t>
        </w:r>
      </w:sdtContent>
    </w:sdt>
    <w:r w:rsidR="00E044E9">
      <w:t>:</w:t>
    </w:r>
    <w:sdt>
      <w:sdtPr>
        <w:alias w:val="Č."/>
        <w:tag w:val="Nr"/>
        <w:id w:val="170307869"/>
        <w:showingPlcHdr/>
        <w:dataBinding w:prefixMappings="xmlns:ns0='consensis-fs'" w:xpath="/ns0:root[1]/ns0:fs-fields[1]/ns0:fs-no[1]" w:storeItemID="{F222B965-9C48-4AC7-962E-E2AF3EEF1550}"/>
        <w:text/>
      </w:sdtPr>
      <w:sdtContent>
        <w:r w:rsidR="00E044E9">
          <w:rPr>
            <w:rStyle w:val="PlaceholderText"/>
          </w:rPr>
          <w:t>[č.]</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00000" w:rsidP="00A41C32">
    <w:pPr>
      <w:pStyle w:val="FSnr-sidhuvud"/>
      <w:jc w:val="right"/>
    </w:pPr>
    <w:sdt>
      <w:sdtPr>
        <w:alias w:val="Zbierka predpisov"/>
        <w:id w:val="1150257239"/>
        <w:text/>
      </w:sdtPr>
      <w:sdtContent>
        <w:r w:rsidR="00E044E9">
          <w:t>TSFS 20</w:t>
        </w:r>
      </w:sdtContent>
    </w:sdt>
    <w:sdt>
      <w:sdtPr>
        <w:alias w:val="Rok"/>
        <w:tag w:val="År"/>
        <w:id w:val="-620143070"/>
        <w:showingPlcHdr/>
        <w:dataBinding w:prefixMappings="xmlns:ns0='consensis-fs'" w:xpath="/ns0:root[1]/ns0:fs-fields[1]/ns0:fs-year[1]" w:storeItemID="{F222B965-9C48-4AC7-962E-E2AF3EEF1550}"/>
        <w:text/>
      </w:sdtPr>
      <w:sdtContent>
        <w:r w:rsidR="00E044E9">
          <w:rPr>
            <w:rStyle w:val="PlaceholderText"/>
          </w:rPr>
          <w:t>[Rok]</w:t>
        </w:r>
      </w:sdtContent>
    </w:sdt>
    <w:r w:rsidR="00E044E9">
      <w:t>:</w:t>
    </w:r>
    <w:sdt>
      <w:sdtPr>
        <w:alias w:val="Č."/>
        <w:tag w:val="Nr"/>
        <w:id w:val="-2001035287"/>
        <w:showingPlcHdr/>
        <w:dataBinding w:prefixMappings="xmlns:ns0='consensis-fs'" w:xpath="/ns0:root[1]/ns0:fs-fields[1]/ns0:fs-no[1]" w:storeItemID="{F222B965-9C48-4AC7-962E-E2AF3EEF1550}"/>
        <w:text/>
      </w:sdtPr>
      <w:sdtContent>
        <w:r w:rsidR="00E044E9">
          <w:rPr>
            <w:rStyle w:val="PlaceholderText"/>
          </w:rPr>
          <w:t>[č.]</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5DCE"/>
    <w:rsid w:val="00057DC2"/>
    <w:rsid w:val="0006095D"/>
    <w:rsid w:val="00062894"/>
    <w:rsid w:val="000659DB"/>
    <w:rsid w:val="00070A0C"/>
    <w:rsid w:val="00071623"/>
    <w:rsid w:val="0007267C"/>
    <w:rsid w:val="000739BD"/>
    <w:rsid w:val="00073C47"/>
    <w:rsid w:val="00074548"/>
    <w:rsid w:val="0007774B"/>
    <w:rsid w:val="00077BF1"/>
    <w:rsid w:val="00081509"/>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sk-SK"/>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sk-SK"/>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sk-SK"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[Vyberte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 w:val="00FD6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xmlns="consensis-fs">
  <fs-fields>
    <fs-no-prefix/>
    <fs-year/>
    <fs-no/>
    <fs-date/>
    <fs-series>CESTY</fs-series>
    <fs-subseries/>
    <fs-heading>technických požiadavkách na cestné súpravy s dĺžkou viac ako 25,25 metra</fs-heading>
  </fs-fields>
</root>
</file>

<file path=customXml/item6.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4.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docProps/app.xml><?xml version="1.0" encoding="utf-8"?>
<Properties xmlns="http://schemas.openxmlformats.org/officeDocument/2006/extended-properties" xmlns:vt="http://schemas.openxmlformats.org/officeDocument/2006/docPropsVTypes">
  <Template>Föreskrift.dotm</Template>
  <TotalTime>15</TotalTime>
  <Pages>6</Pages>
  <Words>1461</Words>
  <Characters>8329</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5</cp:revision>
  <cp:lastPrinted>2023-03-07T06:51:00Z</cp:lastPrinted>
  <dcterms:created xsi:type="dcterms:W3CDTF">2023-04-28T11:45:00Z</dcterms:created>
  <dcterms:modified xsi:type="dcterms:W3CDTF">2023-05-11T12:03:00Z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