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4. NODAĻA.</w:t>
      </w:r>
      <w:r>
        <w:rPr>
          <w:sz w:val="22"/>
        </w:rPr>
        <w:t xml:space="preserve"> </w:t>
      </w:r>
      <w:r>
        <w:rPr>
          <w:sz w:val="22"/>
        </w:rPr>
        <w:t xml:space="preserve">Transportlīdzekļu piekļūstamība</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Ja taksometra pakalpojumu piedāvā, izmantojot tālruņa rezervācijas, jāpaplašina šā pakalpojuma pieprasīšanas līdzekļi, izmantojot jaunās tehnoloģijas, lietojumprogrammas, internetu, īsziņas, faksus vai līdzīgus līdzekļus, lai visi lietotāji, tostarp tie, kam ir dzirdes traucējumi, varētu brīvi pieprasīt pakalpojumu.</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Ja pakalpojumam “taksometrs pēc pieprasījuma” ir tīmekļvietne, tai jābūt piekļūstamai vismaz Tīmekļa satura piekļūstamības nostādņu (</w:t>
      </w:r>
      <w:r>
        <w:rPr>
          <w:sz w:val="22"/>
          <w:i/>
          <w:iCs/>
        </w:rPr>
        <w:t xml:space="preserve">WCAG</w:t>
      </w:r>
      <w:r>
        <w:rPr>
          <w:sz w:val="22"/>
        </w:rPr>
        <w:t xml:space="preserve">) 2.1. versijas AA atbilstības līmenī.</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Uz tāda taksometra nolīgšanu, kas personām ar ierobežotām pārvietošanās spējām piekļūstams, izmantojot tālruni, internetu vai mobilo lietojumprogrammu, nevar attiecināt paredzamo pieprasījuma papildinājumu.</w:t>
      </w:r>
      <w:r>
        <w:rPr>
          <w:sz w:val="22"/>
        </w:rPr>
        <w:t xml:space="preserve"> </w:t>
      </w:r>
      <w:r>
        <w:rPr>
          <w:sz w:val="22"/>
        </w:rPr>
        <w:t xml:space="preserve">Invaliditātes karte ir pierādījums, ja tā tiek pieprasīta.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5. NODAĻA.</w:t>
      </w:r>
      <w:r>
        <w:rPr>
          <w:sz w:val="22"/>
        </w:rPr>
        <w:t xml:space="preserve"> </w:t>
      </w:r>
      <w:r>
        <w:rPr>
          <w:sz w:val="22"/>
        </w:rPr>
        <w:t xml:space="preserve">Produktu piekļūstamība</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116. pants.</w:t>
      </w:r>
      <w:r>
        <w:rPr>
          <w:sz w:val="22"/>
        </w:rPr>
        <w:tab/>
      </w:r>
      <w:r>
        <w:rPr>
          <w:sz w:val="22"/>
        </w:rPr>
        <w:t xml:space="preserve">Patēriņa preces</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Uzskata, ka produkts ir piekļūstams, ja tas atbilst šādiem nosacījumiem:</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tam ir īpašībām atbilstīga piekļūstama etiķete, kas ļauj to identificēt, norādot nosaukumu un būtiskāko informāciju;</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tā konstrukcija atbilst universālā dizaina kritērijiem ar jebkuram lietotājam piemērotiem lietošanas un drošības nosacījumiem;</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papildu informāciju, norādījumus vai prospektus var skatīt, izmantojot internetu, ierīču lietojumprogrammas un jaunas tehnoloģijas, un piekļūstamais saturs atbilst 5.a pielikuma 25. un 26. punkta nosacījumiem.</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Uzņēmumi, kas tirgo produktu, atbild par to, lai tiktu ievēroti tam piemērojamie piekļuves nosacījumi.</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Farmaceitiskajiem un bīstamajiem produktiem jāietver datu elementi un sistēmas, lai neredzīgiem vai nedzirdīgiem cilvēkiem būtu piekļuve šādai informācijai:</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produkta nosaukuma identifikācija uz iepakojuma, izmantojot Braila rakstu un grafisko atveidojumu;</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derīguma termiņš uz iepakojuma, izmantojot Braila rakstu un grafisko atveidojumu vai citus alternatīvus līdzekļus, kas nodrošina tādas pašas īpašības;</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produkta galvenās īpašības, tostarp tā sastāvs un uzglabāšana, izmantojot audio meklēšanu internetā vai citus līdzekļus, kas ļauj izmantot jaunas tehnoloģijas ar tādu pašu efektivitāti, ja to pieprasa apvienības cilvēkiem ar redzes traucējumiem.</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Lielveikalu ķēdēm un uzņēmumiem, kuros ir pārtikas vai jauktu produktu nodaļas, visās vietās, kur tiem publiskai lietošanai ir vairāk nekā 250 m² derīgas telpas, pēc neredzīgas personas vai viņa radinieka pieprasījuma jānodrošina šādi nosacījumi:</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vismaz viena no nodaļām apdzīvotā vietā uz ātrbojīgiem produktiem vai produktiem, kas var radīt neskaidrību, nodrošina nosaukumu un derīguma termiņu marķēšanu Braila rakstā, izmantojot printerus vai sistēmas, ar kuriem tos Braila rakstā var marķēt nodaļā uz vietas;</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produkti, ko pārdod tiešsaistē un piegādā mājās, arī ir marķēti Braila rakstā, kā norādīts iepriekšējā punktā;</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komerciāla izplatīšana, ko veic, izmantojot internetu vai citus līdzekļus, piekļūstamā formātā sniedz informāciju par to, kurās telpās ir iespējams marķēt produktus Braila rakstā.</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Pašvaldībās, kurās ir vairāk nekā 50 000 iedzīvotāju, katru apkaimi uzskata par atšķirīgu teritoriālo teritoriju un iepriekšējā punkta piemērošanas nolūkā pielīdzina apdzīvotai vietai.</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i/>
          <w:iCs/>
        </w:rPr>
        <w:t xml:space="preserve">Generalitat</w:t>
      </w:r>
      <w:r>
        <w:rPr>
          <w:sz w:val="22"/>
        </w:rPr>
        <w:t xml:space="preserve"> administrācijai ir pakāpeniski jāizstrādā tehniskie norādījumi, kas ietver jaunus tehnoloģiskos sasniegumus, un jānosaka piekļūstamā marķējuma specifikācijas, termiņi, parametri un kritēriji, kā arī universālā dizaina vadlīnijas, kas piemērojamas produktiem dažādās tirdzniecības nozarēs.</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Patērētājiem ar redzes traucējumiem un nedzirdību ir tādas pašas tiesības kā visiem patērētājiem un lietotājiem neatkarīgi, parasti, viegli, nekavējoties un ar vienādiem nosacījumiem piekļūt tādai pašai marķējuma informācijai par produktu.</w:t>
      </w:r>
      <w:r>
        <w:rPr>
          <w:sz w:val="22"/>
        </w:rPr>
        <w:t xml:space="preserve"> </w:t>
      </w:r>
      <w:r>
        <w:rPr>
          <w:sz w:val="22"/>
        </w:rPr>
        <w:t xml:space="preserve">Tādēļ piekļūstamam marķējumam jāatbilst šādiem nosacījumiem:</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tam jāsniedz iespējami vairāk informācijas, patērētājiem ar invaliditāti nodrošinot tādus pašu nosacījumus kā citiem patērētājiem;</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tam jāļauj iegūt informāciju neatkarīgi, ātri, ērti, tieši un standartizēti, nepieprasot izsmeļošas tehniskās zināšanas vai tehnoloģisko līdzekļu izmantošanu;</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tas nevar radīt papildu izmaksas patērētājiem ar invaliditāti;</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tam nav jārada nesamērīgas izmaksas uzņēmumiem;</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atbildīgajiem uzņēmumiem, kas piedāvā elektroniskos pārdošanas pakalpojumus, attiecīgajā tīmekļvietnē ir jāiekļauj iespēja šādā veidā iegādātus produktus piegādāt ar piekļūstamu marķējumu.</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Patērētāju šķīrējtiesas sistēmai un tās procedūrām un procesiem jābūt piekļūstamiem cilvēkiem ar invaliditāti.</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Publiskiem un privātiem patērētāju pakalpojumu birojiem, nodrošinot pietiekamus atbalsta līdzekļus, jāveic pasākumi, lai atvieglotu saziņas piekļūstamību nedzirdīgiem cilvēkiem, kuri sazinās zīmju valodā un mutiski.</w:t>
      </w:r>
      <w:r>
        <w:rPr>
          <w:sz w:val="22"/>
        </w:rPr>
        <w:t xml:space="preserve"> </w:t>
      </w:r>
      <w:r>
        <w:rPr>
          <w:sz w:val="22"/>
        </w:rPr>
        <w:t xml:space="preserve">Turklāt to rīcībā jābūt dzirdes cilpai, kas uzstādīta 20 % sabiedrisko pakalpojumu dienestu, un ne vēlāk kā 3 gadu laikā pēc šā kodeksa stāšanās spēkā to darbiniekiem jābūt gataviem sniegt informāciju cilvēkiem ar invaliditāti.</w:t>
      </w:r>
    </w:p>
    <w:p w14:paraId="178D066A" w14:textId="77777777" w:rsidR="00CC0ADF" w:rsidRDefault="00CC0ADF">
      <w:pPr>
        <w:rPr>
          <w:lang w:val="es-ES"/>
        </w:rPr>
      </w:pPr>
    </w:p>
    <w:p w14:paraId="3EF53236" w14:textId="476D7F11" w:rsidR="00E526B5" w:rsidRDefault="00B670F2">
      <w:r>
        <w:rPr>
          <w:sz w:val="22"/>
        </w:rPr>
        <w:t xml:space="preserve">6. NODAĻA.</w:t>
      </w:r>
      <w:r>
        <w:rPr>
          <w:sz w:val="22"/>
        </w:rPr>
        <w:t xml:space="preserve"> </w:t>
      </w:r>
      <w:r>
        <w:rPr>
          <w:sz w:val="22"/>
        </w:rPr>
        <w:t xml:space="preserve">Pakalpojumu piekļūstamība</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Sabiedrisko pakalpojumu sniedzējiem, kuru tīmekļvietnes ir atvērtas sabiedrībai, ir jāsniedz informācija par šo pakalpojumu piekļūstamību un to pakārtojumu, aprīkojumu un procedūrām.</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Tīmekļvietnēm, mobilajām ierīcēm paredzētām lietojumprogrammām un citiem informācijas un sakaru tehnoloģiju produktiem un pakalpojumiem, ko piedāvā sabiedrisko pakalpojumu sniedzēji, jāatbilst šā kodeksa 5.a pielikumā izklāstītajiem nosacījumiem un standartam UNE-EN 301549:2022 vai standartam, kas to aizstāj, saskaņā ar Eiropas Parlamenta un Padomes Direktīvu (ES) 2016/2102 un transponēšanu, kas veikta ar Karaļa 2018. gada 7. septembra Dekrētu Nr. 112/2018 par publiskā sektora struktūru tīmekļvietņu un mobilo ierīču lietotņu piekļūstamību, neskarot noteikumus, ko šajā jautājumā Katalonijā pieņēmusi kompetentā iestāde.</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Lielveikalu ķēžu un pārtikas vai jauktu uzņēmumu, kuru lietderīgā platība ir lielāka par 500 m² un kuri piedāvā iespēju iegādāties tiešsaistē un saņemt produktus, izmantojot piegādi mājās, tīmekļvietnēm un mobilajām lietojumprogrammām jābūt piekļūstamām saskaņā ar 5.a pielikuma 25. un 26. punkta nosacījumiem un saskaņā ar Tīmekļa satura piekļūstamības nostādņu (</w:t>
      </w:r>
      <w:r>
        <w:rPr>
          <w:sz w:val="22"/>
          <w:i/>
          <w:iCs/>
        </w:rPr>
        <w:t xml:space="preserve">WCAG</w:t>
      </w:r>
      <w:r>
        <w:rPr>
          <w:sz w:val="22"/>
        </w:rPr>
        <w:t xml:space="preserve">) 2.1. versiju jāsasniedz vismaz piekļūstamības atbilstības AA līmenis šādās situācijās: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jaunizveidotām lapām vai lietojumprogrammām;</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esošo lapu vai lietojumprogrammu izmaiņu gadījumos;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ja ir ievēroti 6.b pielikuma 4. punktā noteiktie termiņi, pielāgojot esošās lapas un lietojumprogrammas.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Mobilajām ierīcēm paredzētām tīmekļa lapām un lietojumprogrammām, kas nodrošina banku pakalpojumus, līgumu slēgšanu vai cita veida pārvaldību vai konsultācijas attiecībā uz produktiem, par kuriem līgums noslēgts fiziskā birojā, jābūt piekļūstamām saskaņā ar 5.a pielikuma 25. un 26. punkta nosacījumiem un saskaņā ar Tīmekļa satura piekļūstamības nostādņu (</w:t>
      </w:r>
      <w:r>
        <w:rPr>
          <w:sz w:val="22"/>
          <w:i/>
          <w:iCs/>
        </w:rPr>
        <w:t xml:space="preserve">WCAG</w:t>
      </w:r>
      <w:r>
        <w:rPr>
          <w:sz w:val="22"/>
        </w:rPr>
        <w:t xml:space="preserve">) 2.1. versiju jāsasniedz vismaz piekļūstamības atbilstības AA līmenis šādās situācijās: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jaunizveidotām lapām vai lietojumprogrammām;</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esošo lapu vai lietojumprogrammu izmaiņu gadījumos;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ja ir ievēroti 6.b pielikuma 5. punktā noteiktie termiņi, esošo lapu un lietojumprogrammu pielāgošanai.</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Viesnīcu ķēžu un uzņēmumu, kuru kapacitāte pārsniedz 100 vietas, tīmekļvietnēm un mobilajām lietojumprogrammām, kas nodrošina izmitināšanas līgumu slēgšanu un tiešsaistes pakalpojumus, jābūt piekļūstamām saskaņā ar 5.a pielikuma 25. un 26. punkta nosacījumiem un saskaņā ar Tīmekļa satura piekļūstamības nostādņu (</w:t>
      </w:r>
      <w:r>
        <w:rPr>
          <w:sz w:val="22"/>
          <w:i/>
          <w:iCs/>
        </w:rPr>
        <w:t xml:space="preserve">WCAG</w:t>
      </w:r>
      <w:r>
        <w:rPr>
          <w:sz w:val="22"/>
        </w:rPr>
        <w:t xml:space="preserve">) 2.1. versiju jāsasniedz vismaz piekļūstamības atbilstības AA līmenis šādās situācijās: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jaunizveidotām lapām vai lietojumprogrammām;</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esošo lapu vai lietojumprogrammu izmaiņu gadījumos;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ja ir ievēroti 6.b pielikuma 7. punktā noteiktie termiņi esošo lapu un lietojumprogrammu pielāgošanai.</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Uzņēmumu vai uzņēmumu apvienību tīmekļvietnēm un mobilajām lietojumprogrammām jābūt piekļūstamām saskaņā ar 5.a pielikuma 25. un 26. punktā izklāstītajiem nosacījumiem</w:t>
      </w:r>
      <w:r>
        <w:rPr>
          <w:sz w:val="22"/>
        </w:rPr>
        <w:t xml:space="preserve"> </w:t>
      </w:r>
      <w:r>
        <w:rPr>
          <w:sz w:val="22"/>
        </w:rPr>
        <w:t xml:space="preserve">un saskaņā ar Tīmekļa satura piekļūstamības nostādņu (</w:t>
      </w:r>
      <w:r>
        <w:rPr>
          <w:sz w:val="22"/>
          <w:i/>
          <w:iCs/>
        </w:rPr>
        <w:t xml:space="preserve">WCAG</w:t>
      </w:r>
      <w:r>
        <w:rPr>
          <w:sz w:val="22"/>
        </w:rPr>
        <w:t xml:space="preserve">) 2.1. versiju jāsasniedz vismaz piekļūstamības atbilstības AA līmenis, kā arī jāsniedz iepriekšējos punktos norādītā informācija šādās situācijās: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jaunizveidotām lapām vai lietojumprogrammām;</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esošo lapu vai lietojumprogrammu izmaiņu gadījumos;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ja ir ievēroti 6.b pielikuma 3. punktā noteiktie termiņi esošo lapu un lietojumprogrammu pielāgošanai.</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Sporta iestāžu un klubu tīmekļvietnēm un mobilajām lietojumprogrammām, kas piedāvā biļešu pārdošanu izrādēm to norises vietā, jābūt piekļūstamām un jāsniedz vajadzīgā informācija saskaņā ar tiem pašiem nosacījumiem, kas 133. pantā paredzēti attiecībā uz pakalpojumiem, kas saistīti ar izpildītājmākslu.</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Tīmekļvietnēm un mobilajām lietojumprogrammām izglītības iestādēs, kas nodrošina formālo izglītību, jābūt piekļūstamām saskaņā ar 5.a pielikuma 25. un 26. punkta nosacījumiem un saskaņā ar Tīmekļa satura piekļūstamības nostādņu (</w:t>
      </w:r>
      <w:r>
        <w:rPr>
          <w:sz w:val="22"/>
          <w:i/>
          <w:iCs/>
        </w:rPr>
        <w:t xml:space="preserve">WCAG</w:t>
      </w:r>
      <w:r>
        <w:rPr>
          <w:sz w:val="22"/>
        </w:rPr>
        <w:t xml:space="preserve">) 2.1. versiju jāsasniedz vismaz piekļūstamības atbilstības AA līmenis šādās situācijās:</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jaunizveidotām lapām vai lietojumprogrammām;</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esošo lapu vai lietojumprogrammu izmaiņu gadījumos;</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ja ir ievēroti 6.b pielikuma 8. punktā noteiktie termiņi, esošo lapu un lietojumprogrammu pielāgošanai.</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138. pants.</w:t>
      </w:r>
      <w:r>
        <w:rPr>
          <w:sz w:val="22"/>
        </w:rPr>
        <w:tab/>
      </w:r>
      <w:r>
        <w:rPr>
          <w:sz w:val="22"/>
        </w:rPr>
        <w:t xml:space="preserve">Pamatpakalpojumi, vispārējas nozīmes pakalpojumi vai valsts finansēti pakalpojumi</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Katalonijas publiskā sektora un publisko tiesību korporāciju tīmekļvietnēm, kā arī visām tām, kas izveidotas ar valsts pārvaldes finansējumu, un tādu struktūru vai uzņēmumu tīmekļvietnēm, kas publiskos pakalpojumus sniedz saskaņā ar koncesiju vai līgumu ar valsts pārvaldi, ir jāatbilst 5.a pielikuma 25. punkta prasībām un saskaņā ar Tīmekļa satura piekļūstamības nostādņu (</w:t>
      </w:r>
      <w:r>
        <w:rPr>
          <w:sz w:val="22"/>
          <w:i/>
          <w:iCs/>
        </w:rPr>
        <w:t xml:space="preserve">WCAG</w:t>
      </w:r>
      <w:r>
        <w:rPr>
          <w:sz w:val="22"/>
        </w:rPr>
        <w:t xml:space="preserve">) 2.1. versiju jāsasniedz vismaz piekļūstamības atbilstības AA līmenis, neskarot noteikumus, ko šajā jautājumā kompetentā iestāde ir pieņēmusi Katalonijā saskaņā ar Karaļa 2018. gada 7. septembra Dekrētu Nr. 1112/2018 par publiskā sektora struktūru tīmekļvietņu un mobilo ierīču lietotņu piekļūstamību.</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To privāto struktūru tīmekļvietnēm, kas sniedz pamatpakalpojumus vai vispārējas nozīmes pakalpojumus, tostarp elektroenerģijas, ūdens vai gāzes piegādi un telesakaru pakalpojumus, kā arī veselības aprūpes, pasta un banku pakalpojumus, jāatbilst arī 5.a pielikuma 25. punkta prasībām un saskaņā ar Tīmekļa satura piekļūstamības nostādņu (</w:t>
      </w:r>
      <w:r>
        <w:rPr>
          <w:sz w:val="22"/>
          <w:i/>
          <w:iCs/>
        </w:rPr>
        <w:t xml:space="preserve">WCAG</w:t>
      </w:r>
      <w:r>
        <w:rPr>
          <w:sz w:val="22"/>
        </w:rPr>
        <w:t xml:space="preserve">) 2.1. versiju jāsasniedz vismaz piekļūstamības atbilstības AA līmenis.</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Mobilo ierīču lietojumprogrammām publiskajā sektorā un struktūrām, kas minētas iepriekš 138.1. un 138.2. punktā, jāatbilst 5.a pielikuma 26. punktā noteiktajām piekļūstamības prasībām, neskarot noteikumus, ko šajā jautājumā Katalonijā pieņēmusi kompetentā iestāde.</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Šajā pantā izklāstītās tīmekļvietņu un mobilo lietojumprogrammu piekļūstamības prasības piemēro ar noteikumu, ka tās nerada nesamērīgu slogu struktūrai, kurai tās jāpiemēro, ievērojot šādus nosacījumus: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konkrētās vienības dimensijas, resursi un specifika;</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vienības izmaksas un ieguvumi un aplēstie ieguvumi lietotājiem, ņemot vērā šīs tīmekļvietnes vai lietojumprogrammas lietošanas biežumu un ilgumu;</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diskriminējošā ietekme uz cilvēkiem ar invaliditāti, ja tīmekļvietne vai lietojumprogramma nav piekļūstama gadījumā, kad tirgū ir piekļūstamas tīmekļvietnes vai alternatīvas lietojumprogrammas, kas piedāvā tādu pašu funkcionalitāti un nosacījumus.</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Publiskajam sektoram vai struktūrai, kas izmanto 138.4. punktā paredzēto atbrīvojumu, tīmekļvietnes vai lietojumprogrammas piekļūstamības deklarācijā ir jāpaskaidro, kuras piekļūstamības prasības nebija iespējams izpildīt, un atbilstīgi iespējām jāpiedāvā pieejamas alternatīvas.</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Tīmekļa lapu un mobilo lietojumprogrammu atbilstība iepriekšējos punktos izklāstītajiem piekļūstamības nosacījumiem jānodrošina līdz galīgajiem termiņiem, kas noteikti 6.b pielikuma 2. punktā.</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Pakalpojumu sniedzējiem un ražotājiem, kas piegādā IT aprīkojumu un programmatūru Katalonijas publiskajam sektoram, un 138.1. punktā minētajām struktūrām, ir jāiekļauj papildu piekļūstamības elementi un funkcijas, kas vajadzīgas, lai cilvēkiem ar invaliditāti nodrošinātu piekļuvi digitālajam saturam.</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Valsts un privātiem televīzijas tīkliem Katalonijā ir jāizstrādā plāni par piekļuvi saturam, lai pakāpeniski padarītu to programmas piekļūstamas cilvēkiem ar sensorās un intelektuālās attīstības traucējumiem.</w:t>
      </w:r>
      <w:r>
        <w:rPr>
          <w:sz w:val="22"/>
        </w:rPr>
        <w:t xml:space="preserve"> </w:t>
      </w:r>
      <w:r>
        <w:rPr>
          <w:sz w:val="22"/>
        </w:rPr>
        <w:t xml:space="preserve">Ar šiem plāniem jānodrošina, ka ne vēlāk kā 3 gados pēc šā kodeksa stāšanās spēkā tiek sasniegti šādi mērķi:</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sabiedriskās televīzijas tīklos:</w:t>
      </w:r>
      <w:r>
        <w:rPr>
          <w:sz w:val="22"/>
        </w:rPr>
        <w:t xml:space="preserve"> </w:t>
      </w:r>
      <w:r>
        <w:rPr>
          <w:sz w:val="22"/>
        </w:rPr>
        <w:t xml:space="preserve">100 % programmu jābūt subtitrētām un saturam vismaz 15 stundas nedēļā jābūt ar audio aprakstu un 10 stundas nedēļā — katalāņu zīmju valodā;</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privātos televīzijas tīklos:</w:t>
      </w:r>
      <w:r>
        <w:rPr>
          <w:sz w:val="22"/>
        </w:rPr>
        <w:t xml:space="preserve"> </w:t>
      </w:r>
      <w:r>
        <w:rPr>
          <w:sz w:val="22"/>
        </w:rPr>
        <w:t xml:space="preserve">75 % programmu jābūt subtitrētām un saturam vismaz 10 stundas nedēļā jābūt ar audio aprakstu un 7 stundas nedēļā — katalāņu zīmju valodā;</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Programmās katalāņu zīmju valodā jāiekļauj ziņu raidījumi un bērnu raidījumi, kas piekļūstami iepriekš ierakstītā skatīšanās piedāvājumā, kad šis pakalpojums ir pieejams.</w:t>
      </w:r>
      <w:r>
        <w:rPr>
          <w:sz w:val="22"/>
        </w:rPr>
        <w:t xml:space="preserve"> </w:t>
      </w:r>
      <w:r>
        <w:rPr>
          <w:sz w:val="22"/>
        </w:rPr>
        <w:t xml:space="preserve">Šīm programmām ir jāaptver visas nedēļas dienas.</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Uzņēmumiem, kas izplata kinematogrāfijas un audiovizuālos darbus, jāiekļauj subtitrēšanas, audioapraksta un audionavigācijas sistēmas, vēlams ārvalstu un vietējām filmām, kurām ir labāki pārdošanas rādītāji vai kuras ir saņēmušas valsts vai starptautiskus apbalvojumus, lai tās darītu piekļūstamas, izmantojot DVD atbalstu vai līdzīgas sistēmas ar šīm funkcijām.</w:t>
      </w:r>
    </w:p>
    <w:p w14:paraId="0F3986EB" w14:textId="77777777" w:rsidR="003920DF" w:rsidRDefault="003920DF">
      <w:pPr>
        <w:rPr>
          <w:lang w:val="es-ES"/>
        </w:rPr>
      </w:pPr>
    </w:p>
    <w:p w14:paraId="44244122" w14:textId="3BAB5CCF" w:rsidR="00E526B5" w:rsidRDefault="00B670F2">
      <w:r>
        <w:rPr>
          <w:sz w:val="22"/>
        </w:rPr>
        <w:t xml:space="preserve">11. NODAĻA.</w:t>
      </w:r>
      <w:r>
        <w:rPr>
          <w:sz w:val="22"/>
        </w:rPr>
        <w:t xml:space="preserve"> </w:t>
      </w:r>
      <w:r>
        <w:rPr>
          <w:sz w:val="22"/>
        </w:rPr>
        <w:t xml:space="preserve">Piekļūstamības kvalitātes žetons</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Sabiedriskai apspriešanai ar iestādēm, ēkām un publiskām struktūrām, kurām ir kvalitātes žetons, jābūt iespējamai vismaz internetā, neskarot citus līdzekļus, ko var uzskatīt par piemērotiem.</w:t>
      </w:r>
    </w:p>
    <w:p w14:paraId="6CBE5DDA" w14:textId="77777777" w:rsidR="00E526B5" w:rsidRDefault="00E526B5">
      <w:pPr>
        <w:rPr>
          <w:lang w:val="es-ES"/>
        </w:rPr>
      </w:pPr>
    </w:p>
    <w:p w14:paraId="3BFAD248" w14:textId="66A7955A" w:rsidR="00E526B5" w:rsidRDefault="00CF1E0D">
      <w:r>
        <w:rPr>
          <w:sz w:val="22"/>
        </w:rPr>
        <w:t xml:space="preserve">5.a pielikums.</w:t>
      </w:r>
      <w:r>
        <w:rPr>
          <w:sz w:val="22"/>
        </w:rPr>
        <w:t xml:space="preserve"> </w:t>
      </w:r>
      <w:r>
        <w:rPr>
          <w:sz w:val="22"/>
        </w:rPr>
        <w:t xml:space="preserve">Produktu piekļūstamības standarti</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Piekļūstamās tīmekļa lapas</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Vadlīnijas, kas jāievēro, izstrādājot un veidojot tīmekļvietni, un nosacījumi, lai tā būtu piekļūstama, ir šādas:</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konfigurēt saturu tā, lai to varētu pielāgot dažādām programmatūrām, ierīcēm un atbalsta produktiem, nezaudējot informāciju vai struktūru;</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nodrošināt teksta alternatīvas vai aprakstošu identifikāciju netekstuālam saturam (attēliem, diagrammām, multivides saturam);</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iekļaut multivides satura subtitrus un audio aprakstus, ja tas ir nepieciešams vēstījuma pienācīgai izpratnei;</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nodrošināt mehānismus, kas ļauj izslēgt un regulēt audio skaļumu;</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neizmantot krāsu kā vienīgo līdzekli, lai nodotu informāciju, norādītu darbību vai atšķirtu kādu elementu;</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tekstam un attēliem jābūt ar pietiekamu kontrastu attiecībā pret fonu un tādā izmērā, kas ļauj tos ērti lasīt;</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teksta lielumam jābūt pielāgojamam no pašas lapas, neizmantojot atbalsta produktus un nezaudējot saturu vai funkcionalitāti;</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nodrošināt piekļuvi visām lapas funkcijām ar tastatūru, izmantojot risinājumu, kas nav pretrunā ekrāna lasītājiem un palielinātājiem;</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ļaut lietotājam kontrolēt informāciju vai objektus, kas tiek automātiski pārvietoti vai atjaunināti, lai tos apturētu, paslēptu vai kontrolētu to rādīšanas biežumu;</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atvieglot navigāciju, strukturējot saturu saskaņotā secībā un nodrošinot skaidrus navigācijas mehānismus;</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iekļaut norādījumu informāciju, lai palīdzētu lietotājiem izprast sarežģītus elementus, un nodrošināt mehānismus, lai atklātu un novērstu kļūdas, kas rodas, lietotājam ierakstot datus;</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norādīt valodu, ko izmanto katrā tīmekļvietnes punktā vai dokumentā, lai ekrāna lasītāji un balss sintezatori varētu automātiski noteikt un mainīt valodu;</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izmantot skaidru un saprotamu valodu, lai saturu padarītu viegli saprotamu, un iekļaut visneparastāko vārdu definīciju, iniciālo abreviatūru un saīsinājumu nozīmi;</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palielināt saderību ar lietojumprogrammām, programmatūru un ierīcēm, kas var būt lietotāju rīcībā, tostarp ar atbalsta produktiem;</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nodrošināt, ka internetā publicētie dokumenti ir piekļūstami un lasāmi arī ekrāna lasītājiem;</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nodrošināt piekļūstamus saziņas kanālus, kas nav tālrunis, izmantojot e-pastu, SMS vai veidlapas, ar apstrādes ilgumu, kas nav diskriminējošs salīdzinājumā ar tālruņa zvana ilgumu;</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nodrošināt atbilstību kritērijiem saskaņā ar Tīmekļa satura piekļūstamības nostādņu (</w:t>
      </w:r>
      <w:r>
        <w:rPr>
          <w:sz w:val="22"/>
          <w:i/>
          <w:iCs/>
        </w:rPr>
        <w:t xml:space="preserve">WCAG</w:t>
      </w:r>
      <w:r>
        <w:rPr>
          <w:sz w:val="22"/>
        </w:rPr>
        <w:t xml:space="preserve">) 2.1. versiju vienā no tās līmeņiem, nosacījumiem, kas noteikti standartā UNE 139803:2012 vai tā aizstājējā, izņemot gadījumus, kad saskaņā ar šo kodeksu ir vajadzīgs augstāks līmenis.</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Piekļūstamās lietojumprogrammas</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Mobilajām lietojumprogrammām jāatbilst nosacījumiem, kas izklāstīti standartā UNE 139803:2012 vai tā aizstājējā, un jāatbilst šādiem vispārīgiem kritērijiem:</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visiem ziņojumiem, palīdzības sistēmām un tekstiem jābūt rakstītiem skaidrā un vienkāršā valodā;</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tekstam jābūt saprotamam, tā izmēram un fontam jāatvieglo lasīšana;</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elementu krāsu kontrastam ar fonu jābūt pietiekamam;</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vadībai, objektiem, ikonām un attēliem jābūt identificējamiem, viegli lietojamiem un tiem jābūt pievienotiem saistītiem alternatīviem tekstiem, kas norāda to funkciju vai nozīmi;</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brīdinājuma skaņām jābūt vizuālām vai vibrējošām alternatīvām;</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pakalpojuma piekļūstamības procesam jābūt vienmērīgam un ātram;</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lietojumprogrammai jābūt saderīgai ar atbalsta produktiem, piemēram, ar ekrāna lasītājiem, palielinātājiem un balss komandām;</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lietojumprogrammai jābūt saderīgai ar operētājsistēmas piekļūstamības rīkiem.</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6.b pielikums.</w:t>
      </w:r>
      <w:r>
        <w:rPr>
          <w:sz w:val="22"/>
        </w:rPr>
        <w:t xml:space="preserve"> </w:t>
      </w:r>
      <w:r>
        <w:rPr>
          <w:sz w:val="22"/>
        </w:rPr>
        <w:t xml:space="preserve">Termiņi esošo pakalpojumu pielāgošanai paredzētajiem nosacījumiem</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Saderība ar citiem nepieciešamajiem nosacījumiem</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Šā 6.b pielikuma nosacījumi neskar pienākumu pirms norādītajiem termiņiem ievērot prasītos piekļūstamības nosacījumus, ja tiek mainīti esošie elementi vai resursi.</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Katalonijas publiskā sektora, publisko tiesību korporācijas un sabiedrisko pakalpojumu sniedzēju struktūras</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Lai Katalonijas publiskā sektora, publisko tiesību korporāciju un struktūru vai uzņēmumu, kas saskaņā ar koncesiju vai līgumu ar valsts pārvaldi sniedz publiskos pakalpojumus, tīmekļvietnes un mobilās lietojumprogrammas būtu piekļūstamas un atbilstu 138. pantā minētajiem nosacījumiem, ir noteikti šādi galīgie termiņi:</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gads pēc šā kodeksa stāšanās spēkā:</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Katalonijas publiskā sektora un publisko tiesību sabiedrību tīmekļvietnes;</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gadi pēc šā kodeksa stāšanās spēkā:</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lietojumprogrammas mobilajām ierīcēm Katalonijas publiskajā sektorā un publisko tiesību korporācijās;</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gadi pēc šā kodeksa stāšanās spēkā:</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tīmekļvietnes un lietojumprogrammas mobilajām ierīcēm struktūrās vai uzņēmumos, kas saskaņā ar koncesiju vai līgumu ar valsts pārvaldi sniedz publiskos pakalpojumus.</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Norādītie termiņi ir noteikti, neskarot to objektu atbilstību, attiecībā uz kuriem ir jāievēro visstingrākās prasības pakalpojuma parametru ziņā saskaņā ar pārējiem šā pielikuma punktiem vai citiem noteikumiem, kas to regulē.</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Pakalpojumi, kas saistīti ar izpildītājmākslu, kino un sporta pasākumiem</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Lai uzņēmuma tīmekļvietnes un elektronisko biļešu pārdošanas kanāli būtu piekļūstami un atbilstu 133. pantā izklāstītajiem nosacījumiem, ir noteikti šādi galīgie termiņi:</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gadi pēc šā kodeksa stāšanās spēkā:</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tīmekļvietnes un mobilās lietojumprogrammas iestādēm, kuru kapacitāte visā teritorijā ir 2000 sēdvietu vai lielāka;</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tīmekļvietnes un mobilās lietojumprogrammas tiešsaistes biļešu platformām, kas pārvalda vairāk nekā vienu uzņēmumu, kuru kopējā kapacitāte ir 2000 sēdvietu vai lielāka;</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gadi pēc šā kodeksa stāšanās spēkā:</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tīmekļvietnes un mobilās lietojumprogrammas tiešsaistes biļešu platformām, kas pārvalda vairāk nekā vienu uzņēmumu, kuru kopējā kapacitāte ir līdz 2000 sēdvietu;</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gadi pēc šā kodeksa stāšanās spēkā:</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tīmekļvietnes un mobilās lietojumprogrammas iestādēm, kuru kapacitāte visā teritorijā ir līdz 2000 sēdvietu.</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Komerciālie pakalpojumi</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Lai tīmekļvietnes un mobilās lietojumprogrammas, kas piedāvā iespēju iepirkties tiešsaistē, un lielveikalu ķēdes, kā arī uzņēmumi, kuros ir pārtikas vai jauktas nodaļas, būtu piekļūstamas un atbilstu 126. pantā izklāstītajiem nosacījumiem, ir noteikti šādi galīgie termiņi:</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gadi pēc šā kodeksa stāšanās spēkā:</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tīmekļvietnes un mobilās lietojumprogrammas lielveikalu ķēdēm, kurās ir 10 vai vairāk uzņēmumu un telpu, kuru lietderīgā platība publiskai lietošanai ir lielāka par 500 m²;</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gadi pēc šā kodeksa stāšanās spēkā:</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tīmekļvietnes un mobilās lietojumprogrammas lielveikalu ķēdēm, kurās ir no 5 līdz 9 uzņēmumiem un telpas, kuru lietderīgā platība publiskai lietošanai ir lielāka par 500 m²;</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gadi pēc šā kodeksa stāšanās spēkā:</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tīmekļvietnes un mobilās lietojumprogrammas lielveikalu ķēdēm, pārtikas vai jauktiem uzņēmumiem, kuru lietderīgā platība publiskai lietošanai ir lielāka par 500 m².</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Finanšu un apdrošināšanas pakalpojumi</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Lai mobilo ierīču tīmekļvietnes un lietojumprogrammas, kas nodrošina iespēju veikt banku darījumus, slēgt līgumus, saņemt medicīnas darbinieku konsultācijas vai veikt jebkāda cita veida pārvaldību vai saņemt konsultācijas par produktiem, par kuriem noslēgts līgums ar struktūru, varētu būt piekļūstamas un atbilstu 127. pantā norādītajiem nosacījumiem, ir noteikti šādi galīgie termiņi:</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gads pēc šā kodeksa stāšanās spēkā:</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tīmekļvietnes;</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gadi pēc šā kodeksa stāšanās spēkā:</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lietojumprogrammas mobilajām ierīcēm.</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Ar privāto transportu saistītie pakalpojumi</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Lai uzņēmumi, kuri piedāvā bezvadītāja automobiļu nomas pakalpojumus un kuru autoparkā ir vairāk nekā 100 transportlīdzekļu, un uzņēmumi, kuri piedāvā automobiļu nomas pakalpojumus ar autovadītāju un kuru autoparkā ir vairāk nekā 50 transportlīdzekļu, varētu ievērot 128. pantā izklāstītos nosacījumus, ir noteikti šādi galīgie termiņi:</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gads pēc šā kodeksa stāšanās spēkā:</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tiem jānodrošina tādu transportlīdzekļu piegāde, ar kuriem ratiņkrēslos var pārvadāt personas, kas nav vadītāji, un kuru skaits ir vienāds ar vai lielāks par 1 % no to pārvaldītā autoparka;</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tiem jānodrošina tādu transportlīdzekļu piegāde, kuri ir pielāgoti vadītājiem ar ierobežotām pārvietošanās spējām un kuru skaits ir vismaz 0,5 % no to pārvaldītā autoparka;</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iepriekšējos punktos norādīto piegādi var nodrošināt, izmantojot savus transportlīdzekļus vai noslēdzot līgumus ar citiem uzņēmējiem, kas garantē pietiekamu piekļūstamību;</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gadi pēc šā kodeksa stāšanās spēkā:</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vismaz 0,5 % sava autoparka transportlīdzekļu ir jānodrošina iespēja ratiņkrēslos pārvadāt personas, kas nav vadītāji;</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gadi pēc šā kodeksa stāšanās spēkā:</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vismaz 2 % sava autoparka transportlīdzekļu ir jānodrošina iespēja ratiņkrēslos pārvadāt personas, kas nav vadītāji;</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vismaz 0,5 % sava autoparka transportlīdzekļu jāpielāgo transportlīdzekļu vadītājiem ar ierobežotām pārvietošanās spējām.</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Pakalpojumi, kas saistīti ar tūristu izmitināšanu</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Lai tīmekļvietnes un mobilās lietojumprogrammas viesnīcu ķēdēm un uzņēmumiem, kuru kapacitāte ir vairāk nekā 100 istabu, kas nodrošina iespēju rezervēt izmitināšanu un tiešsaistes pakalpojumus, varētu būt piekļūstamas un atbilstu 130. pantā norādītajiem nosacījumiem, ir noteikti šādi galīgie termiņi:</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gadi pēc šā kodeksa stāšanās spēkā:</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tīmekļvietnes un mobilās lietojumprogrammas viesnīcu ķēdēm, kurās ir 5 vai vairāk uzņēmumu un kuras kopā nodrošina izmitināšanu vairāk nekā 500 istabās;</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gadi pēc šā kodeksa stāšanās spēkā:</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tīmekļvietnes un mobilās lietojumprogrammas viesnīcu ķēdēm, kurās ir līdz 4 uzņēmumiem un kuras kopā nodrošina izmitināšanu vairāk nekā 500 istabās;</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tīmekļvietnes un mobilās lietojumprogrammas uzņēmumiem ar 500 vai vairāk istabām;</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gadi pēc šā kodeksa stāšanās spēkā:</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tīmekļvietnes un mobilās lietojumprogrammas viesnīcu ķēdēm, kuras kopā nodrošina izmitināšanu 100 līdz 500 istabās;</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tīmekļvietnes un lietojumprogrammas mobilajām ierīcēm uzņēmumiem, kuros ir no 50 līdz 500 istabām.</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Izglītības pakalpojumi</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Lai tīmekļvietnes un mobilās lietojumprogrammas izglītības iestādēs, kas nodrošina formālo izglītību, būtu piekļūstamas un atbilstu 135. pantā izklāstītajiem nosacījumiem, ir noteikti šādi galīgie termiņi:</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gadi pēc šā kodeksa stāšanās spēkā:</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tīmekļa lapas un lietojumprogrammas mobilajām ierīcēm, kas nodrošina iespēju meklēt akadēmiskos ierakstus, pārvaldīt rēķinus vai citus tiešsaistes procesus;</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gadi pēc šā kodeksa stāšanās spēkā:</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tīmekļvietnes un lietojumprogrammas mobilajām ierīcēm, kas sniedz informāciju par skolu, iekārtām un izglītojošiem piedāvājumiem.</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Veselības aprūpes pakalpojumi</w:t>
      </w:r>
    </w:p>
    <w:p w14:paraId="62E28D59" w14:textId="77777777" w:rsidR="00E526B5" w:rsidRPr="000F0A63" w:rsidRDefault="00E526B5" w:rsidP="00E526B5">
      <w:pPr>
        <w:tabs>
          <w:tab w:val="left" w:pos="284"/>
        </w:tabs>
        <w:jc w:val="both"/>
        <w:rPr>
          <w:bCs/>
          <w:sz w:val="22"/>
          <w:szCs w:val="22"/>
          <w:rFonts w:cs="Arial"/>
        </w:rPr>
      </w:pPr>
      <w:r>
        <w:rPr>
          <w:sz w:val="22"/>
        </w:rPr>
        <w:t xml:space="preserve">Veselības aprūpes centriem, kuros ir 50 vai vairāk gultasvietu, jāievēro šādi termiņi un nosacījumi:</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gadi pēc šā kodeksa stāšanās spēkā:</w:t>
      </w:r>
    </w:p>
    <w:p w14:paraId="727C4E74" w14:textId="77777777" w:rsidR="00E526B5" w:rsidRPr="000F0A63" w:rsidRDefault="00E526B5" w:rsidP="00E526B5">
      <w:pPr>
        <w:tabs>
          <w:tab w:val="left" w:pos="284"/>
        </w:tabs>
        <w:jc w:val="both"/>
        <w:rPr>
          <w:sz w:val="22"/>
          <w:szCs w:val="22"/>
          <w:rFonts w:cs="Arial"/>
        </w:rPr>
      </w:pPr>
      <w:r>
        <w:rPr>
          <w:sz w:val="22"/>
        </w:rPr>
        <w:t xml:space="preserve">iestādēs, kurās ir ne mazāk par 2 % gultasvietu, ir infrastruktūra, mobilās ierīces un protokoli, lai palīdzētu nedzirdīgiem cilvēkiem, izmantojot katalāņu zīmju valodu ar attālinātas tulkošanas tehnoloģijas starpniecību.</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