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A93A" w14:textId="77777777" w:rsidR="00793460" w:rsidRPr="00793460" w:rsidRDefault="00793460" w:rsidP="0018241B">
      <w:pPr>
        <w:spacing w:after="0" w:line="240" w:lineRule="auto"/>
        <w:jc w:val="both"/>
        <w:rPr>
          <w:rFonts w:ascii="Times New Roman" w:eastAsia="Times New Roman" w:hAnsi="Times New Roman" w:cs="Times New Roman"/>
          <w:kern w:val="0"/>
          <w:sz w:val="24"/>
          <w:szCs w:val="24"/>
          <w14:ligatures w14:val="none"/>
        </w:rPr>
      </w:pPr>
      <w:r>
        <w:rPr>
          <w:rFonts w:ascii="Verdana" w:hAnsi="Verdana"/>
          <w:color w:val="000000"/>
          <w:sz w:val="18"/>
        </w:rPr>
        <w:t>4. PEATÜKK:</w:t>
      </w:r>
    </w:p>
    <w:p w14:paraId="6D8BDB9A" w14:textId="7CCEEF9B" w:rsidR="00120328" w:rsidRPr="00C21F45" w:rsidRDefault="00793460" w:rsidP="0018241B">
      <w:pPr>
        <w:jc w:val="both"/>
        <w:rPr>
          <w:rFonts w:ascii="Verdana" w:eastAsia="Times New Roman" w:hAnsi="Verdana" w:cs="Verdana"/>
          <w:color w:val="000000"/>
          <w:kern w:val="0"/>
          <w:sz w:val="18"/>
          <w:szCs w:val="18"/>
          <w14:ligatures w14:val="none"/>
        </w:rPr>
      </w:pPr>
      <w:r>
        <w:rPr>
          <w:rFonts w:ascii="Verdana" w:hAnsi="Verdana"/>
          <w:color w:val="000000"/>
          <w:sz w:val="18"/>
        </w:rPr>
        <w:t>Transpordivahendite juurdepääsetavus</w:t>
      </w:r>
    </w:p>
    <w:p w14:paraId="784266FF" w14:textId="77369157" w:rsidR="00793460" w:rsidRPr="00793460" w:rsidRDefault="00C21F45" w:rsidP="00C21F45">
      <w:p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97.4</w:t>
      </w:r>
      <w:r>
        <w:rPr>
          <w:rFonts w:ascii="Verdana" w:hAnsi="Verdana"/>
          <w:color w:val="000000"/>
          <w:sz w:val="18"/>
        </w:rPr>
        <w:tab/>
        <w:t>Kui taksoteenust pakutakse telefonibroneeringuid kasutades, peab see teenus laiendama päringuvahendeid, kasutades uusi tehnoloogiaid, rakendusi, internetti, tekstisõnumeid, fakse või muid sarnaseid vahendeid, et kõik kasutajad, sealhulgas kuulmispuudega kasutajad, saaksid teenuse kasutamist iseseisvalt taotleda.</w:t>
      </w:r>
    </w:p>
    <w:p w14:paraId="267634A8" w14:textId="45EAAC86" w:rsidR="00793460" w:rsidRPr="00C21F45" w:rsidRDefault="00793460" w:rsidP="00C21F45">
      <w:pPr>
        <w:pStyle w:val="ListParagraph"/>
        <w:numPr>
          <w:ilvl w:val="1"/>
          <w:numId w:val="38"/>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Kui tellitava takso teenusel on veebisait, peab see olema kättesaadav vähemalt WCAG 2.1 suuniste AA tasandil.</w:t>
      </w:r>
    </w:p>
    <w:p w14:paraId="4939771A" w14:textId="74C94B8B" w:rsidR="00A22C8A" w:rsidRPr="00C21F45" w:rsidRDefault="00A22C8A" w:rsidP="00C21F45">
      <w:pPr>
        <w:pStyle w:val="ListParagraph"/>
        <w:numPr>
          <w:ilvl w:val="1"/>
          <w:numId w:val="2"/>
        </w:numPr>
        <w:tabs>
          <w:tab w:val="left" w:pos="709"/>
        </w:tabs>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Piiratud liikumisvõimega inimestele telefoni, interneti või mobiilirakenduse kaudu juurdepääsetava takso rentimise suhtes ei saa kohaldada eeldatava nõudluse lisandit. Puudega isiku kaart on tõendiks juhul, kui seda nõutakse.</w:t>
      </w:r>
    </w:p>
    <w:p w14:paraId="6E2B4866" w14:textId="77777777" w:rsidR="00793460" w:rsidRPr="00DE0090" w:rsidRDefault="00793460" w:rsidP="0018241B">
      <w:pPr>
        <w:jc w:val="both"/>
        <w:rPr>
          <w:lang w:val="en-US"/>
        </w:rPr>
      </w:pPr>
    </w:p>
    <w:p w14:paraId="412E026C" w14:textId="77777777" w:rsidR="00817C70" w:rsidRPr="00817C70" w:rsidRDefault="00817C70" w:rsidP="0018241B">
      <w:pPr>
        <w:spacing w:after="0" w:line="240" w:lineRule="auto"/>
        <w:jc w:val="both"/>
        <w:rPr>
          <w:rFonts w:ascii="Times New Roman" w:eastAsia="Times New Roman" w:hAnsi="Times New Roman" w:cs="Times New Roman"/>
          <w:kern w:val="0"/>
          <w:sz w:val="24"/>
          <w:szCs w:val="24"/>
          <w14:ligatures w14:val="none"/>
        </w:rPr>
      </w:pPr>
      <w:r>
        <w:rPr>
          <w:rFonts w:ascii="Verdana" w:hAnsi="Verdana"/>
          <w:color w:val="000000"/>
          <w:sz w:val="18"/>
        </w:rPr>
        <w:t>5. PEATÜKK:</w:t>
      </w:r>
    </w:p>
    <w:p w14:paraId="2FA5B452" w14:textId="1D1FADF2" w:rsidR="00817C70" w:rsidRPr="00C21F45" w:rsidRDefault="00817C70" w:rsidP="0018241B">
      <w:pPr>
        <w:jc w:val="both"/>
        <w:rPr>
          <w:rFonts w:ascii="Verdana" w:eastAsia="Times New Roman" w:hAnsi="Verdana" w:cs="Verdana"/>
          <w:color w:val="000000"/>
          <w:kern w:val="0"/>
          <w:sz w:val="18"/>
          <w:szCs w:val="18"/>
          <w14:ligatures w14:val="none"/>
        </w:rPr>
      </w:pPr>
      <w:r>
        <w:rPr>
          <w:rFonts w:ascii="Verdana" w:hAnsi="Verdana"/>
          <w:color w:val="000000"/>
          <w:sz w:val="18"/>
        </w:rPr>
        <w:t>Toodete kättesaadavus</w:t>
      </w:r>
    </w:p>
    <w:p w14:paraId="398E1425" w14:textId="58518719" w:rsidR="00817C70" w:rsidRPr="00817C70" w:rsidRDefault="00817C70" w:rsidP="0018241B">
      <w:pPr>
        <w:spacing w:after="0" w:line="240" w:lineRule="auto"/>
        <w:jc w:val="both"/>
        <w:rPr>
          <w:rFonts w:ascii="Times New Roman" w:eastAsia="Times New Roman" w:hAnsi="Times New Roman" w:cs="Times New Roman"/>
          <w:kern w:val="0"/>
          <w:sz w:val="24"/>
          <w:szCs w:val="24"/>
          <w14:ligatures w14:val="none"/>
        </w:rPr>
      </w:pPr>
      <w:r>
        <w:rPr>
          <w:rFonts w:ascii="Verdana" w:hAnsi="Verdana"/>
          <w:color w:val="000000"/>
          <w:sz w:val="18"/>
        </w:rPr>
        <w:t>Artikkel 116. Tarbekaubad</w:t>
      </w:r>
    </w:p>
    <w:p w14:paraId="1AA794C1" w14:textId="77777777" w:rsidR="00817C70" w:rsidRPr="00817C70" w:rsidRDefault="00817C70" w:rsidP="0018241B">
      <w:pPr>
        <w:numPr>
          <w:ilvl w:val="1"/>
          <w:numId w:val="7"/>
        </w:numPr>
        <w:spacing w:after="0" w:line="360" w:lineRule="auto"/>
        <w:jc w:val="both"/>
        <w:rPr>
          <w:rFonts w:ascii="Verdana" w:eastAsia="Times New Roman" w:hAnsi="Verdana" w:cs="Verdana"/>
          <w:color w:val="000000"/>
          <w:kern w:val="0"/>
          <w:sz w:val="18"/>
          <w:szCs w:val="18"/>
          <w14:ligatures w14:val="none"/>
        </w:rPr>
      </w:pPr>
      <w:r>
        <w:rPr>
          <w:rFonts w:ascii="Verdana" w:hAnsi="Verdana"/>
          <w:color w:val="000000"/>
          <w:sz w:val="18"/>
        </w:rPr>
        <w:t>Toodet peetakse juurdepääsetavaks, kui see vastab järgmistele tingimustele.</w:t>
      </w:r>
    </w:p>
    <w:p w14:paraId="2A026444" w14:textId="77777777" w:rsidR="00817C70" w:rsidRPr="00817C70" w:rsidRDefault="00817C70" w:rsidP="0018241B">
      <w:pPr>
        <w:numPr>
          <w:ilvl w:val="0"/>
          <w:numId w:val="3"/>
        </w:numPr>
        <w:tabs>
          <w:tab w:val="left" w:pos="284"/>
        </w:tabs>
        <w:spacing w:after="0" w:line="276" w:lineRule="auto"/>
        <w:jc w:val="both"/>
        <w:rPr>
          <w:rFonts w:ascii="Verdana" w:eastAsia="Times New Roman" w:hAnsi="Verdana" w:cs="Verdana"/>
          <w:color w:val="000000"/>
          <w:kern w:val="0"/>
          <w:sz w:val="18"/>
          <w:szCs w:val="18"/>
          <w14:ligatures w14:val="none"/>
        </w:rPr>
      </w:pPr>
      <w:r>
        <w:rPr>
          <w:rFonts w:ascii="Verdana" w:hAnsi="Verdana"/>
          <w:color w:val="000000"/>
          <w:sz w:val="18"/>
        </w:rPr>
        <w:t>Sellel on oma omadustele vastav juurdepääsetav märgis, mis võimaldab selle identifitseerimist koos nimetuse ja kõige asjakohasema teabega.</w:t>
      </w:r>
    </w:p>
    <w:p w14:paraId="38CD485D" w14:textId="77777777" w:rsidR="00817C70" w:rsidRPr="00817C70" w:rsidRDefault="00817C70" w:rsidP="0018241B">
      <w:pPr>
        <w:numPr>
          <w:ilvl w:val="0"/>
          <w:numId w:val="3"/>
        </w:numPr>
        <w:tabs>
          <w:tab w:val="left" w:pos="284"/>
        </w:tabs>
        <w:spacing w:after="0" w:line="276" w:lineRule="auto"/>
        <w:jc w:val="both"/>
        <w:rPr>
          <w:rFonts w:ascii="Verdana" w:eastAsia="Times New Roman" w:hAnsi="Verdana" w:cs="Verdana"/>
          <w:color w:val="000000"/>
          <w:kern w:val="0"/>
          <w:sz w:val="18"/>
          <w:szCs w:val="18"/>
          <w14:ligatures w14:val="none"/>
        </w:rPr>
      </w:pPr>
      <w:r>
        <w:rPr>
          <w:rFonts w:ascii="Verdana" w:hAnsi="Verdana"/>
          <w:color w:val="000000"/>
          <w:sz w:val="18"/>
        </w:rPr>
        <w:t>Selle projekteerimisel järgitakse universaalseid konstruktsioonikriteeriume koos sobivate kasutus- ja ohutustingimustega igale kasutajale.</w:t>
      </w:r>
    </w:p>
    <w:p w14:paraId="365DF273" w14:textId="77777777" w:rsidR="00817C70" w:rsidRPr="00817C70" w:rsidRDefault="00817C70" w:rsidP="0018241B">
      <w:pPr>
        <w:numPr>
          <w:ilvl w:val="0"/>
          <w:numId w:val="3"/>
        </w:numPr>
        <w:tabs>
          <w:tab w:val="left" w:pos="284"/>
        </w:tabs>
        <w:spacing w:after="0" w:line="276" w:lineRule="auto"/>
        <w:jc w:val="both"/>
        <w:rPr>
          <w:rFonts w:ascii="Verdana" w:eastAsia="Times New Roman" w:hAnsi="Verdana" w:cs="Verdana"/>
          <w:color w:val="000000"/>
          <w:kern w:val="0"/>
          <w:sz w:val="18"/>
          <w:szCs w:val="18"/>
          <w14:ligatures w14:val="none"/>
        </w:rPr>
      </w:pPr>
      <w:r>
        <w:rPr>
          <w:rFonts w:ascii="Verdana" w:hAnsi="Verdana"/>
          <w:color w:val="000000"/>
          <w:sz w:val="18"/>
        </w:rPr>
        <w:t>Lisateavet, juhiseid või prospekte võib vaadata interneti, seadmerakenduste ja uute tehnoloogiate kasutamise kaudu, kusjuures kättesaadav sisu vastab lisa 5a punktide 25 ja 26 tingimustele.</w:t>
      </w:r>
    </w:p>
    <w:p w14:paraId="4D2AF760" w14:textId="77777777" w:rsidR="00817C70" w:rsidRPr="00817C70" w:rsidRDefault="00817C70" w:rsidP="0018241B">
      <w:pPr>
        <w:numPr>
          <w:ilvl w:val="1"/>
          <w:numId w:val="7"/>
        </w:num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Toodet turustavad ettevõtted vastutavad selle eest, et toote suhtes kohaldatavad juurdepääsutingimused oleksid täidetud.</w:t>
      </w:r>
    </w:p>
    <w:p w14:paraId="0460F04D" w14:textId="77777777" w:rsidR="00817C70" w:rsidRPr="00817C70" w:rsidRDefault="00817C70" w:rsidP="0018241B">
      <w:pPr>
        <w:spacing w:after="0" w:line="240" w:lineRule="auto"/>
        <w:jc w:val="both"/>
        <w:rPr>
          <w:rFonts w:ascii="Times New Roman" w:eastAsia="Times New Roman" w:hAnsi="Times New Roman" w:cs="Times New Roman"/>
          <w:kern w:val="0"/>
          <w:sz w:val="24"/>
          <w:szCs w:val="24"/>
          <w14:ligatures w14:val="none"/>
        </w:rPr>
      </w:pPr>
    </w:p>
    <w:p w14:paraId="15EF65F5" w14:textId="77777777" w:rsidR="00817C70" w:rsidRPr="00817C70" w:rsidRDefault="00817C70" w:rsidP="0018241B">
      <w:pPr>
        <w:numPr>
          <w:ilvl w:val="1"/>
          <w:numId w:val="7"/>
        </w:num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Ravimid ja ohtlikud tooted peavad sisaldama andmeelemente ja -süsteeme, et pimedatel või pimekurtidel oleks juurdepääs järgmisele teabele.</w:t>
      </w:r>
    </w:p>
    <w:p w14:paraId="1C273362" w14:textId="77777777" w:rsidR="00817C70" w:rsidRPr="00817C70" w:rsidRDefault="00817C70" w:rsidP="0018241B">
      <w:pPr>
        <w:spacing w:after="0" w:line="240" w:lineRule="auto"/>
        <w:jc w:val="both"/>
        <w:rPr>
          <w:rFonts w:ascii="Times New Roman" w:eastAsia="Times New Roman" w:hAnsi="Times New Roman" w:cs="Times New Roman"/>
          <w:kern w:val="0"/>
          <w:sz w:val="24"/>
          <w:szCs w:val="24"/>
          <w14:ligatures w14:val="none"/>
        </w:rPr>
      </w:pPr>
    </w:p>
    <w:p w14:paraId="26EB061A" w14:textId="77777777" w:rsidR="00817C70" w:rsidRPr="00817C70" w:rsidRDefault="00817C70" w:rsidP="0018241B">
      <w:pPr>
        <w:numPr>
          <w:ilvl w:val="0"/>
          <w:numId w:val="9"/>
        </w:numPr>
        <w:tabs>
          <w:tab w:val="left" w:pos="284"/>
        </w:tabs>
        <w:spacing w:after="0" w:line="276" w:lineRule="auto"/>
        <w:jc w:val="both"/>
        <w:rPr>
          <w:rFonts w:ascii="Verdana" w:eastAsia="Times New Roman" w:hAnsi="Verdana" w:cs="Verdana"/>
          <w:color w:val="000000"/>
          <w:kern w:val="0"/>
          <w:sz w:val="18"/>
          <w:szCs w:val="18"/>
          <w14:ligatures w14:val="none"/>
        </w:rPr>
      </w:pPr>
      <w:r>
        <w:rPr>
          <w:rFonts w:ascii="Verdana" w:hAnsi="Verdana"/>
          <w:color w:val="000000"/>
          <w:sz w:val="18"/>
        </w:rPr>
        <w:t>Toote nimetuse identifitseerimine pakendil Braille’i kirja ja ikonograafia abil.</w:t>
      </w:r>
    </w:p>
    <w:p w14:paraId="2155E292" w14:textId="77777777" w:rsidR="00817C70" w:rsidRPr="00817C70" w:rsidRDefault="00817C70" w:rsidP="0018241B">
      <w:pPr>
        <w:numPr>
          <w:ilvl w:val="0"/>
          <w:numId w:val="9"/>
        </w:numPr>
        <w:tabs>
          <w:tab w:val="left" w:pos="284"/>
        </w:tabs>
        <w:spacing w:after="0" w:line="276" w:lineRule="auto"/>
        <w:jc w:val="both"/>
        <w:rPr>
          <w:rFonts w:ascii="Verdana" w:eastAsia="Times New Roman" w:hAnsi="Verdana" w:cs="Verdana"/>
          <w:color w:val="000000"/>
          <w:kern w:val="0"/>
          <w:sz w:val="18"/>
          <w:szCs w:val="18"/>
          <w14:ligatures w14:val="none"/>
        </w:rPr>
      </w:pPr>
      <w:r>
        <w:rPr>
          <w:rFonts w:ascii="Verdana" w:hAnsi="Verdana"/>
          <w:color w:val="000000"/>
          <w:sz w:val="18"/>
        </w:rPr>
        <w:t>Pakendil olev aegumiskuupäev Braille’i kirja ja ikonograafia või muude samade omadustega alternatiivsete ressursside abil.</w:t>
      </w:r>
    </w:p>
    <w:p w14:paraId="76E1CDAF" w14:textId="77777777" w:rsidR="00817C70" w:rsidRPr="00817C70" w:rsidRDefault="00817C70" w:rsidP="0018241B">
      <w:pPr>
        <w:numPr>
          <w:ilvl w:val="0"/>
          <w:numId w:val="9"/>
        </w:numPr>
        <w:tabs>
          <w:tab w:val="left" w:pos="284"/>
        </w:tabs>
        <w:spacing w:after="0" w:line="276" w:lineRule="auto"/>
        <w:jc w:val="both"/>
        <w:rPr>
          <w:rFonts w:ascii="Verdana" w:eastAsia="Times New Roman" w:hAnsi="Verdana" w:cs="Verdana"/>
          <w:color w:val="000000"/>
          <w:kern w:val="0"/>
          <w:sz w:val="18"/>
          <w:szCs w:val="18"/>
          <w14:ligatures w14:val="none"/>
        </w:rPr>
      </w:pPr>
      <w:r>
        <w:rPr>
          <w:rFonts w:ascii="Verdana" w:hAnsi="Verdana"/>
          <w:color w:val="000000"/>
          <w:sz w:val="18"/>
        </w:rPr>
        <w:t>Toote põhiomadused, nagu selle koostis ja säilitamine, muu hulgas interneti kaudu audiootsingu teel või muul viisil, mis võimaldab uut tehnoloogiat, millel on sama tõhusus, kui seda taotlevad nägemispuudega inimesed.</w:t>
      </w:r>
    </w:p>
    <w:p w14:paraId="4F9C99D3" w14:textId="77777777" w:rsidR="00817C70" w:rsidRPr="00817C70" w:rsidRDefault="00817C70" w:rsidP="0018241B">
      <w:pPr>
        <w:numPr>
          <w:ilvl w:val="1"/>
          <w:numId w:val="7"/>
        </w:num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Supermarketite ketid ja ettevõtted, kellel on toiduaineid või segaettevõtted, peavad pimeda inimese või nende sugulase taotlusel tagama pimeda inimese või nende sugulase taotlusel kõigis kohtades, kus neil on üle 250 m² kasuliku pindala avalikuks kasutamiseks, järgmised tingimused.</w:t>
      </w:r>
    </w:p>
    <w:p w14:paraId="45C6192E" w14:textId="77777777" w:rsidR="00817C70" w:rsidRPr="00817C70" w:rsidRDefault="00817C70" w:rsidP="0018241B">
      <w:pPr>
        <w:numPr>
          <w:ilvl w:val="0"/>
          <w:numId w:val="5"/>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Vähemalt üks paikkonna ettevõte märgistab nimetusi ja aegumiskuupäevi Braille’i kirjas kiiresti riknevatel toodetel või toodetel, mis võivad põhjustada segadust, kasutades selleks printereid või süsteeme, mis võimaldavad sellist märgistamist Braille’i kirjas ettevõttes endas.</w:t>
      </w:r>
    </w:p>
    <w:p w14:paraId="5BC0D845" w14:textId="77777777" w:rsidR="00817C70" w:rsidRPr="00817C70" w:rsidRDefault="00817C70" w:rsidP="0018241B">
      <w:pPr>
        <w:numPr>
          <w:ilvl w:val="0"/>
          <w:numId w:val="5"/>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Seda, et internetis müüdavad ja kodudesse toimetatavad tooted on märgistatud ka Braille’i kirjas, nagu on märgitud eelnevas punktis.</w:t>
      </w:r>
    </w:p>
    <w:p w14:paraId="1035B1C0" w14:textId="77777777" w:rsidR="00817C70" w:rsidRPr="00817C70" w:rsidRDefault="00817C70" w:rsidP="0018241B">
      <w:pPr>
        <w:numPr>
          <w:ilvl w:val="0"/>
          <w:numId w:val="5"/>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Interneti või muude vahendite kaudu toimuv kaubanduslik levitamine annab kättesaadavas vormis teavet selle kohta, kus on ruumid, mis pakuvad võimalust märgistada tooteid Braille’i kirjas.</w:t>
      </w:r>
    </w:p>
    <w:p w14:paraId="76F0CEB1" w14:textId="77777777" w:rsidR="00817C70" w:rsidRPr="00817C70" w:rsidRDefault="00817C70" w:rsidP="0018241B">
      <w:pPr>
        <w:numPr>
          <w:ilvl w:val="1"/>
          <w:numId w:val="7"/>
        </w:num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Üle 50 000 elanikuga omavalitsusüksustes peetakse iga naabruskonda erinevaks territoriaalseks alaks ja eelmise lõike kohaldamisel on see samaväärne paikkonnaga.</w:t>
      </w:r>
    </w:p>
    <w:p w14:paraId="0F364222" w14:textId="77777777" w:rsidR="00817C70" w:rsidRPr="00817C70" w:rsidRDefault="00817C70" w:rsidP="0018241B">
      <w:pPr>
        <w:spacing w:after="0" w:line="240" w:lineRule="auto"/>
        <w:jc w:val="both"/>
        <w:rPr>
          <w:rFonts w:ascii="Times New Roman" w:eastAsia="Times New Roman" w:hAnsi="Times New Roman" w:cs="Times New Roman"/>
          <w:kern w:val="0"/>
          <w:sz w:val="24"/>
          <w:szCs w:val="24"/>
          <w14:ligatures w14:val="none"/>
        </w:rPr>
      </w:pPr>
    </w:p>
    <w:p w14:paraId="2F93C022" w14:textId="77777777" w:rsidR="00817C70" w:rsidRPr="00817C70" w:rsidRDefault="00817C70" w:rsidP="00C21F45">
      <w:pPr>
        <w:keepNext/>
        <w:keepLines/>
        <w:numPr>
          <w:ilvl w:val="1"/>
          <w:numId w:val="7"/>
        </w:num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Kataloonia valitsus peab järk-järgult välja töötama tehnilised juhised, mis sisaldavad uusi tehnoloogilisi edusamme, ning määrama kindlaks juurdepääsetava märgistuse spetsifikatsioonid, tähtajad, omadused ja kriteeriumid ning eri kaubandussektorite toodete suhtes kohaldatavad universaalsed disainisuunised.</w:t>
      </w:r>
    </w:p>
    <w:p w14:paraId="4A2CF4A3" w14:textId="6502978C" w:rsidR="00817C70" w:rsidRPr="00817C70" w:rsidRDefault="00817C70" w:rsidP="0018241B">
      <w:pPr>
        <w:numPr>
          <w:ilvl w:val="1"/>
          <w:numId w:val="7"/>
        </w:numPr>
        <w:spacing w:after="0" w:line="240" w:lineRule="auto"/>
        <w:jc w:val="both"/>
        <w:rPr>
          <w:rFonts w:ascii="Times New Roman" w:eastAsia="Times New Roman" w:hAnsi="Times New Roman" w:cs="Times New Roman"/>
          <w:kern w:val="0"/>
          <w:sz w:val="24"/>
          <w:szCs w:val="24"/>
          <w14:ligatures w14:val="none"/>
        </w:rPr>
      </w:pPr>
      <w:r>
        <w:rPr>
          <w:rFonts w:ascii="Verdana" w:hAnsi="Verdana"/>
          <w:color w:val="000000"/>
          <w:sz w:val="18"/>
        </w:rPr>
        <w:t xml:space="preserve">Nägemispuudega ja pimekurtidel tarbijatel on õigus pääseda ligi samale tooteteabele, mis kõigil tarbijatel ja kasutajatel on märgistusel sõltumatult, tavaliselt, </w:t>
      </w:r>
      <w:r>
        <w:rPr>
          <w:rFonts w:ascii="Verdana" w:hAnsi="Verdana"/>
          <w:color w:val="000000"/>
          <w:sz w:val="18"/>
        </w:rPr>
        <w:lastRenderedPageBreak/>
        <w:t>lihtsalt, kohe ja võrdsetel tingimustel. Selleks peab juurdepääsetav märgistus vastama järgmistele tingimustele.</w:t>
      </w:r>
    </w:p>
    <w:p w14:paraId="39B1E955" w14:textId="77777777" w:rsidR="00817C70" w:rsidRPr="00817C70" w:rsidRDefault="00817C70" w:rsidP="0018241B">
      <w:pPr>
        <w:numPr>
          <w:ilvl w:val="0"/>
          <w:numId w:val="10"/>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See peab andma võimalikult palju teavet, pakkudes puuetega tarbijatele teiste tarbijatega võrdseid tingimusi.</w:t>
      </w:r>
    </w:p>
    <w:p w14:paraId="64BF4460" w14:textId="77777777" w:rsidR="00817C70" w:rsidRPr="00817C70" w:rsidRDefault="00817C70" w:rsidP="0018241B">
      <w:pPr>
        <w:numPr>
          <w:ilvl w:val="0"/>
          <w:numId w:val="10"/>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See peab võimaldama saada teavet sõltumatult, kiiresti, mugavalt, otse ja standardiseeritud viisil, ilma et see nõuaks suuri tehnilisi teadmisi või tehnoloogiliste vahendite arendamist.</w:t>
      </w:r>
    </w:p>
    <w:p w14:paraId="18AF0240" w14:textId="77777777" w:rsidR="00817C70" w:rsidRPr="00817C70" w:rsidRDefault="00817C70" w:rsidP="0018241B">
      <w:pPr>
        <w:numPr>
          <w:ilvl w:val="0"/>
          <w:numId w:val="10"/>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See ei tohi tekitada puuetega tarbijatele lisakulusid.</w:t>
      </w:r>
    </w:p>
    <w:p w14:paraId="0CF60FE5" w14:textId="77777777" w:rsidR="00817C70" w:rsidRPr="00817C70" w:rsidRDefault="00817C70" w:rsidP="0018241B">
      <w:pPr>
        <w:numPr>
          <w:ilvl w:val="0"/>
          <w:numId w:val="10"/>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See ei pea tekitama ettevõtetele mittetaskukohaseid kulusid.</w:t>
      </w:r>
    </w:p>
    <w:p w14:paraId="56CC71F9" w14:textId="77777777" w:rsidR="00817C70" w:rsidRPr="00817C70" w:rsidRDefault="00817C70" w:rsidP="0018241B">
      <w:pPr>
        <w:numPr>
          <w:ilvl w:val="0"/>
          <w:numId w:val="10"/>
        </w:numPr>
        <w:tabs>
          <w:tab w:val="left" w:pos="426"/>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Kohustatud ettevõtted, kes pakuvad elektroonilisi müügiteenuseid, peavad vastavale veebisaidile lisama sel viisil ostetud toodete kättetoimetamise võimaluse koos juurdepääsetava märgistusega.</w:t>
      </w:r>
    </w:p>
    <w:p w14:paraId="7C3D369E" w14:textId="77777777" w:rsidR="00817C70" w:rsidRPr="00817C70" w:rsidRDefault="00817C70" w:rsidP="0018241B">
      <w:pPr>
        <w:numPr>
          <w:ilvl w:val="1"/>
          <w:numId w:val="7"/>
        </w:numPr>
        <w:tabs>
          <w:tab w:val="left" w:pos="851"/>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Tarbijavaidluste lahendamise süsteem ning selle menetlused ja protsessid peavad olema puuetega inimestele kättesaadavad.</w:t>
      </w:r>
    </w:p>
    <w:p w14:paraId="70F25A9A" w14:textId="1CAEA532" w:rsidR="00817C70" w:rsidRPr="00817C70" w:rsidRDefault="00817C70" w:rsidP="0018241B">
      <w:pPr>
        <w:numPr>
          <w:ilvl w:val="1"/>
          <w:numId w:val="7"/>
        </w:numPr>
        <w:tabs>
          <w:tab w:val="left" w:pos="851"/>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Avaliku ja erasektori tarbijakaitseametid peavad võtma meetmeid, et piisavate toetusvahenditega hõlbustada side kättesaadavust kurtide jaoks, kes suhtlevad viipekeeles ja suuliselt. Lisaks peab nende jaoks olema 20% avalikest teeninduslaudadest kuulmisahel ja nende töötajad peavad olema valmis andma puuetega inimestele teavet maksimaalselt kolme aasta jooksul alates käesoleva koodeksi jõustumisest.</w:t>
      </w:r>
    </w:p>
    <w:p w14:paraId="5B9CDF92" w14:textId="77777777" w:rsidR="00817C70" w:rsidRPr="005A3736" w:rsidRDefault="00817C70" w:rsidP="0018241B">
      <w:pPr>
        <w:jc w:val="both"/>
      </w:pPr>
    </w:p>
    <w:p w14:paraId="77CDEDCF" w14:textId="77777777" w:rsidR="008363BF" w:rsidRPr="008363BF" w:rsidRDefault="008363BF" w:rsidP="0018241B">
      <w:pPr>
        <w:spacing w:after="0" w:line="240" w:lineRule="auto"/>
        <w:jc w:val="both"/>
        <w:rPr>
          <w:rFonts w:ascii="Times New Roman" w:eastAsia="Times New Roman" w:hAnsi="Times New Roman" w:cs="Times New Roman"/>
          <w:kern w:val="0"/>
          <w:sz w:val="24"/>
          <w:szCs w:val="24"/>
          <w14:ligatures w14:val="none"/>
        </w:rPr>
      </w:pPr>
      <w:r>
        <w:rPr>
          <w:rFonts w:ascii="Verdana" w:hAnsi="Verdana"/>
          <w:color w:val="000000"/>
          <w:sz w:val="18"/>
        </w:rPr>
        <w:t>6. PEATÜKK:</w:t>
      </w:r>
    </w:p>
    <w:p w14:paraId="7C29B06D" w14:textId="32291E1A" w:rsidR="008363BF" w:rsidRPr="00C21F45" w:rsidRDefault="008363BF" w:rsidP="0018241B">
      <w:pPr>
        <w:jc w:val="both"/>
        <w:rPr>
          <w:rFonts w:ascii="Verdana" w:eastAsia="Times New Roman" w:hAnsi="Verdana" w:cs="Verdana"/>
          <w:color w:val="000000"/>
          <w:kern w:val="0"/>
          <w:sz w:val="18"/>
          <w:szCs w:val="18"/>
          <w14:ligatures w14:val="none"/>
        </w:rPr>
      </w:pPr>
      <w:r>
        <w:rPr>
          <w:rFonts w:ascii="Verdana" w:hAnsi="Verdana"/>
          <w:color w:val="000000"/>
          <w:sz w:val="18"/>
        </w:rPr>
        <w:t>Teenuste juurdepääsetavus</w:t>
      </w:r>
    </w:p>
    <w:p w14:paraId="04BAF179" w14:textId="11D1B421" w:rsidR="008363BF" w:rsidRPr="00C21F45" w:rsidRDefault="008363BF" w:rsidP="0018241B">
      <w:pPr>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119.7</w:t>
      </w:r>
      <w:r>
        <w:rPr>
          <w:rFonts w:ascii="Verdana" w:hAnsi="Verdana"/>
          <w:color w:val="000000"/>
          <w:sz w:val="18"/>
        </w:rPr>
        <w:tab/>
        <w:t>Avalikud teenused, millel on üldsusele avatud veebisaidid, peavad andma teavet nende teenuste ning nende sõltuvuse, vahendite ja menetluste juurdepääsetavuse kohta.</w:t>
      </w:r>
    </w:p>
    <w:p w14:paraId="4DE7A8EE" w14:textId="5AF2BB2C" w:rsidR="008363BF" w:rsidRPr="00C21F45" w:rsidRDefault="008363BF" w:rsidP="0018241B">
      <w:pPr>
        <w:jc w:val="both"/>
        <w:rPr>
          <w:rFonts w:ascii="Verdana" w:eastAsia="Times New Roman" w:hAnsi="Verdana" w:cs="Verdana"/>
          <w:color w:val="000000"/>
          <w:kern w:val="0"/>
          <w:sz w:val="18"/>
          <w:szCs w:val="18"/>
          <w14:ligatures w14:val="none"/>
        </w:rPr>
      </w:pPr>
      <w:r>
        <w:rPr>
          <w:rFonts w:ascii="Verdana" w:hAnsi="Verdana"/>
          <w:color w:val="000000"/>
          <w:sz w:val="18"/>
        </w:rPr>
        <w:t>119.8</w:t>
      </w:r>
      <w:r>
        <w:rPr>
          <w:rFonts w:ascii="Verdana" w:hAnsi="Verdana"/>
          <w:color w:val="000000"/>
          <w:sz w:val="18"/>
        </w:rPr>
        <w:tab/>
        <w:t>Veebisaidid, mobiilseadmete rakendused ning muud avalike teenuste pakutavad info- ja kommunikatsioonitehnoloogia tooted ja teenused peavad vastama käesoleva seadustiku lisas 5a sätestatud tingimustele ja standardile UNE-EN 301549:2022 või seda asendavale standardile kooskõlas Euroopa Parlamendi ja nõukogu direktiiviga (EL) 2016/2102 ning 7. septembri 2018. aasta kuningliku dekreediga 112/2018, mis käsitleb mobiilseadmetele mõeldud veebisaitide ja rakenduste juurdepääsetavust avalikus sektoris, ilma et see piiraks Kataloonias selles küsimuses pädeva asutuse poolt vastu võetud määruse kohaldamist.</w:t>
      </w:r>
    </w:p>
    <w:p w14:paraId="505DD8AB" w14:textId="70D5E55C" w:rsidR="00CD670F" w:rsidRPr="00C21F45" w:rsidRDefault="00CD670F" w:rsidP="0018241B">
      <w:pPr>
        <w:pStyle w:val="ListParagraph"/>
        <w:numPr>
          <w:ilvl w:val="1"/>
          <w:numId w:val="1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Supermarketite kettide ning üle 500 m² kasuliku pindalaga toidu- või segaettevõtete veebisaidid ja mobiilirakendused, mis pakuvad võimalust osta internetist ja saada tooteid kodus kättetoimetamise teel, peavad olema juurdepääsetavad vastavalt lisa 5a punktide 25 ja 26 tingimustele ning saavutama vähemalt kahekordse A (AA) juurdepääsetavuse taseme kooskõlas WCAG 2.1 suunistega järgmistel juhtudel.</w:t>
      </w:r>
    </w:p>
    <w:p w14:paraId="3B4E024C" w14:textId="77777777" w:rsidR="00CD670F" w:rsidRPr="00CD670F" w:rsidRDefault="00CD670F" w:rsidP="0018241B">
      <w:pPr>
        <w:numPr>
          <w:ilvl w:val="0"/>
          <w:numId w:val="15"/>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tegemist on äsja loodud lehekülgede või rakendustega.</w:t>
      </w:r>
    </w:p>
    <w:p w14:paraId="3ABADFD9" w14:textId="77777777" w:rsidR="00CD670F" w:rsidRPr="00CD670F" w:rsidRDefault="00CD670F" w:rsidP="0018241B">
      <w:pPr>
        <w:numPr>
          <w:ilvl w:val="0"/>
          <w:numId w:val="15"/>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olemasolevaid lehekülgi või rakendusi muudetakse.</w:t>
      </w:r>
    </w:p>
    <w:p w14:paraId="2E2A5130" w14:textId="77777777" w:rsidR="00CD670F" w:rsidRPr="00CD670F" w:rsidRDefault="00CD670F" w:rsidP="0018241B">
      <w:pPr>
        <w:numPr>
          <w:ilvl w:val="0"/>
          <w:numId w:val="15"/>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peetakse kinni lisa 6b lõikes 4 sätestatud tähtaegadest, kohandades olemasolevaid lehekülgi ja taotlusi.</w:t>
      </w:r>
    </w:p>
    <w:p w14:paraId="3B34998D" w14:textId="77777777" w:rsidR="00CD670F" w:rsidRPr="005A3736" w:rsidRDefault="00CD670F" w:rsidP="0018241B">
      <w:pPr>
        <w:jc w:val="both"/>
        <w:rPr>
          <w:lang w:val="fi-FI"/>
        </w:rPr>
      </w:pPr>
    </w:p>
    <w:p w14:paraId="185E9766" w14:textId="4993D1B9" w:rsidR="0018241B" w:rsidRPr="00C21F45" w:rsidRDefault="0018241B" w:rsidP="00C21F45">
      <w:pPr>
        <w:pStyle w:val="ListParagraph"/>
        <w:keepNext/>
        <w:keepLines/>
        <w:numPr>
          <w:ilvl w:val="1"/>
          <w:numId w:val="16"/>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Mobiilseadmete veebilehed ja rakendused, mis võimaldavad panga-, lepingu- või muud liiki juhtimist või konsulteerimist füüsilises kontoris tellitud toodetega, peavad olema juurdepääsetavad vastavalt lisa 5a punktides 25 ja 26 sätestatud tingimustele ning saavutama vähemalt kahekordse A (AA) juurdepääsetavuse taseme kooskõlas WCAG 2.1 suunistega järgmistel juhtudel.</w:t>
      </w:r>
    </w:p>
    <w:p w14:paraId="7FE2F187" w14:textId="77777777" w:rsidR="0018241B" w:rsidRPr="0018241B" w:rsidRDefault="0018241B" w:rsidP="00C21F45">
      <w:pPr>
        <w:keepNext/>
        <w:keepLines/>
        <w:numPr>
          <w:ilvl w:val="0"/>
          <w:numId w:val="17"/>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tegemist on äsja loodud lehekülgede või rakendustega.</w:t>
      </w:r>
    </w:p>
    <w:p w14:paraId="4058C134" w14:textId="77777777" w:rsidR="0018241B" w:rsidRPr="0018241B" w:rsidRDefault="0018241B" w:rsidP="00C21F45">
      <w:pPr>
        <w:keepNext/>
        <w:keepLines/>
        <w:numPr>
          <w:ilvl w:val="0"/>
          <w:numId w:val="17"/>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olemasolevaid lehekülgi või rakendusi muudetakse.</w:t>
      </w:r>
    </w:p>
    <w:p w14:paraId="27F8B6CB" w14:textId="77777777" w:rsidR="0018241B" w:rsidRPr="0018241B" w:rsidRDefault="0018241B" w:rsidP="00C21F45">
      <w:pPr>
        <w:keepNext/>
        <w:keepLines/>
        <w:numPr>
          <w:ilvl w:val="0"/>
          <w:numId w:val="17"/>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peetakse kinni lisa 6b lõikes 5 sätestatud tähtaegadest, kohandades olemasolevaid lehekülgi ja taotlusi.</w:t>
      </w:r>
    </w:p>
    <w:p w14:paraId="63D2FB04" w14:textId="77777777" w:rsidR="0018241B" w:rsidRPr="005A3736" w:rsidRDefault="0018241B" w:rsidP="00C21F45">
      <w:pPr>
        <w:keepNext/>
        <w:keepLines/>
        <w:jc w:val="both"/>
        <w:rPr>
          <w:lang w:val="fi-FI"/>
        </w:rPr>
      </w:pPr>
    </w:p>
    <w:p w14:paraId="316A9CAA" w14:textId="793DB76E" w:rsidR="0018241B" w:rsidRPr="00C21F45" w:rsidRDefault="0018241B" w:rsidP="0018241B">
      <w:pPr>
        <w:pStyle w:val="ListParagraph"/>
        <w:numPr>
          <w:ilvl w:val="1"/>
          <w:numId w:val="18"/>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Rohkem kui 100 kohaga hotellikettide ja -ettevõtete veebisaidid ja mobiilirakendused, mis võimaldavad tellida majutust ja internetipõhiseid teenuseid, peavad olema juurdepääsetavad vastavalt lisa 5a punktide 25 ja 26 tingimustele ning saavutama WCAG 2.1 suuniste kohaselt vähemalt kahekordse A (AA) juurdepääsetavuse taseme järgmistel juhtudel.</w:t>
      </w:r>
    </w:p>
    <w:p w14:paraId="6209067D" w14:textId="77777777" w:rsidR="0018241B" w:rsidRPr="0018241B" w:rsidRDefault="0018241B" w:rsidP="0018241B">
      <w:pPr>
        <w:numPr>
          <w:ilvl w:val="0"/>
          <w:numId w:val="19"/>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tegemist on äsja loodud lehekülgede või rakendustega.</w:t>
      </w:r>
    </w:p>
    <w:p w14:paraId="0F4AD65C" w14:textId="77777777" w:rsidR="0018241B" w:rsidRPr="0018241B" w:rsidRDefault="0018241B" w:rsidP="0018241B">
      <w:pPr>
        <w:numPr>
          <w:ilvl w:val="0"/>
          <w:numId w:val="19"/>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lastRenderedPageBreak/>
        <w:t>Kui olemasolevaid lehekülgi või rakendusi muudetakse.</w:t>
      </w:r>
    </w:p>
    <w:p w14:paraId="5F112A57" w14:textId="450E3EF2" w:rsidR="0018241B" w:rsidRPr="00C21F45" w:rsidRDefault="0018241B" w:rsidP="0018241B">
      <w:pPr>
        <w:numPr>
          <w:ilvl w:val="0"/>
          <w:numId w:val="19"/>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peetakse kinni lisa 6b punktis 7 sätestatud tähtaegadest olemasolevate lehekülgede ja taotluste kohandamiseks.</w:t>
      </w:r>
    </w:p>
    <w:p w14:paraId="74465D9D" w14:textId="77777777" w:rsidR="0018241B" w:rsidRPr="005A3736" w:rsidRDefault="0018241B" w:rsidP="0018241B">
      <w:pPr>
        <w:tabs>
          <w:tab w:val="left" w:pos="284"/>
        </w:tabs>
        <w:spacing w:after="0" w:line="240" w:lineRule="auto"/>
        <w:jc w:val="both"/>
        <w:rPr>
          <w:rFonts w:ascii="Verdana" w:eastAsia="Times New Roman" w:hAnsi="Verdana" w:cs="Verdana"/>
          <w:color w:val="000000"/>
          <w:kern w:val="0"/>
          <w:sz w:val="18"/>
          <w:szCs w:val="18"/>
          <w:lang w:val="fi-FI" w:eastAsia="sv-SE"/>
          <w14:ligatures w14:val="none"/>
        </w:rPr>
      </w:pPr>
    </w:p>
    <w:p w14:paraId="6C9A5836" w14:textId="515D4939" w:rsidR="0018241B" w:rsidRPr="00C21F45" w:rsidRDefault="0018241B" w:rsidP="0018241B">
      <w:pPr>
        <w:pStyle w:val="ListParagraph"/>
        <w:numPr>
          <w:ilvl w:val="1"/>
          <w:numId w:val="21"/>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Ettevõtete või ettevõtete ühenduste veebisaidid ja mobiilirakendused peavad olema kättesaadavad vastavalt lisa 5a punktides 25 ja 26 sätestatud tingimustele; saavutades kooskõlas WCAG 2.1 suunistega vähemalt kahekordse A (AA) juurdepääsetavuse taseme ja esitades eelmistes punktides osutatud teabe järgmistes olukordades.</w:t>
      </w:r>
    </w:p>
    <w:p w14:paraId="7836F85D" w14:textId="77777777" w:rsidR="0018241B" w:rsidRPr="0018241B" w:rsidRDefault="0018241B" w:rsidP="0018241B">
      <w:pPr>
        <w:numPr>
          <w:ilvl w:val="0"/>
          <w:numId w:val="20"/>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tegemist on äsja loodud lehekülgede või rakendustega.</w:t>
      </w:r>
    </w:p>
    <w:p w14:paraId="6FE30596" w14:textId="77777777" w:rsidR="0018241B" w:rsidRPr="0018241B" w:rsidRDefault="0018241B" w:rsidP="0018241B">
      <w:pPr>
        <w:numPr>
          <w:ilvl w:val="0"/>
          <w:numId w:val="20"/>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olemasolevaid lehekülgi või rakendusi muudetakse.</w:t>
      </w:r>
    </w:p>
    <w:p w14:paraId="03A08DAC" w14:textId="735A4ACB" w:rsidR="0018241B" w:rsidRPr="00C21F45" w:rsidRDefault="0018241B" w:rsidP="0018241B">
      <w:pPr>
        <w:numPr>
          <w:ilvl w:val="0"/>
          <w:numId w:val="20"/>
        </w:numPr>
        <w:tabs>
          <w:tab w:val="left" w:pos="284"/>
        </w:tabs>
        <w:spacing w:after="0" w:line="240" w:lineRule="auto"/>
        <w:jc w:val="both"/>
        <w:rPr>
          <w:rFonts w:ascii="Verdana" w:eastAsia="Times New Roman" w:hAnsi="Verdana" w:cs="Verdana"/>
          <w:color w:val="000000"/>
          <w:kern w:val="0"/>
          <w:sz w:val="18"/>
          <w:szCs w:val="18"/>
          <w14:ligatures w14:val="none"/>
        </w:rPr>
      </w:pPr>
      <w:r>
        <w:rPr>
          <w:rFonts w:ascii="Verdana" w:hAnsi="Verdana"/>
          <w:color w:val="000000"/>
          <w:sz w:val="18"/>
        </w:rPr>
        <w:t>Kui peetakse kinni lisa 6b punktis 3 sätestatud tähtaegadest olemasolevate lehekülgede ja taotluste kohandamiseks.</w:t>
      </w:r>
    </w:p>
    <w:p w14:paraId="07A03E77" w14:textId="77777777" w:rsidR="0018241B" w:rsidRPr="005A3736" w:rsidRDefault="0018241B" w:rsidP="0018241B">
      <w:pPr>
        <w:tabs>
          <w:tab w:val="left" w:pos="284"/>
        </w:tabs>
        <w:spacing w:after="0" w:line="240" w:lineRule="auto"/>
        <w:jc w:val="both"/>
        <w:rPr>
          <w:rFonts w:ascii="Verdana" w:eastAsia="Times New Roman" w:hAnsi="Verdana" w:cs="Verdana"/>
          <w:color w:val="000000"/>
          <w:kern w:val="0"/>
          <w:sz w:val="18"/>
          <w:szCs w:val="18"/>
          <w:lang w:val="fi-FI" w:eastAsia="sv-SE"/>
          <w14:ligatures w14:val="none"/>
        </w:rPr>
      </w:pPr>
    </w:p>
    <w:p w14:paraId="0811DDEF" w14:textId="1617BD3D" w:rsidR="0018241B" w:rsidRPr="00C21F45" w:rsidRDefault="0018241B" w:rsidP="0018241B">
      <w:pPr>
        <w:tabs>
          <w:tab w:val="left" w:pos="284"/>
        </w:tabs>
        <w:spacing w:after="0" w:line="240" w:lineRule="auto"/>
        <w:jc w:val="both"/>
        <w:rPr>
          <w:rFonts w:ascii="Verdana" w:hAnsi="Verdana" w:cs="Verdana"/>
          <w:sz w:val="18"/>
          <w:szCs w:val="18"/>
        </w:rPr>
      </w:pPr>
      <w:r>
        <w:rPr>
          <w:rFonts w:ascii="Verdana" w:hAnsi="Verdana"/>
          <w:sz w:val="18"/>
        </w:rPr>
        <w:t>134.4</w:t>
      </w:r>
      <w:r>
        <w:rPr>
          <w:rFonts w:ascii="Verdana" w:hAnsi="Verdana"/>
          <w:sz w:val="18"/>
        </w:rPr>
        <w:tab/>
        <w:t>Spordiasutuste ja klubide veebisaidid ja mobiilirakendused, mis pakuvad piletimüüki oma toimumiskohas etenduste jaoks, peavad olema juurdepääsetavad ja andma vajalikku teavet artiklis 133 sätestatud tingimustel etenduskunstiga seotud teenuste kohta.</w:t>
      </w:r>
    </w:p>
    <w:p w14:paraId="6BEA2FF6" w14:textId="77777777" w:rsidR="00246332" w:rsidRPr="005A3736" w:rsidRDefault="00246332" w:rsidP="0018241B">
      <w:pPr>
        <w:tabs>
          <w:tab w:val="left" w:pos="284"/>
        </w:tabs>
        <w:spacing w:after="0" w:line="240" w:lineRule="auto"/>
        <w:jc w:val="both"/>
        <w:rPr>
          <w:rFonts w:ascii="Verdana" w:hAnsi="Verdana" w:cs="Verdana"/>
          <w:sz w:val="18"/>
          <w:szCs w:val="18"/>
          <w:lang w:val="fi-FI"/>
        </w:rPr>
      </w:pPr>
    </w:p>
    <w:p w14:paraId="7E81B68F" w14:textId="3123276E" w:rsidR="00246332" w:rsidRPr="00C21F45" w:rsidRDefault="00246332" w:rsidP="00246332">
      <w:pPr>
        <w:pStyle w:val="ListParagraph"/>
        <w:numPr>
          <w:ilvl w:val="1"/>
          <w:numId w:val="22"/>
        </w:numPr>
        <w:spacing w:after="0" w:line="240" w:lineRule="auto"/>
        <w:ind w:left="0" w:firstLine="0"/>
        <w:rPr>
          <w:rFonts w:ascii="Verdana" w:eastAsia="Times New Roman" w:hAnsi="Verdana" w:cs="Verdana"/>
          <w:color w:val="000000"/>
          <w:kern w:val="0"/>
          <w:sz w:val="18"/>
          <w:szCs w:val="18"/>
          <w14:ligatures w14:val="none"/>
        </w:rPr>
      </w:pPr>
      <w:r>
        <w:rPr>
          <w:rFonts w:ascii="Verdana" w:hAnsi="Verdana"/>
          <w:color w:val="000000"/>
          <w:sz w:val="18"/>
        </w:rPr>
        <w:t>Formaalharidust pakkuvate haridusasutuste veebisaidid ja mobiilirakendused peavad olema juurdepääsetavad vastavalt lisa 5a punktide 25 ja 26 tingimustele ning saavutama vähemalt kahekordse A (AA) juurdepääsetavuse taseme kooskõlas WCAG 2.1 suunistega järgmistel juhtudel.</w:t>
      </w:r>
    </w:p>
    <w:p w14:paraId="5145870E" w14:textId="77777777" w:rsidR="00246332" w:rsidRPr="00246332" w:rsidRDefault="00246332" w:rsidP="007B5056">
      <w:pPr>
        <w:numPr>
          <w:ilvl w:val="0"/>
          <w:numId w:val="23"/>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Kui tegemist on äsja loodud lehekülgede või rakendustega.</w:t>
      </w:r>
    </w:p>
    <w:p w14:paraId="735B0EB5" w14:textId="77777777" w:rsidR="00246332" w:rsidRPr="00246332" w:rsidRDefault="00246332" w:rsidP="007B5056">
      <w:pPr>
        <w:numPr>
          <w:ilvl w:val="0"/>
          <w:numId w:val="23"/>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Kui olemasolevaid lehekülgi või rakendusi muudetakse.</w:t>
      </w:r>
    </w:p>
    <w:p w14:paraId="140A3DEE" w14:textId="075021CE" w:rsidR="00246332" w:rsidRPr="00C21F45" w:rsidRDefault="00246332" w:rsidP="007B5056">
      <w:pPr>
        <w:numPr>
          <w:ilvl w:val="0"/>
          <w:numId w:val="23"/>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Kui peetakse kinni lisa 6b lõikes 8 sätestatud tähtaegadest, kohandades olemasolevaid lehekülgi ja taotlusi.</w:t>
      </w:r>
    </w:p>
    <w:p w14:paraId="4A14F637" w14:textId="77777777" w:rsidR="007F2231" w:rsidRPr="005A3736" w:rsidRDefault="007F2231" w:rsidP="007F2231">
      <w:pPr>
        <w:tabs>
          <w:tab w:val="left" w:pos="284"/>
        </w:tabs>
        <w:spacing w:after="0" w:line="240" w:lineRule="auto"/>
        <w:rPr>
          <w:rFonts w:ascii="Verdana" w:eastAsia="Times New Roman" w:hAnsi="Verdana" w:cs="Verdana"/>
          <w:color w:val="000000"/>
          <w:kern w:val="0"/>
          <w:sz w:val="18"/>
          <w:szCs w:val="18"/>
          <w:lang w:val="fi-FI" w:eastAsia="sv-SE"/>
          <w14:ligatures w14:val="none"/>
        </w:rPr>
      </w:pPr>
    </w:p>
    <w:p w14:paraId="675E188D" w14:textId="77777777" w:rsidR="007F2231" w:rsidRPr="007F2231" w:rsidRDefault="007F2231" w:rsidP="00C21F45">
      <w:pPr>
        <w:keepNext/>
        <w:keepLines/>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Artikkel 138. Esmatähtsad teenused, üldhuviteenused või riiklikult rahastatavad teenused</w:t>
      </w:r>
    </w:p>
    <w:p w14:paraId="1FE0BFCD" w14:textId="78099913" w:rsidR="007F2231" w:rsidRPr="00C21F45" w:rsidRDefault="007F2231" w:rsidP="00C21F45">
      <w:pPr>
        <w:pStyle w:val="ListParagraph"/>
        <w:keepNext/>
        <w:keepLines/>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Kataloonia avaliku sektori ja avalik-õiguslike äriühingute veebisaidid, samuti kõik avaliku halduse asutuste ja üksuste või äriühingute veebisaidid, mis osutavad avalikke teenuseid kontsessiooni või lepingulisel alusel avaliku haldusega, peavad vastama lisa 5a punkti 25 nõuetele ja saavutama WCAG 2.1 suuniste kohaselt kahekordse A (AA) juurdepääsetavuse taseme piiramata Kataloonias pädeva asutuse poolt vastavalt 7. septembri 2018. aasta kuninglikule dekreedile 1112/2018 (milles käsitletakse mobiilsete seadmete veebisaitide ja rakenduste juurdepääsetavust avalikus sektoris) kehtestatud määruse kohaldamist.</w:t>
      </w:r>
    </w:p>
    <w:p w14:paraId="0C2AE881" w14:textId="77777777" w:rsidR="007F2231" w:rsidRPr="007F2231" w:rsidRDefault="007F2231" w:rsidP="00C21F45">
      <w:pPr>
        <w:pStyle w:val="ListParagraph"/>
        <w:keepNext/>
        <w:keepLines/>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Elutähtsaid teenuseid või üldhuviteenuseid, sealhulgas elektri-, vee- või gaasi- ja telekommunikatsiooniteenuseid ning tervishoiu-, posti- ja pangandusteenuseid osutavate eraõiguslike üksuste veebisaidid peavad samuti vastama lisa 5a punkti 25 nõuetele ja WCAG 2.1 suuniste kohaselt kahekordse A (AA) ligipääsetavuse nõuetele.</w:t>
      </w:r>
    </w:p>
    <w:p w14:paraId="652645D9" w14:textId="77777777" w:rsidR="007F2231" w:rsidRPr="007F2231" w:rsidRDefault="007F2231" w:rsidP="006A151F">
      <w:pPr>
        <w:pStyle w:val="ListParagraph"/>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Mobiilseadmete rakendused avalikus sektoris ja eespool punktides 138.1 ja 138.2 nimetatud üksused peavad vastama lisa 5a punktis 26 sätestatud juurdepääsetavuse nõuetele piiramata Kataloonia pädeva asutuse poolt selles küsimuses kehtestatud määruse kohaldamist.</w:t>
      </w:r>
    </w:p>
    <w:p w14:paraId="08527D63" w14:textId="77777777" w:rsidR="007F2231" w:rsidRPr="007F2231" w:rsidRDefault="007F2231" w:rsidP="006A151F">
      <w:pPr>
        <w:pStyle w:val="ListParagraph"/>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Käesolevas artiklis sätestatud veebisaitide ja mobiilirakenduste juurdepääsetavuse nõudeid kohaldatakse tingimusel, et need ei tekita ebaproportsionaalset koormust üksusele, kes peab neid kohaldama, kooskõlas järgmiste asjaoludega.</w:t>
      </w:r>
    </w:p>
    <w:p w14:paraId="5FA0F37D" w14:textId="35C716B2" w:rsidR="007F2231" w:rsidRPr="007F2231" w:rsidRDefault="007F2231" w:rsidP="006A151F">
      <w:pPr>
        <w:pStyle w:val="ListParagraph"/>
        <w:numPr>
          <w:ilvl w:val="0"/>
          <w:numId w:val="25"/>
        </w:numPr>
        <w:tabs>
          <w:tab w:val="left" w:pos="284"/>
        </w:tabs>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Konkreetse üksuse mõõtmed, ressursid ja olemus.</w:t>
      </w:r>
    </w:p>
    <w:p w14:paraId="3CA9E8EA" w14:textId="77777777" w:rsidR="007F2231" w:rsidRPr="007F2231" w:rsidRDefault="007F2231" w:rsidP="006A151F">
      <w:pPr>
        <w:pStyle w:val="ListParagraph"/>
        <w:numPr>
          <w:ilvl w:val="0"/>
          <w:numId w:val="25"/>
        </w:numPr>
        <w:tabs>
          <w:tab w:val="left" w:pos="284"/>
        </w:tabs>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Üksuse kulud ja kasu ning kasutajate hinnanguline kasu, võttes arvesse veebisaidi või rakenduse kasutamise sagedust ja kestust.</w:t>
      </w:r>
    </w:p>
    <w:p w14:paraId="5D591F10" w14:textId="77777777" w:rsidR="007F2231" w:rsidRPr="007F2231" w:rsidRDefault="007F2231" w:rsidP="006A151F">
      <w:pPr>
        <w:pStyle w:val="ListParagraph"/>
        <w:numPr>
          <w:ilvl w:val="0"/>
          <w:numId w:val="25"/>
        </w:numPr>
        <w:tabs>
          <w:tab w:val="left" w:pos="284"/>
        </w:tabs>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Diskrimineeriv mõju puuetega inimestele, kui veebisait või rakendus ei ole kättesaadav juhul, kui turul, veebisaitidel või alternatiivsetel rakendustel on samad funktsioonid ja tingimused.</w:t>
      </w:r>
    </w:p>
    <w:p w14:paraId="3F09A2A5" w14:textId="77777777" w:rsidR="007F2231" w:rsidRPr="007F2231" w:rsidRDefault="007F2231" w:rsidP="006A151F">
      <w:pPr>
        <w:pStyle w:val="ListParagraph"/>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Punktis 138.4 sätestatud erandit kasutav avalik sektor või üksus peab selgitama, milliseid juurdepääsetavuse nõudeid ei ole võimalik veebisaidi või rakenduse juurdepääsetavuse deklaratsioonis täita, ning pakkuma võimaluste piires kättesaadavaid alternatiive.</w:t>
      </w:r>
    </w:p>
    <w:p w14:paraId="6FB17B1D" w14:textId="77777777" w:rsidR="007F2231" w:rsidRPr="007F2231" w:rsidRDefault="007F2231" w:rsidP="006A151F">
      <w:pPr>
        <w:pStyle w:val="ListParagraph"/>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Veebilehed ja mobiilirakendused peavad vastama eelmistes lõikudes sätestatud juurdepääsetavuse tingimustele enne lisa 6b lõikes 2 sätestatud lõpptähtaegu.</w:t>
      </w:r>
    </w:p>
    <w:p w14:paraId="06CD0C50" w14:textId="77777777" w:rsidR="007F2231" w:rsidRPr="007F2231" w:rsidRDefault="007F2231" w:rsidP="006A151F">
      <w:pPr>
        <w:pStyle w:val="ListParagraph"/>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 xml:space="preserve">Teenuseosutajad ja tootjad, kes tarnivad IT-seadmeid ja tarkvara Kataloonia avalikule sektorile, ning punktis 138.1 osutatud üksused peavad hõlmama täiendavaid </w:t>
      </w:r>
      <w:r>
        <w:rPr>
          <w:rFonts w:ascii="Verdana" w:hAnsi="Verdana"/>
          <w:color w:val="000000"/>
          <w:sz w:val="18"/>
        </w:rPr>
        <w:lastRenderedPageBreak/>
        <w:t>juurdepääsetavuse elemente ja funktsioone, mis on vajalikud, et võimaldada puuetega inimestele juurdepääs digitaalsele sisule.</w:t>
      </w:r>
    </w:p>
    <w:p w14:paraId="41446B9C" w14:textId="035E0772" w:rsidR="007F2231" w:rsidRPr="00C21F45" w:rsidRDefault="007F2231" w:rsidP="006A151F">
      <w:pPr>
        <w:pStyle w:val="ListParagraph"/>
        <w:numPr>
          <w:ilvl w:val="1"/>
          <w:numId w:val="24"/>
        </w:numPr>
        <w:spacing w:after="0" w:line="240" w:lineRule="auto"/>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Kataloonia avalik-õiguslikud ja eratelevisioonivõrgud peavad välja töötama kavad oma sisu juurdepääsetavuse kohta, et muuta programmeerimine järk-järgult kättesaadavaks sensoorse ja vaimse puudega inimestele. Need kavad peavad vastama juurdepääsetavust käsitlevates riiklikes eeskirjades sätestatud tingimustele ning võimaldama saavutada maksimaalselt kolme aasta jooksul alates käesoleva seadustiku jõustumisest Kataloonia audiovisuaalvaldkonna nõukogu poolt kindlaks määratud protsentuaalsed osakaalud subtiitritega programmidest ja täiendavad nädalased tunnid katalaani keele audiokirjeldusega ja viipekeelega sisust. Kavasid tuleb korrapäraselt uuendada, et need sisaldaksid pädevate asutuste kehtestatud tingimusi.</w:t>
      </w:r>
    </w:p>
    <w:p w14:paraId="2A288484" w14:textId="77777777" w:rsidR="006A151F" w:rsidRPr="006A151F" w:rsidRDefault="006A151F" w:rsidP="0088195D">
      <w:pPr>
        <w:pStyle w:val="ListParagraph"/>
        <w:keepNext/>
        <w:keepLines/>
        <w:numPr>
          <w:ilvl w:val="1"/>
          <w:numId w:val="24"/>
        </w:numPr>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Kataloonia viipekeeles programm peab sisaldama uudistesaateid ja lastesaateid, mis on saadaval eelsalvestatud vaatamise pakkumises, kui see teenus on saadaval. See programm peab hõlmama iga nädalapäeva ja ajakava suurema vaatajaskonnaga.</w:t>
      </w:r>
    </w:p>
    <w:p w14:paraId="6F7079C4" w14:textId="77777777" w:rsidR="006A151F" w:rsidRPr="006A151F" w:rsidRDefault="006A151F" w:rsidP="0088195D">
      <w:pPr>
        <w:pStyle w:val="ListParagraph"/>
        <w:keepNext/>
        <w:keepLines/>
        <w:numPr>
          <w:ilvl w:val="1"/>
          <w:numId w:val="24"/>
        </w:numPr>
        <w:ind w:left="0" w:firstLine="0"/>
        <w:jc w:val="both"/>
        <w:rPr>
          <w:rFonts w:ascii="Verdana" w:eastAsia="Times New Roman" w:hAnsi="Verdana" w:cs="Verdana"/>
          <w:color w:val="000000"/>
          <w:kern w:val="0"/>
          <w:sz w:val="18"/>
          <w:szCs w:val="18"/>
          <w14:ligatures w14:val="none"/>
        </w:rPr>
      </w:pPr>
      <w:r>
        <w:rPr>
          <w:rFonts w:ascii="Verdana" w:hAnsi="Verdana"/>
          <w:color w:val="000000"/>
          <w:sz w:val="18"/>
        </w:rPr>
        <w:t>Kinematograafilisi ja audiovisuaalseid teoseid levitavad ettevõtted peavad lisama subtiitrite, audiokirjelduse ja audionavigatsioonisüsteemid, eelistatavalt välismaistesse ja kodumaistesse filmidesse, millel on paremad kassahinnad või mis on saanud riiklikke või rahvusvahelisi auhindu, et teha need kättesaadavaks DVD-toe või nende funktsioonidega sarnaste süsteemide kaudu.</w:t>
      </w:r>
    </w:p>
    <w:p w14:paraId="1D49E6C5" w14:textId="77777777" w:rsidR="006A151F" w:rsidRPr="005A3736" w:rsidRDefault="006A151F" w:rsidP="0088195D">
      <w:pPr>
        <w:pStyle w:val="ListParagraph"/>
        <w:keepNext/>
        <w:keepLines/>
        <w:spacing w:after="0" w:line="240" w:lineRule="auto"/>
        <w:ind w:left="0"/>
        <w:jc w:val="both"/>
        <w:rPr>
          <w:rFonts w:ascii="Verdana" w:eastAsia="Times New Roman" w:hAnsi="Verdana" w:cs="Verdana"/>
          <w:color w:val="000000"/>
          <w:kern w:val="0"/>
          <w:sz w:val="18"/>
          <w:szCs w:val="18"/>
          <w:lang w:eastAsia="sv-SE"/>
          <w14:ligatures w14:val="none"/>
        </w:rPr>
      </w:pPr>
    </w:p>
    <w:p w14:paraId="3D915127" w14:textId="77777777" w:rsidR="006A151F" w:rsidRPr="006A151F" w:rsidRDefault="006A151F" w:rsidP="0088195D">
      <w:pPr>
        <w:keepNext/>
        <w:keepLines/>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11. PEATÜKK:</w:t>
      </w:r>
    </w:p>
    <w:p w14:paraId="319B93FD" w14:textId="0AE31652" w:rsidR="006A151F" w:rsidRPr="00C21F45" w:rsidRDefault="006A151F" w:rsidP="0088195D">
      <w:pPr>
        <w:pStyle w:val="ListParagraph"/>
        <w:keepNext/>
        <w:keepLines/>
        <w:spacing w:after="0" w:line="240" w:lineRule="auto"/>
        <w:ind w:left="0"/>
        <w:jc w:val="both"/>
        <w:rPr>
          <w:rFonts w:ascii="Verdana" w:eastAsia="Times New Roman" w:hAnsi="Verdana" w:cs="Verdana"/>
          <w:color w:val="000000"/>
          <w:kern w:val="0"/>
          <w:sz w:val="18"/>
          <w:szCs w:val="18"/>
          <w14:ligatures w14:val="none"/>
        </w:rPr>
      </w:pPr>
      <w:r>
        <w:rPr>
          <w:rFonts w:ascii="Verdana" w:hAnsi="Verdana"/>
          <w:color w:val="000000"/>
          <w:sz w:val="18"/>
        </w:rPr>
        <w:t>Juurdepääsetavuse kvaliteedimärk</w:t>
      </w:r>
    </w:p>
    <w:p w14:paraId="3FF8D492" w14:textId="3864E1A9" w:rsidR="006A151F" w:rsidRPr="00C21F45" w:rsidRDefault="006A151F" w:rsidP="0088195D">
      <w:pPr>
        <w:pStyle w:val="ListParagraph"/>
        <w:keepNext/>
        <w:keepLines/>
        <w:spacing w:after="0" w:line="240" w:lineRule="auto"/>
        <w:ind w:left="0"/>
        <w:jc w:val="both"/>
        <w:rPr>
          <w:rFonts w:ascii="Verdana" w:hAnsi="Verdana" w:cs="Verdana"/>
          <w:sz w:val="18"/>
          <w:szCs w:val="18"/>
        </w:rPr>
      </w:pPr>
      <w:r>
        <w:rPr>
          <w:rFonts w:ascii="Verdana" w:hAnsi="Verdana"/>
          <w:sz w:val="18"/>
        </w:rPr>
        <w:t>197.3</w:t>
      </w:r>
      <w:r>
        <w:rPr>
          <w:rFonts w:ascii="Verdana" w:hAnsi="Verdana"/>
          <w:sz w:val="18"/>
        </w:rPr>
        <w:tab/>
        <w:t>Avalik konsultatsioon kvaliteedimärgiga asutuste, hoonete ja avalik-õiguslike üksustega peab olema võimalik vähemalt interneti kaudu, ilma et see piiraks muude sobivate vahendite kasutamist.</w:t>
      </w:r>
    </w:p>
    <w:p w14:paraId="738567A5" w14:textId="77777777" w:rsidR="006A151F" w:rsidRPr="005A3736" w:rsidRDefault="006A151F" w:rsidP="006A151F">
      <w:pPr>
        <w:pStyle w:val="ListParagraph"/>
        <w:spacing w:after="0" w:line="240" w:lineRule="auto"/>
        <w:ind w:left="0"/>
        <w:jc w:val="both"/>
        <w:rPr>
          <w:rFonts w:ascii="Verdana" w:hAnsi="Verdana" w:cs="Verdana"/>
          <w:sz w:val="18"/>
          <w:szCs w:val="18"/>
        </w:rPr>
      </w:pPr>
    </w:p>
    <w:p w14:paraId="4A4291BB" w14:textId="77777777" w:rsidR="006A151F" w:rsidRPr="006A151F" w:rsidRDefault="006A151F" w:rsidP="006A151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Lisa 5a.</w:t>
      </w:r>
    </w:p>
    <w:p w14:paraId="19688292" w14:textId="76DD8BCC" w:rsidR="006A151F" w:rsidRPr="00C21F45" w:rsidRDefault="006A151F" w:rsidP="006A151F">
      <w:pPr>
        <w:pStyle w:val="ListParagraph"/>
        <w:spacing w:after="0" w:line="240" w:lineRule="auto"/>
        <w:ind w:left="0"/>
        <w:jc w:val="both"/>
        <w:rPr>
          <w:rFonts w:ascii="Verdana" w:eastAsia="Times New Roman" w:hAnsi="Verdana" w:cs="Verdana"/>
          <w:color w:val="000000"/>
          <w:kern w:val="0"/>
          <w:sz w:val="18"/>
          <w:szCs w:val="18"/>
          <w14:ligatures w14:val="none"/>
        </w:rPr>
      </w:pPr>
      <w:r>
        <w:rPr>
          <w:rFonts w:ascii="Verdana" w:hAnsi="Verdana"/>
          <w:color w:val="000000"/>
          <w:sz w:val="18"/>
        </w:rPr>
        <w:t>Toote juurdepääsetavuse standardid</w:t>
      </w:r>
    </w:p>
    <w:p w14:paraId="6CF367AB" w14:textId="77777777" w:rsidR="00FA632B" w:rsidRPr="00C21F45" w:rsidRDefault="00FA632B" w:rsidP="006A151F">
      <w:pPr>
        <w:pStyle w:val="ListParagraph"/>
        <w:spacing w:after="0" w:line="240" w:lineRule="auto"/>
        <w:ind w:left="0"/>
        <w:jc w:val="both"/>
        <w:rPr>
          <w:rFonts w:ascii="Verdana" w:eastAsia="Times New Roman" w:hAnsi="Verdana" w:cs="Verdana"/>
          <w:color w:val="000000"/>
          <w:kern w:val="0"/>
          <w:sz w:val="18"/>
          <w:szCs w:val="18"/>
          <w:lang w:val="sv-SE" w:eastAsia="sv-SE"/>
          <w14:ligatures w14:val="none"/>
        </w:rPr>
      </w:pPr>
    </w:p>
    <w:p w14:paraId="5A3A8787" w14:textId="5E308A55" w:rsidR="00FA632B" w:rsidRPr="00C21F45" w:rsidRDefault="00FA632B" w:rsidP="00FA632B">
      <w:pPr>
        <w:pStyle w:val="ListParagraph"/>
        <w:numPr>
          <w:ilvl w:val="0"/>
          <w:numId w:val="27"/>
        </w:numPr>
        <w:spacing w:after="0" w:line="240" w:lineRule="auto"/>
        <w:ind w:left="426" w:hanging="426"/>
        <w:rPr>
          <w:rFonts w:ascii="Verdana" w:eastAsia="Times New Roman" w:hAnsi="Verdana" w:cs="Verdana"/>
          <w:b/>
          <w:bCs/>
          <w:color w:val="000000"/>
          <w:kern w:val="0"/>
          <w:sz w:val="18"/>
          <w:szCs w:val="18"/>
          <w14:ligatures w14:val="none"/>
        </w:rPr>
      </w:pPr>
      <w:bookmarkStart w:id="0" w:name="bookmark0"/>
      <w:r>
        <w:rPr>
          <w:rFonts w:ascii="Verdana" w:hAnsi="Verdana"/>
          <w:b/>
          <w:color w:val="000000"/>
          <w:sz w:val="18"/>
        </w:rPr>
        <w:t>Juurdepääsetavad veebilehed</w:t>
      </w:r>
      <w:bookmarkEnd w:id="0"/>
    </w:p>
    <w:p w14:paraId="126E2F3F" w14:textId="77777777" w:rsidR="00FA632B" w:rsidRPr="00FA632B" w:rsidRDefault="00FA632B" w:rsidP="00FA632B">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Suunised, mida tuleb veebisaidi kujundamisel ja loomisel järgida, ning veebisaidi juurdepääsetavuse tingimused on järgmised.</w:t>
      </w:r>
    </w:p>
    <w:p w14:paraId="28173843"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Konfigureerige sisu nii, et seda saab kohandada erineva tarkvara, erisuguste seadmete ja tugitoodete jaoks, kaotamata teavet või struktuuri.</w:t>
      </w:r>
    </w:p>
    <w:p w14:paraId="1DD63AE8"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Pakkuge tekstilisi alternatiive või kirjeldavat identifitseerimist mittetekstilisele sisule (pildid, graafika, multimeediasisu).</w:t>
      </w:r>
    </w:p>
    <w:p w14:paraId="3E9EA495"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Lisage subtiitrid ja audiokirjeldus multimeediasisu kohta, kui see on vajalik sõnumi nõuetekohaseks mõistmiseks.</w:t>
      </w:r>
    </w:p>
    <w:p w14:paraId="671CBAD9"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Pakkuge mehhanisme, mis võimaldavad helitugevust summutada ja reguleerida.</w:t>
      </w:r>
    </w:p>
    <w:p w14:paraId="5439050D"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Ärge kasutage värvi ainsa vahendina teabe edastamiseks, toimingu näitamiseks või elemendi eristamiseks.</w:t>
      </w:r>
    </w:p>
    <w:p w14:paraId="2A83A4FB"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Tekst ja pildid peavad olema piisavalt kontrastsed taustaga ja suurusega, mis võimaldab neid mugavalt lugeda.</w:t>
      </w:r>
    </w:p>
    <w:p w14:paraId="175D022F"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Teksti suurust peab olema võimalik kohandada lehelt endast ilma toetavate toodeteta ning sisu või funktsionaalsust kaotamata.</w:t>
      </w:r>
    </w:p>
    <w:p w14:paraId="6629861C"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Võimaldage klaviatuuriga juurdepääs kõigile lehe funktsioonidele koos lahendusega, mis ei ole vastuolus ekraanilugejate ja suurendusseadmetega.</w:t>
      </w:r>
    </w:p>
    <w:p w14:paraId="620AD37C"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Võimaldage kasutajal kontrollida teavet või objekte, mis</w:t>
      </w:r>
    </w:p>
    <w:p w14:paraId="54602ACA" w14:textId="77777777" w:rsidR="00FA632B" w:rsidRPr="00FA632B" w:rsidRDefault="00FA632B" w:rsidP="00FA632B">
      <w:pPr>
        <w:tabs>
          <w:tab w:val="left" w:pos="284"/>
        </w:tabs>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automaatselt teisaldatakse või värskendatakse, saades neid peatada, peita või kontrollida sagedust.</w:t>
      </w:r>
    </w:p>
    <w:p w14:paraId="0856730F"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Hõlbustage navigeerimist, struktureerides sisu sidusas järjekorras ja pakkudes</w:t>
      </w:r>
    </w:p>
    <w:p w14:paraId="7788BA99" w14:textId="77777777" w:rsidR="00FA632B" w:rsidRPr="00FA632B" w:rsidRDefault="00FA632B" w:rsidP="00FA632B">
      <w:pPr>
        <w:tabs>
          <w:tab w:val="left" w:pos="284"/>
        </w:tabs>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selgeid navigatsioonimehhanisme.</w:t>
      </w:r>
    </w:p>
    <w:p w14:paraId="536B699B"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Lisage juhendteave, et aidata kasutajatel mõista keerukaid elemente, ning luua mehhanismid kasutajate andmete sisestamisel esinevate vigade avastamiseks ja ennetamiseks.</w:t>
      </w:r>
    </w:p>
    <w:p w14:paraId="5ABF3A0C"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Tuvastage veebisaidi igas lõigus või dokumendis kasutatav keel, et ekraanilugejad ja häälsüntesaatorid saaksid keelt automaatselt tuvastada ja muuta.</w:t>
      </w:r>
    </w:p>
    <w:p w14:paraId="6CDE4AE3" w14:textId="77777777" w:rsidR="00FA632B" w:rsidRPr="00FA632B" w:rsidRDefault="00FA632B" w:rsidP="00FA632B">
      <w:pPr>
        <w:numPr>
          <w:ilvl w:val="0"/>
          <w:numId w:val="26"/>
        </w:numPr>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Kasutage selget ja arusaadavat keelt, et muuta sisu kergesti mõistetavaks, ning lisada kõige ebatavalisemate sõnade määratlus ning initsiaalide ja lühendite tähendus.</w:t>
      </w:r>
    </w:p>
    <w:p w14:paraId="26EBE7B8"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Maksimeerige ühilduvust rakenduste, tarkvara ja seadmetega, mis kasutajatel võivad olla, sealhulgas tugitoodetega.</w:t>
      </w:r>
    </w:p>
    <w:p w14:paraId="43253E0F"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Veenduge, et veebis avaldatud dokumendid oleks ekraanilugejatele kättesaadavad ja loetavad.</w:t>
      </w:r>
    </w:p>
    <w:p w14:paraId="06CA927B" w14:textId="77777777" w:rsidR="00FA632B" w:rsidRPr="00FA632B"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lastRenderedPageBreak/>
        <w:t>Tagage sidekanalite olemasolu, mis on juurdepääsetavad muul viisil kui telefoni teel, e-posti, SMSi või vormide kaudu ning mille käsitlemise aeg ei ole telefonikõnega võrreldes diskrimineeriv.</w:t>
      </w:r>
    </w:p>
    <w:p w14:paraId="49BACFE7" w14:textId="246221AC" w:rsidR="00FA632B" w:rsidRPr="00C21F45" w:rsidRDefault="00FA632B" w:rsidP="00FA632B">
      <w:pPr>
        <w:numPr>
          <w:ilvl w:val="0"/>
          <w:numId w:val="26"/>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Vastake WCAG 2.1 suuniste kohastele kriteeriumidele ühel oma tasandil standardis UNE 139803:2012 või seda asendavas standardis sätestatud tingimustele, välja arvatud olukordades, kus käesolev seadustik nõuab kõrgemat taset.</w:t>
      </w:r>
    </w:p>
    <w:p w14:paraId="16129A76" w14:textId="77777777" w:rsidR="00B67133" w:rsidRPr="005A3736" w:rsidRDefault="00B67133" w:rsidP="00B67133">
      <w:pPr>
        <w:tabs>
          <w:tab w:val="left" w:pos="284"/>
        </w:tabs>
        <w:spacing w:after="0" w:line="240" w:lineRule="auto"/>
        <w:rPr>
          <w:rFonts w:ascii="Verdana" w:eastAsia="Times New Roman" w:hAnsi="Verdana" w:cs="Verdana"/>
          <w:color w:val="000000"/>
          <w:kern w:val="0"/>
          <w:sz w:val="18"/>
          <w:szCs w:val="18"/>
          <w:lang w:eastAsia="sv-SE"/>
          <w14:ligatures w14:val="none"/>
        </w:rPr>
      </w:pPr>
    </w:p>
    <w:p w14:paraId="1B221A2A" w14:textId="52277775" w:rsidR="00B67133" w:rsidRPr="00C21F45" w:rsidRDefault="00B67133" w:rsidP="00B67133">
      <w:pPr>
        <w:pStyle w:val="ListParagraph"/>
        <w:numPr>
          <w:ilvl w:val="0"/>
          <w:numId w:val="27"/>
        </w:numPr>
        <w:spacing w:after="0" w:line="240" w:lineRule="auto"/>
        <w:ind w:left="426" w:hanging="426"/>
        <w:rPr>
          <w:rFonts w:ascii="Verdana" w:eastAsia="Times New Roman" w:hAnsi="Verdana" w:cs="Verdana"/>
          <w:b/>
          <w:bCs/>
          <w:color w:val="000000"/>
          <w:kern w:val="0"/>
          <w:sz w:val="18"/>
          <w:szCs w:val="18"/>
          <w14:ligatures w14:val="none"/>
        </w:rPr>
      </w:pPr>
      <w:r>
        <w:rPr>
          <w:rFonts w:ascii="Verdana" w:hAnsi="Verdana"/>
          <w:b/>
          <w:color w:val="000000"/>
          <w:sz w:val="18"/>
        </w:rPr>
        <w:t>Juurdepääsetavad rakendused</w:t>
      </w:r>
    </w:p>
    <w:p w14:paraId="065284F8"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Mobiilsed rakendused peavad vastama standardis UNE 139803:2012 või seda asendavas standardis sätestatud tingimustele ja järgmistele üldkriteeriumidele.</w:t>
      </w:r>
    </w:p>
    <w:p w14:paraId="26C3CB0D" w14:textId="77777777" w:rsidR="00B67133" w:rsidRPr="00B67133"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Kõik sõnumid, abisüsteemid ja tekstid peavad olema kirjutatud selges ja lihtsas keeles.</w:t>
      </w:r>
    </w:p>
    <w:p w14:paraId="40518AF6" w14:textId="77777777" w:rsidR="00B67133" w:rsidRPr="00B67133"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Tekst peab olema arusaadav, sellise suuruse ja kirjatüübiga, mis hõlbustab lugemist.</w:t>
      </w:r>
    </w:p>
    <w:p w14:paraId="134CE606" w14:textId="77777777" w:rsidR="00B67133" w:rsidRPr="00B67133"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Taustaga elementide värvikontrast peab olema piisav.</w:t>
      </w:r>
    </w:p>
    <w:p w14:paraId="082121D1" w14:textId="77777777" w:rsidR="00B67133" w:rsidRPr="00B67133"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Juhtelemendid, objektid, ikoonid ja pildid peavad olema tuvastatavad, kergesti kasutatavad ning neil peab olema seotud alternatiivne tekst, mis näitab nende funktsiooni või tähendust.</w:t>
      </w:r>
    </w:p>
    <w:p w14:paraId="7A1AF3CA" w14:textId="77777777" w:rsidR="00B67133" w:rsidRPr="00B67133"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Hoiatustel peavad olema visuaalsed või vibratsioonilised alternatiivid.</w:t>
      </w:r>
    </w:p>
    <w:p w14:paraId="7707744E" w14:textId="77777777" w:rsidR="00B67133" w:rsidRPr="00B67133"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Teenusele juurdepääsemise protsess peab olema sujuv ja kiire.</w:t>
      </w:r>
    </w:p>
    <w:p w14:paraId="1B184FE5" w14:textId="77777777" w:rsidR="00B67133" w:rsidRPr="00C21F45"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Rakendus peab ühilduma tugitoodetega, nagu ekraanilugejad, suurendusseadmed ja häälkäsklused.</w:t>
      </w:r>
    </w:p>
    <w:p w14:paraId="6D0830A2" w14:textId="1D748B7F" w:rsidR="00B67133" w:rsidRPr="00C21F45" w:rsidRDefault="00B67133" w:rsidP="00B67133">
      <w:pPr>
        <w:numPr>
          <w:ilvl w:val="0"/>
          <w:numId w:val="28"/>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Rakendus peab ühilduma operatsioonisüsteemi juurdepääsetavuse vahenditega.</w:t>
      </w:r>
    </w:p>
    <w:p w14:paraId="5AFF70C5" w14:textId="77777777" w:rsidR="00B67133" w:rsidRPr="005A3736" w:rsidRDefault="00B67133" w:rsidP="00B67133">
      <w:pPr>
        <w:tabs>
          <w:tab w:val="left" w:pos="284"/>
        </w:tabs>
        <w:spacing w:after="0" w:line="240" w:lineRule="auto"/>
        <w:rPr>
          <w:rFonts w:ascii="Verdana" w:eastAsia="Times New Roman" w:hAnsi="Verdana" w:cs="Verdana"/>
          <w:color w:val="000000"/>
          <w:kern w:val="0"/>
          <w:sz w:val="18"/>
          <w:szCs w:val="18"/>
          <w:lang w:eastAsia="sv-SE"/>
          <w14:ligatures w14:val="none"/>
        </w:rPr>
      </w:pPr>
    </w:p>
    <w:p w14:paraId="76587EAD"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Lisa 6b.</w:t>
      </w:r>
    </w:p>
    <w:p w14:paraId="5F1E54D1" w14:textId="3C00A4F7" w:rsidR="00B67133" w:rsidRPr="00C21F45" w:rsidRDefault="00B67133" w:rsidP="00B67133">
      <w:p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Olemasolevate teenuste komplekteerimistingimustele kohandamise tähtajad</w:t>
      </w:r>
    </w:p>
    <w:p w14:paraId="3B6CFB3C" w14:textId="77777777" w:rsidR="00B67133" w:rsidRPr="005A3736" w:rsidRDefault="00B67133" w:rsidP="00B67133">
      <w:pPr>
        <w:tabs>
          <w:tab w:val="left" w:pos="284"/>
        </w:tabs>
        <w:spacing w:after="0" w:line="240" w:lineRule="auto"/>
        <w:rPr>
          <w:rFonts w:ascii="Verdana" w:eastAsia="Times New Roman" w:hAnsi="Verdana" w:cs="Verdana"/>
          <w:color w:val="000000"/>
          <w:kern w:val="0"/>
          <w:sz w:val="18"/>
          <w:szCs w:val="18"/>
          <w:lang w:val="fi-FI" w:eastAsia="sv-SE"/>
          <w14:ligatures w14:val="none"/>
        </w:rPr>
      </w:pPr>
    </w:p>
    <w:p w14:paraId="5CC936FC" w14:textId="6447EC91" w:rsidR="00B67133" w:rsidRPr="00C21F45" w:rsidRDefault="00B67133" w:rsidP="00B67133">
      <w:pPr>
        <w:pStyle w:val="ListParagraph"/>
        <w:numPr>
          <w:ilvl w:val="0"/>
          <w:numId w:val="29"/>
        </w:numPr>
        <w:tabs>
          <w:tab w:val="left" w:pos="284"/>
        </w:tabs>
        <w:spacing w:after="0" w:line="240" w:lineRule="auto"/>
        <w:ind w:left="0" w:firstLine="0"/>
        <w:rPr>
          <w:rFonts w:ascii="Verdana" w:eastAsia="Times New Roman" w:hAnsi="Verdana" w:cs="Verdana"/>
          <w:b/>
          <w:bCs/>
          <w:color w:val="000000"/>
          <w:kern w:val="0"/>
          <w:sz w:val="18"/>
          <w:szCs w:val="18"/>
          <w14:ligatures w14:val="none"/>
        </w:rPr>
      </w:pPr>
      <w:r>
        <w:rPr>
          <w:rFonts w:ascii="Verdana" w:hAnsi="Verdana"/>
          <w:b/>
          <w:color w:val="000000"/>
          <w:sz w:val="18"/>
        </w:rPr>
        <w:t>Vastavus muudele nõutavatele tingimustele</w:t>
      </w:r>
    </w:p>
    <w:p w14:paraId="2E4F4341" w14:textId="77777777" w:rsidR="00B67133" w:rsidRDefault="00B67133" w:rsidP="00B67133">
      <w:pPr>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Käesoleva lisa 6b tingimused ei piira kohustust täita olemasolevate elementide või ressursside muutmise korral kohustust täita nõutavaid juurdepääsetavuse tingimusi enne ettenähtud tähtaegu.</w:t>
      </w:r>
    </w:p>
    <w:p w14:paraId="088017D8" w14:textId="77777777" w:rsidR="0088195D" w:rsidRPr="005A3736" w:rsidRDefault="0088195D" w:rsidP="00B67133">
      <w:pPr>
        <w:spacing w:after="0" w:line="240" w:lineRule="auto"/>
        <w:rPr>
          <w:rFonts w:ascii="Times New Roman" w:eastAsia="Times New Roman" w:hAnsi="Times New Roman" w:cs="Times New Roman"/>
          <w:kern w:val="0"/>
          <w:sz w:val="24"/>
          <w:szCs w:val="24"/>
          <w14:ligatures w14:val="none"/>
        </w:rPr>
      </w:pPr>
    </w:p>
    <w:p w14:paraId="31D3E90F" w14:textId="68701AE8" w:rsidR="00B67133" w:rsidRPr="00C21F45" w:rsidRDefault="00B67133" w:rsidP="00B67133">
      <w:pPr>
        <w:pStyle w:val="ListParagraph"/>
        <w:numPr>
          <w:ilvl w:val="0"/>
          <w:numId w:val="29"/>
        </w:numPr>
        <w:tabs>
          <w:tab w:val="left" w:pos="284"/>
        </w:tabs>
        <w:spacing w:after="0" w:line="240" w:lineRule="auto"/>
        <w:ind w:left="0" w:firstLine="0"/>
        <w:rPr>
          <w:rFonts w:ascii="Verdana" w:eastAsia="Times New Roman" w:hAnsi="Verdana" w:cs="Verdana"/>
          <w:b/>
          <w:bCs/>
          <w:color w:val="000000"/>
          <w:kern w:val="0"/>
          <w:sz w:val="18"/>
          <w:szCs w:val="18"/>
          <w14:ligatures w14:val="none"/>
        </w:rPr>
      </w:pPr>
      <w:bookmarkStart w:id="1" w:name="bookmark2"/>
      <w:r>
        <w:rPr>
          <w:rFonts w:ascii="Verdana" w:hAnsi="Verdana"/>
          <w:b/>
          <w:color w:val="000000"/>
          <w:sz w:val="18"/>
        </w:rPr>
        <w:t>Kataloonia avalik sektor, avalik-õiguslikud äriühingud ja avaliku teenuse osutajad</w:t>
      </w:r>
      <w:bookmarkEnd w:id="1"/>
    </w:p>
    <w:p w14:paraId="29A0B320"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Kataloonia avaliku sektori, avalik-õiguslike ettevõtete ja avalik-õiguslike asutuste veebisaitidele ja mobiilirakendustele, kes osutavad avalikke teenuseid kontsessiooni või avaliku haldusega lepingu alusel, on kehtestatud järgmised lõplikud tähtajad, et need oleksid juurdepääsetavad ja vastaksid artiklis 138 osutatud tingimustele.</w:t>
      </w:r>
    </w:p>
    <w:p w14:paraId="1504A1D4" w14:textId="77777777" w:rsidR="00B67133" w:rsidRPr="00B67133" w:rsidRDefault="00B67133" w:rsidP="00B67133">
      <w:pPr>
        <w:numPr>
          <w:ilvl w:val="0"/>
          <w:numId w:val="30"/>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Üks aasta alates käesoleva seadustiku jõustumisest:</w:t>
      </w:r>
    </w:p>
    <w:p w14:paraId="6DC0F544"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Kataloonia avaliku sektori ja avalik-õiguslike ettevõtete veebisaidid.</w:t>
      </w:r>
    </w:p>
    <w:p w14:paraId="1E8E14D6" w14:textId="77777777" w:rsidR="00B67133" w:rsidRPr="00B67133" w:rsidRDefault="00B67133" w:rsidP="00B67133">
      <w:pPr>
        <w:numPr>
          <w:ilvl w:val="0"/>
          <w:numId w:val="30"/>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Kaks aastat pärast käesoleva seadustiku jõustumist:</w:t>
      </w:r>
    </w:p>
    <w:p w14:paraId="4BC21535"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b1.</w:t>
      </w:r>
      <w:r>
        <w:rPr>
          <w:rFonts w:ascii="Verdana" w:hAnsi="Verdana"/>
          <w:color w:val="000000"/>
          <w:sz w:val="18"/>
        </w:rPr>
        <w:tab/>
        <w:t>mobiilseadmete rakendused Kataloonia avalikus sektoris ja avalik-õiguslikes ettevõtetes.</w:t>
      </w:r>
    </w:p>
    <w:p w14:paraId="6FB46652"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76C65058" w14:textId="77777777" w:rsidR="00B67133" w:rsidRPr="00B67133" w:rsidRDefault="00B67133" w:rsidP="00B67133">
      <w:pPr>
        <w:numPr>
          <w:ilvl w:val="0"/>
          <w:numId w:val="30"/>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Kolm aastat pärast käesoleva seadustiku jõustumist:</w:t>
      </w:r>
    </w:p>
    <w:p w14:paraId="31054A36"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c1.</w:t>
      </w:r>
      <w:r>
        <w:rPr>
          <w:rFonts w:ascii="Verdana" w:hAnsi="Verdana"/>
          <w:color w:val="000000"/>
          <w:sz w:val="18"/>
        </w:rPr>
        <w:tab/>
        <w:t>selliste üksuste või ettevõtete veebisaidid ja rakendused, kes osutavad avalikke teenuseid kontsessiooni või avaliku haldusega lepingu alusel.</w:t>
      </w:r>
    </w:p>
    <w:p w14:paraId="32FCD867"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2906B8A4"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Nimetatud tähtajad ei piira nende kõige nõudlikumate nõuete täitmist, mida nõuavad teenuse omadused kooskõlas käesoleva lisa ülejäänud lõikudega või muude seda reguleerivate määrustega.</w:t>
      </w:r>
    </w:p>
    <w:p w14:paraId="10D3446D" w14:textId="77777777" w:rsidR="00B67133" w:rsidRPr="005A3736" w:rsidRDefault="00B67133" w:rsidP="00B67133">
      <w:pPr>
        <w:tabs>
          <w:tab w:val="left" w:pos="284"/>
        </w:tabs>
        <w:spacing w:after="0" w:line="240" w:lineRule="auto"/>
        <w:rPr>
          <w:rFonts w:ascii="Verdana" w:eastAsia="Times New Roman" w:hAnsi="Verdana" w:cs="Verdana"/>
          <w:color w:val="000000"/>
          <w:kern w:val="0"/>
          <w:sz w:val="18"/>
          <w:szCs w:val="18"/>
          <w:lang w:eastAsia="sv-SE"/>
          <w14:ligatures w14:val="none"/>
        </w:rPr>
      </w:pPr>
    </w:p>
    <w:p w14:paraId="6AF41699" w14:textId="77F717A8" w:rsidR="00B67133" w:rsidRPr="00C21F45" w:rsidRDefault="00B67133" w:rsidP="0055025C">
      <w:pPr>
        <w:pStyle w:val="ListParagraph"/>
        <w:numPr>
          <w:ilvl w:val="0"/>
          <w:numId w:val="29"/>
        </w:numPr>
        <w:tabs>
          <w:tab w:val="left" w:pos="284"/>
        </w:tabs>
        <w:spacing w:after="0" w:line="240" w:lineRule="auto"/>
        <w:ind w:left="0" w:firstLine="0"/>
        <w:rPr>
          <w:rFonts w:ascii="Verdana" w:eastAsia="Times New Roman" w:hAnsi="Verdana" w:cs="Verdana"/>
          <w:b/>
          <w:bCs/>
          <w:color w:val="000000"/>
          <w:kern w:val="0"/>
          <w:sz w:val="18"/>
          <w:szCs w:val="18"/>
          <w14:ligatures w14:val="none"/>
        </w:rPr>
      </w:pPr>
      <w:r>
        <w:rPr>
          <w:rFonts w:ascii="Verdana" w:hAnsi="Verdana"/>
          <w:b/>
          <w:color w:val="000000"/>
          <w:sz w:val="18"/>
        </w:rPr>
        <w:t>Etenduskunsti, kino ja spordiüritustega seotud teenused</w:t>
      </w:r>
    </w:p>
    <w:p w14:paraId="3113DAB4"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Järgmised lõplikud tähtajad on kehtestatud nii, et ettevõtte veebisaidid ja elektroonilised piletimüügikanalid oleksid kättesaadavad ja vastaksid artiklis 133 sätestatud tingimustele.</w:t>
      </w:r>
    </w:p>
    <w:p w14:paraId="61B9ED40" w14:textId="77777777" w:rsidR="00B67133" w:rsidRPr="00B67133" w:rsidRDefault="00B67133" w:rsidP="0055025C">
      <w:pPr>
        <w:numPr>
          <w:ilvl w:val="0"/>
          <w:numId w:val="31"/>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Kaks aastat pärast käesoleva seadustiku jõustumist:</w:t>
      </w:r>
    </w:p>
    <w:p w14:paraId="34CFA37E"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selliste ettevõtete veebisaidid ja mobiilirakendused, mille kogu piirkonnas on vähemalt 2000 istekohta.</w:t>
      </w:r>
    </w:p>
    <w:p w14:paraId="1CBFDA30"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07222CDF"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a2.</w:t>
      </w:r>
      <w:r>
        <w:rPr>
          <w:rFonts w:ascii="Verdana" w:hAnsi="Verdana"/>
          <w:color w:val="000000"/>
          <w:sz w:val="18"/>
        </w:rPr>
        <w:tab/>
        <w:t>Internetipõhiste piletimüügiplatvormide veebisaidid ja mobiilirakendused, mis haldavad rohkem kui ühte ettevõtet, mille kogumaht on vähemalt 2000 istekohta.</w:t>
      </w:r>
    </w:p>
    <w:p w14:paraId="45201ACA"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7BB07E90" w14:textId="77777777" w:rsidR="00B67133" w:rsidRPr="00B67133" w:rsidRDefault="00B67133" w:rsidP="0055025C">
      <w:pPr>
        <w:numPr>
          <w:ilvl w:val="0"/>
          <w:numId w:val="31"/>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Kolm aastat pärast käesoleva seadustiku jõustumist:</w:t>
      </w:r>
    </w:p>
    <w:p w14:paraId="3CF44995"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lastRenderedPageBreak/>
        <w:t>b1.</w:t>
      </w:r>
      <w:r>
        <w:rPr>
          <w:rFonts w:ascii="Verdana" w:hAnsi="Verdana"/>
          <w:color w:val="000000"/>
          <w:sz w:val="18"/>
        </w:rPr>
        <w:tab/>
        <w:t>internetipõhiste piletimüügiplatvormide veebisaidid ja mobiilirakendused, mis haldavad rohkem kui ühte ettevõtet, mille kogumaht on alla 2000 istekoha.</w:t>
      </w:r>
    </w:p>
    <w:p w14:paraId="02B7A8EE"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5AD87718" w14:textId="77777777" w:rsidR="00B67133" w:rsidRPr="00B67133" w:rsidRDefault="00B67133" w:rsidP="0055025C">
      <w:pPr>
        <w:numPr>
          <w:ilvl w:val="0"/>
          <w:numId w:val="31"/>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Neli aastat pärast käesoleva seadustiku jõustumist:</w:t>
      </w:r>
    </w:p>
    <w:p w14:paraId="3D5DBC3F"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c1.</w:t>
      </w:r>
      <w:r>
        <w:rPr>
          <w:rFonts w:ascii="Verdana" w:hAnsi="Verdana"/>
          <w:color w:val="000000"/>
          <w:sz w:val="18"/>
        </w:rPr>
        <w:tab/>
        <w:t>alla 2000 istekohaga ettevõtete veebisaidid ja mobiilirakendused kogu piirkonnas.</w:t>
      </w:r>
    </w:p>
    <w:p w14:paraId="500B9647" w14:textId="77777777" w:rsidR="00B67133" w:rsidRPr="00C21F45" w:rsidRDefault="00B67133" w:rsidP="00B67133">
      <w:pPr>
        <w:spacing w:after="0" w:line="240" w:lineRule="auto"/>
        <w:rPr>
          <w:rFonts w:ascii="Verdana" w:eastAsia="Times New Roman" w:hAnsi="Verdana" w:cs="Verdana"/>
          <w:color w:val="000000"/>
          <w:kern w:val="0"/>
          <w:sz w:val="18"/>
          <w:szCs w:val="18"/>
          <w14:ligatures w14:val="none"/>
        </w:rPr>
      </w:pPr>
    </w:p>
    <w:p w14:paraId="5914AE8B" w14:textId="77777777" w:rsidR="0055025C" w:rsidRPr="005A3736" w:rsidRDefault="0055025C" w:rsidP="00B67133">
      <w:pPr>
        <w:spacing w:after="0" w:line="240" w:lineRule="auto"/>
        <w:rPr>
          <w:rFonts w:ascii="Times New Roman" w:eastAsia="Times New Roman" w:hAnsi="Times New Roman" w:cs="Times New Roman"/>
          <w:kern w:val="0"/>
          <w:sz w:val="24"/>
          <w:szCs w:val="24"/>
          <w14:ligatures w14:val="none"/>
        </w:rPr>
      </w:pPr>
    </w:p>
    <w:p w14:paraId="6790F004" w14:textId="77777777" w:rsidR="00B67133" w:rsidRPr="00B67133" w:rsidRDefault="00B67133" w:rsidP="0055025C">
      <w:pPr>
        <w:numPr>
          <w:ilvl w:val="0"/>
          <w:numId w:val="29"/>
        </w:numPr>
        <w:tabs>
          <w:tab w:val="left" w:pos="284"/>
        </w:tabs>
        <w:spacing w:after="0" w:line="240" w:lineRule="auto"/>
        <w:ind w:left="426" w:hanging="426"/>
        <w:rPr>
          <w:rFonts w:ascii="Verdana" w:eastAsia="Times New Roman" w:hAnsi="Verdana" w:cs="Verdana"/>
          <w:b/>
          <w:bCs/>
          <w:color w:val="000000"/>
          <w:kern w:val="0"/>
          <w:sz w:val="18"/>
          <w:szCs w:val="18"/>
          <w14:ligatures w14:val="none"/>
        </w:rPr>
      </w:pPr>
      <w:r>
        <w:rPr>
          <w:rFonts w:ascii="Verdana" w:hAnsi="Verdana"/>
          <w:b/>
          <w:color w:val="000000"/>
          <w:sz w:val="18"/>
        </w:rPr>
        <w:t>Kommertsteenused</w:t>
      </w:r>
    </w:p>
    <w:p w14:paraId="3E54BB92"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Järgmised lõplikud tähtajad on kehtestatud nii, et veebisaidid ja mobiilirakendused, mis pakuvad võimalust interneti teel oste teha, ning supermarketite kettide, samuti toidu- või segaettevõtetega äriühingute veebisaidid ja mobiilirakendused võivad olla juurdepääsetavad ja vastata artiklis 126 sätestatud tingimustele.</w:t>
      </w:r>
    </w:p>
    <w:p w14:paraId="53AC9C04" w14:textId="77777777" w:rsidR="00B67133" w:rsidRPr="00B67133" w:rsidRDefault="00B67133" w:rsidP="0055025C">
      <w:pPr>
        <w:numPr>
          <w:ilvl w:val="0"/>
          <w:numId w:val="32"/>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Kaks aastat pärast käesoleva seadustiku jõustumist:</w:t>
      </w:r>
    </w:p>
    <w:p w14:paraId="21B4A707" w14:textId="337A9FA1"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selliste supermarketite kettide veebisaidid ja rakendused, millel on 10 või enam ettevõtet ja üle 500 m² kasulikku ruumi üldkasutatavaks kasutamiseks.</w:t>
      </w:r>
    </w:p>
    <w:p w14:paraId="2A78828C" w14:textId="77777777" w:rsidR="00B67133" w:rsidRPr="00B67133" w:rsidRDefault="00B67133" w:rsidP="0055025C">
      <w:pPr>
        <w:numPr>
          <w:ilvl w:val="0"/>
          <w:numId w:val="32"/>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Kolm aastat pärast käesoleva seadustiku jõustumist:</w:t>
      </w:r>
    </w:p>
    <w:p w14:paraId="6C3507E1"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b1.</w:t>
      </w:r>
      <w:r>
        <w:rPr>
          <w:rFonts w:ascii="Verdana" w:hAnsi="Verdana"/>
          <w:color w:val="000000"/>
          <w:sz w:val="18"/>
        </w:rPr>
        <w:tab/>
        <w:t>mobiilseadmete veebisaidid ja rakendused supermarketite kettide jaoks, millel on 5–9 käitist ja üle 500 m² kasulikku ruumi avalikuks kasutamiseks.</w:t>
      </w:r>
    </w:p>
    <w:p w14:paraId="497C2678"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3ADC9A71" w14:textId="77777777" w:rsidR="00B67133" w:rsidRPr="00B67133" w:rsidRDefault="00B67133" w:rsidP="0055025C">
      <w:pPr>
        <w:numPr>
          <w:ilvl w:val="0"/>
          <w:numId w:val="32"/>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Neli aastat pärast käesoleva seadustiku jõustumist:</w:t>
      </w:r>
    </w:p>
    <w:p w14:paraId="3C1DBA84"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c1.</w:t>
      </w:r>
      <w:r>
        <w:rPr>
          <w:rFonts w:ascii="Verdana" w:hAnsi="Verdana"/>
          <w:color w:val="000000"/>
          <w:sz w:val="18"/>
        </w:rPr>
        <w:tab/>
        <w:t>mobiilseadmete veebisaidid ja rakendused supermarketite kettide ning toidu- või segaettevõtete jaoks, kus on üle 500 m² kasulikku pinda avalikuks kasutamiseks.</w:t>
      </w:r>
    </w:p>
    <w:p w14:paraId="5B892F25" w14:textId="77777777" w:rsidR="00B67133" w:rsidRPr="00C21F45" w:rsidRDefault="00B67133" w:rsidP="00B67133">
      <w:pPr>
        <w:spacing w:after="0" w:line="240" w:lineRule="auto"/>
        <w:rPr>
          <w:rFonts w:ascii="Verdana" w:eastAsia="Times New Roman" w:hAnsi="Verdana" w:cs="Verdana"/>
          <w:color w:val="000000"/>
          <w:kern w:val="0"/>
          <w:sz w:val="18"/>
          <w:szCs w:val="18"/>
          <w14:ligatures w14:val="none"/>
        </w:rPr>
      </w:pPr>
    </w:p>
    <w:p w14:paraId="0C152943" w14:textId="77777777" w:rsidR="0055025C" w:rsidRPr="005A3736" w:rsidRDefault="0055025C" w:rsidP="00B67133">
      <w:pPr>
        <w:spacing w:after="0" w:line="240" w:lineRule="auto"/>
        <w:rPr>
          <w:rFonts w:ascii="Times New Roman" w:eastAsia="Times New Roman" w:hAnsi="Times New Roman" w:cs="Times New Roman"/>
          <w:kern w:val="0"/>
          <w:sz w:val="24"/>
          <w:szCs w:val="24"/>
          <w14:ligatures w14:val="none"/>
        </w:rPr>
      </w:pPr>
    </w:p>
    <w:p w14:paraId="38E28C70" w14:textId="7BFDFDCC" w:rsidR="00B67133" w:rsidRPr="00C21F45" w:rsidRDefault="00B67133" w:rsidP="0055025C">
      <w:pPr>
        <w:pStyle w:val="ListParagraph"/>
        <w:numPr>
          <w:ilvl w:val="0"/>
          <w:numId w:val="29"/>
        </w:numPr>
        <w:spacing w:after="0" w:line="240" w:lineRule="auto"/>
        <w:ind w:left="284" w:hanging="284"/>
        <w:rPr>
          <w:rFonts w:ascii="Verdana" w:eastAsia="Times New Roman" w:hAnsi="Verdana" w:cs="Verdana"/>
          <w:b/>
          <w:bCs/>
          <w:color w:val="000000"/>
          <w:kern w:val="0"/>
          <w:sz w:val="18"/>
          <w:szCs w:val="18"/>
          <w14:ligatures w14:val="none"/>
        </w:rPr>
      </w:pPr>
      <w:r>
        <w:rPr>
          <w:rFonts w:ascii="Verdana" w:hAnsi="Verdana"/>
          <w:b/>
          <w:color w:val="000000"/>
          <w:sz w:val="18"/>
        </w:rPr>
        <w:t>Finants- ja kindlustusteenused</w:t>
      </w:r>
    </w:p>
    <w:p w14:paraId="6632710A"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Järgmised lõplikud tähtajad on kehtestatud nii, et mobiilseadmete veebisaidid ja rakendused, mis võimaldavad teha pangatoiminguid, sõlmida lepinguid, konsulteerida meditsiininõukogudega või mis tahes muud liiki juhtkonnaga või konsulteerida üksusega seoses tellitud toodetega, võivad olla juurdepääsetavad ja vastata artiklis 127 osutatud tingimustele.</w:t>
      </w:r>
    </w:p>
    <w:p w14:paraId="382769FF" w14:textId="77777777" w:rsidR="00B67133" w:rsidRPr="00B67133" w:rsidRDefault="00B67133" w:rsidP="0055025C">
      <w:pPr>
        <w:numPr>
          <w:ilvl w:val="0"/>
          <w:numId w:val="33"/>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Üks aasta alates käesoleva seadustiku jõustumisest:</w:t>
      </w:r>
    </w:p>
    <w:p w14:paraId="5B1A1B8D"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veebilehed</w:t>
      </w:r>
    </w:p>
    <w:p w14:paraId="139FC7BE" w14:textId="77777777" w:rsidR="00B67133" w:rsidRPr="00B67133" w:rsidRDefault="00B67133" w:rsidP="0055025C">
      <w:pPr>
        <w:numPr>
          <w:ilvl w:val="0"/>
          <w:numId w:val="33"/>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Kaks aastat pärast käesoleva seadustiku jõustumist:</w:t>
      </w:r>
    </w:p>
    <w:p w14:paraId="73BE7D7E" w14:textId="77777777" w:rsidR="00B67133" w:rsidRPr="00C21F45" w:rsidRDefault="00B67133" w:rsidP="00B67133">
      <w:pPr>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b1.</w:t>
      </w:r>
      <w:r>
        <w:rPr>
          <w:rFonts w:ascii="Verdana" w:hAnsi="Verdana"/>
          <w:color w:val="000000"/>
          <w:sz w:val="18"/>
        </w:rPr>
        <w:tab/>
        <w:t>mobiilseadmete rakendused.</w:t>
      </w:r>
    </w:p>
    <w:p w14:paraId="6B62AE70" w14:textId="77777777" w:rsidR="0055025C" w:rsidRPr="00B67133" w:rsidRDefault="0055025C" w:rsidP="00B67133">
      <w:pPr>
        <w:spacing w:after="0" w:line="240" w:lineRule="auto"/>
        <w:rPr>
          <w:rFonts w:ascii="Times New Roman" w:eastAsia="Times New Roman" w:hAnsi="Times New Roman" w:cs="Times New Roman"/>
          <w:kern w:val="0"/>
          <w:sz w:val="24"/>
          <w:szCs w:val="24"/>
          <w:lang w:val="sv-SE"/>
          <w14:ligatures w14:val="none"/>
        </w:rPr>
      </w:pPr>
    </w:p>
    <w:p w14:paraId="6DE130D3" w14:textId="77777777" w:rsidR="00B67133" w:rsidRPr="00B67133" w:rsidRDefault="00B67133" w:rsidP="0055025C">
      <w:pPr>
        <w:numPr>
          <w:ilvl w:val="0"/>
          <w:numId w:val="29"/>
        </w:numPr>
        <w:tabs>
          <w:tab w:val="left" w:pos="284"/>
        </w:tabs>
        <w:spacing w:after="0" w:line="240" w:lineRule="auto"/>
        <w:ind w:left="426" w:hanging="426"/>
        <w:rPr>
          <w:rFonts w:ascii="Verdana" w:eastAsia="Times New Roman" w:hAnsi="Verdana" w:cs="Verdana"/>
          <w:b/>
          <w:bCs/>
          <w:color w:val="000000"/>
          <w:kern w:val="0"/>
          <w:sz w:val="18"/>
          <w:szCs w:val="18"/>
          <w14:ligatures w14:val="none"/>
        </w:rPr>
      </w:pPr>
      <w:r>
        <w:rPr>
          <w:rFonts w:ascii="Verdana" w:hAnsi="Verdana"/>
          <w:b/>
          <w:color w:val="000000"/>
          <w:sz w:val="18"/>
        </w:rPr>
        <w:t>Eratranspordiga seotud teenused</w:t>
      </w:r>
    </w:p>
    <w:p w14:paraId="731AF7C6"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Järgmised lõplikud tähtajad on kehtestatud nii, et ettevõtjad, kes pakuvad isejuhtivat autorenti rohkem kui 100 sõidukist koosneva sõidukipargiga, ja need, kes pakuvad autojuhiga autorenditeenust, mille sõidukipark on üle 50 sõiduki, võivad täita artiklis 128 sätestatud tingimusi.</w:t>
      </w:r>
    </w:p>
    <w:p w14:paraId="6CA06123" w14:textId="77777777" w:rsidR="00B67133" w:rsidRPr="00B67133" w:rsidRDefault="00B67133" w:rsidP="002B2D9D">
      <w:pPr>
        <w:numPr>
          <w:ilvl w:val="0"/>
          <w:numId w:val="34"/>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Üks aasta alates käesoleva seadustiku jõustumisest:</w:t>
      </w:r>
    </w:p>
    <w:p w14:paraId="5FBB5F71"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Nad peavad olema varustatud sõidukitega, mis on võimelised vedama</w:t>
      </w:r>
    </w:p>
    <w:p w14:paraId="32496943"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ratastooliga mittejuhitavaid sõidukeid, mis on vähemalt 1% nende hallatavast sõidukipargist.</w:t>
      </w:r>
    </w:p>
    <w:p w14:paraId="455808CE"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a2.</w:t>
      </w:r>
      <w:r>
        <w:rPr>
          <w:rFonts w:ascii="Verdana" w:hAnsi="Verdana"/>
          <w:color w:val="000000"/>
          <w:sz w:val="18"/>
        </w:rPr>
        <w:tab/>
        <w:t>Neil peab olema piiratud liikumisvõimega juhtidele kohandatud sõidukite varu vähemalt 0,5% nende hallatavast sõidukipargist.</w:t>
      </w:r>
    </w:p>
    <w:p w14:paraId="5D569C07"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5EACA689"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a3.</w:t>
      </w:r>
      <w:r>
        <w:rPr>
          <w:rFonts w:ascii="Verdana" w:hAnsi="Verdana"/>
          <w:color w:val="000000"/>
          <w:sz w:val="18"/>
        </w:rPr>
        <w:tab/>
        <w:t>Eelmistes punktides osutatud tarneid võib pakkuda nende enda sõidukitega või teiste ettevõtjatega sõlmitud kokkulepete</w:t>
      </w:r>
    </w:p>
    <w:p w14:paraId="207DC87D"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kaudu, mis tagavad piisava kättesaadavuse.</w:t>
      </w:r>
    </w:p>
    <w:p w14:paraId="14811A69" w14:textId="77777777" w:rsidR="00B67133" w:rsidRPr="00B67133" w:rsidRDefault="00B67133" w:rsidP="002B2D9D">
      <w:pPr>
        <w:numPr>
          <w:ilvl w:val="0"/>
          <w:numId w:val="34"/>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Kolm aastat pärast käesoleva seadustiku jõustumist:</w:t>
      </w:r>
    </w:p>
    <w:p w14:paraId="37DEEE0F"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b1.</w:t>
      </w:r>
      <w:r>
        <w:rPr>
          <w:rFonts w:ascii="Verdana" w:hAnsi="Verdana"/>
          <w:color w:val="000000"/>
          <w:sz w:val="18"/>
        </w:rPr>
        <w:tab/>
        <w:t>Vähemalt 0,5% oma sõidukipargi sõidukitest peab olema võimeline kandma ratastoolita sõitjaid.</w:t>
      </w:r>
    </w:p>
    <w:p w14:paraId="7E5F8CF6"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32AFBF91" w14:textId="77777777" w:rsidR="00B67133" w:rsidRPr="00B67133" w:rsidRDefault="00B67133" w:rsidP="002B2D9D">
      <w:pPr>
        <w:numPr>
          <w:ilvl w:val="0"/>
          <w:numId w:val="34"/>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Kuus aastat pärast käesoleva seadustiku jõustumist:</w:t>
      </w:r>
    </w:p>
    <w:p w14:paraId="1B54DD71"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c1.</w:t>
      </w:r>
      <w:r>
        <w:rPr>
          <w:rFonts w:ascii="Verdana" w:hAnsi="Verdana"/>
          <w:color w:val="000000"/>
          <w:sz w:val="18"/>
        </w:rPr>
        <w:tab/>
        <w:t>Vähemalt 2% oma sõidukipargi sõidukitest peab olema võimeline</w:t>
      </w:r>
    </w:p>
    <w:p w14:paraId="21C001A2"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kandma ratastoolita sõitjaid.</w:t>
      </w:r>
    </w:p>
    <w:p w14:paraId="5E0B6590"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c2.</w:t>
      </w:r>
      <w:r>
        <w:rPr>
          <w:rFonts w:ascii="Verdana" w:hAnsi="Verdana"/>
          <w:color w:val="000000"/>
          <w:sz w:val="18"/>
        </w:rPr>
        <w:tab/>
        <w:t>Vähemalt 0,5% oma sõidukipargi sõidukitest tuleb kohandada piiratud liikumisvõimega sõidukijuhtidele.</w:t>
      </w:r>
    </w:p>
    <w:p w14:paraId="76442A9D" w14:textId="77777777" w:rsidR="00B67133" w:rsidRPr="00B67133" w:rsidRDefault="00B67133" w:rsidP="00B67133">
      <w:pPr>
        <w:spacing w:after="0" w:line="240" w:lineRule="auto"/>
        <w:rPr>
          <w:rFonts w:ascii="Times New Roman" w:eastAsia="Times New Roman" w:hAnsi="Times New Roman" w:cs="Times New Roman"/>
          <w:kern w:val="0"/>
          <w:sz w:val="24"/>
          <w:szCs w:val="24"/>
          <w14:ligatures w14:val="none"/>
        </w:rPr>
      </w:pPr>
    </w:p>
    <w:p w14:paraId="6F5683AF" w14:textId="77777777" w:rsidR="00B67133" w:rsidRPr="00C21F45" w:rsidRDefault="00B67133" w:rsidP="00B67133">
      <w:pPr>
        <w:tabs>
          <w:tab w:val="left" w:pos="284"/>
        </w:tabs>
        <w:spacing w:after="0" w:line="240" w:lineRule="auto"/>
        <w:rPr>
          <w:rFonts w:ascii="Verdana" w:eastAsia="Times New Roman" w:hAnsi="Verdana" w:cs="Verdana"/>
          <w:color w:val="000000"/>
          <w:kern w:val="0"/>
          <w:sz w:val="18"/>
          <w:szCs w:val="18"/>
          <w:lang w:val="el-GR" w:eastAsia="sv-SE"/>
          <w14:ligatures w14:val="none"/>
        </w:rPr>
      </w:pPr>
    </w:p>
    <w:p w14:paraId="2035E027" w14:textId="2CCD6A36" w:rsidR="002B2D9D" w:rsidRPr="00C21F45" w:rsidRDefault="002B2D9D" w:rsidP="00B16E7F">
      <w:pPr>
        <w:pStyle w:val="ListParagraph"/>
        <w:numPr>
          <w:ilvl w:val="0"/>
          <w:numId w:val="29"/>
        </w:numPr>
        <w:tabs>
          <w:tab w:val="left" w:pos="284"/>
        </w:tabs>
        <w:spacing w:after="0" w:line="240" w:lineRule="auto"/>
        <w:ind w:left="426" w:hanging="426"/>
        <w:rPr>
          <w:rFonts w:ascii="Verdana" w:eastAsia="Times New Roman" w:hAnsi="Verdana" w:cs="Verdana"/>
          <w:b/>
          <w:bCs/>
          <w:color w:val="000000"/>
          <w:kern w:val="0"/>
          <w:sz w:val="18"/>
          <w:szCs w:val="18"/>
          <w14:ligatures w14:val="none"/>
        </w:rPr>
      </w:pPr>
      <w:r>
        <w:rPr>
          <w:rFonts w:ascii="Verdana" w:hAnsi="Verdana"/>
          <w:b/>
          <w:color w:val="000000"/>
          <w:sz w:val="18"/>
        </w:rPr>
        <w:lastRenderedPageBreak/>
        <w:t>Turismimajutusega seotud teenused</w:t>
      </w:r>
    </w:p>
    <w:p w14:paraId="4DE508CA" w14:textId="77777777" w:rsidR="002B2D9D" w:rsidRPr="002B2D9D" w:rsidRDefault="002B2D9D" w:rsidP="002B2D9D">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Järgmised lõplikud tähtajad on kehtestatud nii, et rohkem kui 100 toa mahutavusega hotellikettide ja majutusasutuste veebisaidid ja mobiilirakendused, mis võimaldavad majutust ja veebiteenuseid broneerida, võivad olla juurdepääsetavad ja vastata artiklis 130 osutatud tingimustele.</w:t>
      </w:r>
    </w:p>
    <w:p w14:paraId="668F184E" w14:textId="77777777" w:rsidR="002B2D9D" w:rsidRPr="002B2D9D" w:rsidRDefault="002B2D9D" w:rsidP="00B16E7F">
      <w:pPr>
        <w:numPr>
          <w:ilvl w:val="0"/>
          <w:numId w:val="35"/>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Kaks aastat pärast käesoleva seadustiku jõustumist:</w:t>
      </w:r>
    </w:p>
    <w:p w14:paraId="5B6ACB4D"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hotellikettide veebisaidid ja mobiilirakendused, millel on viis või enam majutusasutust ja mille ühine pakkumine on üle 500 toa.</w:t>
      </w:r>
    </w:p>
    <w:p w14:paraId="2B063E16"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p>
    <w:p w14:paraId="2988A829" w14:textId="77777777" w:rsidR="00B16E7F" w:rsidRPr="00B16E7F" w:rsidRDefault="00B16E7F" w:rsidP="00EB1E55">
      <w:pPr>
        <w:numPr>
          <w:ilvl w:val="0"/>
          <w:numId w:val="35"/>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Kolm aastat pärast käesoleva seadustiku jõustumist:</w:t>
      </w:r>
    </w:p>
    <w:p w14:paraId="7AA80262"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b1.</w:t>
      </w:r>
      <w:r>
        <w:rPr>
          <w:rFonts w:ascii="Verdana" w:hAnsi="Verdana"/>
          <w:color w:val="000000"/>
          <w:sz w:val="18"/>
        </w:rPr>
        <w:tab/>
        <w:t>hotellikettide veebisaidid ja mobiilirakendused, millel on kuni 4 majutusasutust ja mille ühine pakkumine on üle 500 toa.</w:t>
      </w:r>
    </w:p>
    <w:p w14:paraId="1A707379"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p>
    <w:p w14:paraId="670AA4D3" w14:textId="4BFC78B4"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b2. 500 või enama ruumiga ettevõtete veebisaidid ja mobiilirakendused.</w:t>
      </w:r>
    </w:p>
    <w:p w14:paraId="1E621184" w14:textId="77777777" w:rsidR="00B16E7F" w:rsidRPr="00B16E7F" w:rsidRDefault="00B16E7F" w:rsidP="00EB1E55">
      <w:pPr>
        <w:numPr>
          <w:ilvl w:val="0"/>
          <w:numId w:val="35"/>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Neli aastat pärast käesoleva seadustiku jõustumist:</w:t>
      </w:r>
    </w:p>
    <w:p w14:paraId="3346A6C8" w14:textId="772D4E0D"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c1. hotellikettide veebisaidid ja mobiilirakendused, mille ühine</w:t>
      </w:r>
    </w:p>
    <w:p w14:paraId="3879187B"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pakkumine on 100–500 tuba.</w:t>
      </w:r>
    </w:p>
    <w:p w14:paraId="3C3F914A" w14:textId="26C30BFC" w:rsidR="00B16E7F" w:rsidRPr="00C21F45" w:rsidRDefault="00B16E7F" w:rsidP="00DE0090">
      <w:pPr>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c2. 50–500 ruumiga majutusasutuste veebisaidid ja rakendused mobiilseadmete jaoks.</w:t>
      </w:r>
    </w:p>
    <w:p w14:paraId="48EF02B3" w14:textId="77777777" w:rsidR="00EB1E55" w:rsidRPr="005A3736" w:rsidRDefault="00EB1E55" w:rsidP="00B16E7F">
      <w:pPr>
        <w:spacing w:after="0" w:line="240" w:lineRule="auto"/>
        <w:rPr>
          <w:rFonts w:ascii="Times New Roman" w:eastAsia="Times New Roman" w:hAnsi="Times New Roman" w:cs="Times New Roman"/>
          <w:kern w:val="0"/>
          <w:sz w:val="24"/>
          <w:szCs w:val="24"/>
          <w14:ligatures w14:val="none"/>
        </w:rPr>
      </w:pPr>
    </w:p>
    <w:p w14:paraId="6DB59062" w14:textId="77FA88C6" w:rsidR="00B16E7F" w:rsidRPr="00C21F45" w:rsidRDefault="00B16E7F" w:rsidP="00EB1E55">
      <w:pPr>
        <w:pStyle w:val="ListParagraph"/>
        <w:numPr>
          <w:ilvl w:val="0"/>
          <w:numId w:val="29"/>
        </w:numPr>
        <w:tabs>
          <w:tab w:val="left" w:pos="284"/>
        </w:tabs>
        <w:spacing w:after="0" w:line="240" w:lineRule="auto"/>
        <w:ind w:left="426" w:hanging="426"/>
        <w:rPr>
          <w:rFonts w:ascii="Verdana" w:eastAsia="Times New Roman" w:hAnsi="Verdana" w:cs="Verdana"/>
          <w:b/>
          <w:bCs/>
          <w:color w:val="000000"/>
          <w:kern w:val="0"/>
          <w:sz w:val="18"/>
          <w:szCs w:val="18"/>
          <w14:ligatures w14:val="none"/>
        </w:rPr>
      </w:pPr>
      <w:r>
        <w:rPr>
          <w:rFonts w:ascii="Verdana" w:hAnsi="Verdana"/>
          <w:b/>
          <w:color w:val="000000"/>
          <w:sz w:val="18"/>
        </w:rPr>
        <w:t>Haridusteenused</w:t>
      </w:r>
    </w:p>
    <w:p w14:paraId="6970EAE6"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Selleks et formaalharidust pakkuvate haridusasutuste veebisaidid ja mobiilirakendused oleksid kättesaadavad ja vastaksid artiklis 135 sätestatud tingimustele, on kehtestatud järgmised lõplikud tähtajad.</w:t>
      </w:r>
    </w:p>
    <w:p w14:paraId="2BF05797" w14:textId="77777777" w:rsidR="00B16E7F" w:rsidRPr="00B16E7F" w:rsidRDefault="00B16E7F" w:rsidP="00EB1E55">
      <w:pPr>
        <w:numPr>
          <w:ilvl w:val="0"/>
          <w:numId w:val="37"/>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Kaks aastat pärast käesoleva seadustiku jõustumist:</w:t>
      </w:r>
    </w:p>
    <w:p w14:paraId="3E5D141F"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a1.</w:t>
      </w:r>
      <w:r>
        <w:rPr>
          <w:rFonts w:ascii="Verdana" w:hAnsi="Verdana"/>
          <w:color w:val="000000"/>
          <w:sz w:val="18"/>
        </w:rPr>
        <w:tab/>
        <w:t>mobiilseadmete veebilehed ja rakendused, mis võimaldavad otsida akadeemilisi dokumente, arvete haldamist või muid veebiprotsesse.</w:t>
      </w:r>
    </w:p>
    <w:p w14:paraId="13D9C20E"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p>
    <w:p w14:paraId="23F64FEE" w14:textId="77777777" w:rsidR="00B16E7F" w:rsidRPr="00B16E7F" w:rsidRDefault="00B16E7F" w:rsidP="00EB1E55">
      <w:pPr>
        <w:numPr>
          <w:ilvl w:val="0"/>
          <w:numId w:val="37"/>
        </w:num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Kolm aastat pärast käesoleva seadustiku jõustumist:</w:t>
      </w:r>
    </w:p>
    <w:p w14:paraId="3B6523D2"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b1.</w:t>
      </w:r>
      <w:r>
        <w:rPr>
          <w:rFonts w:ascii="Verdana" w:hAnsi="Verdana"/>
          <w:color w:val="000000"/>
          <w:sz w:val="18"/>
        </w:rPr>
        <w:tab/>
        <w:t>mobiilseadmete veebisaidid ja rakendused, mis annavad teavet kooli, rajatiste ja haridusalaste pakkumiste kohta.</w:t>
      </w:r>
    </w:p>
    <w:p w14:paraId="321BF845" w14:textId="77777777" w:rsidR="00B16E7F" w:rsidRPr="00C21F45" w:rsidRDefault="00B16E7F" w:rsidP="00B16E7F">
      <w:pPr>
        <w:spacing w:after="0" w:line="240" w:lineRule="auto"/>
        <w:rPr>
          <w:rFonts w:ascii="Verdana" w:eastAsia="Times New Roman" w:hAnsi="Verdana" w:cs="Verdana"/>
          <w:color w:val="000000"/>
          <w:kern w:val="0"/>
          <w:sz w:val="18"/>
          <w:szCs w:val="18"/>
          <w14:ligatures w14:val="none"/>
        </w:rPr>
      </w:pPr>
    </w:p>
    <w:p w14:paraId="5E77DDB1" w14:textId="77777777" w:rsidR="00EB1E55" w:rsidRPr="005A3736" w:rsidRDefault="00EB1E55" w:rsidP="00B16E7F">
      <w:pPr>
        <w:spacing w:after="0" w:line="240" w:lineRule="auto"/>
        <w:rPr>
          <w:rFonts w:ascii="Times New Roman" w:eastAsia="Times New Roman" w:hAnsi="Times New Roman" w:cs="Times New Roman"/>
          <w:kern w:val="0"/>
          <w:sz w:val="24"/>
          <w:szCs w:val="24"/>
          <w:lang w:val="fi-FI"/>
          <w14:ligatures w14:val="none"/>
        </w:rPr>
      </w:pPr>
    </w:p>
    <w:p w14:paraId="761045C1" w14:textId="5C34EE30" w:rsidR="00B16E7F" w:rsidRPr="00C21F45" w:rsidRDefault="00B16E7F" w:rsidP="00EB1E55">
      <w:pPr>
        <w:pStyle w:val="ListParagraph"/>
        <w:numPr>
          <w:ilvl w:val="0"/>
          <w:numId w:val="29"/>
        </w:numPr>
        <w:spacing w:after="0" w:line="240" w:lineRule="auto"/>
        <w:ind w:left="284" w:hanging="284"/>
        <w:rPr>
          <w:rFonts w:ascii="Verdana" w:eastAsia="Times New Roman" w:hAnsi="Verdana" w:cs="Verdana"/>
          <w:b/>
          <w:bCs/>
          <w:color w:val="000000"/>
          <w:kern w:val="0"/>
          <w:sz w:val="18"/>
          <w:szCs w:val="18"/>
          <w14:ligatures w14:val="none"/>
        </w:rPr>
      </w:pPr>
      <w:r>
        <w:rPr>
          <w:rFonts w:ascii="Verdana" w:hAnsi="Verdana"/>
          <w:b/>
          <w:color w:val="000000"/>
          <w:sz w:val="18"/>
        </w:rPr>
        <w:t>Tervishoiuteenused</w:t>
      </w:r>
    </w:p>
    <w:p w14:paraId="69510362"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Tervisekeskused, mille voodikohtade arv on võrdne või suurem kui 50, peavad vastama järgmistele tähtaegadele ja tingimustele.</w:t>
      </w:r>
    </w:p>
    <w:p w14:paraId="63FBB39F" w14:textId="77777777" w:rsidR="00B16E7F" w:rsidRPr="00B16E7F" w:rsidRDefault="00B16E7F" w:rsidP="00B16E7F">
      <w:pPr>
        <w:spacing w:after="0" w:line="240" w:lineRule="auto"/>
        <w:rPr>
          <w:rFonts w:ascii="Times New Roman" w:eastAsia="Times New Roman" w:hAnsi="Times New Roman" w:cs="Times New Roman"/>
          <w:kern w:val="0"/>
          <w:sz w:val="24"/>
          <w:szCs w:val="24"/>
          <w14:ligatures w14:val="none"/>
        </w:rPr>
      </w:pPr>
      <w:r>
        <w:rPr>
          <w:rFonts w:ascii="Verdana" w:hAnsi="Verdana"/>
          <w:color w:val="000000"/>
          <w:sz w:val="18"/>
        </w:rPr>
        <w:t>a) kolm aastat pärast käesoleva seadustiku jõustumist:</w:t>
      </w:r>
    </w:p>
    <w:p w14:paraId="79F3F01F" w14:textId="4A26BF9D" w:rsidR="002B2D9D" w:rsidRPr="00C21F45" w:rsidRDefault="00B16E7F" w:rsidP="00B16E7F">
      <w:pPr>
        <w:tabs>
          <w:tab w:val="left" w:pos="284"/>
        </w:tabs>
        <w:spacing w:after="0" w:line="240" w:lineRule="auto"/>
        <w:rPr>
          <w:rFonts w:ascii="Verdana" w:eastAsia="Times New Roman" w:hAnsi="Verdana" w:cs="Verdana"/>
          <w:color w:val="000000"/>
          <w:kern w:val="0"/>
          <w:sz w:val="18"/>
          <w:szCs w:val="18"/>
          <w14:ligatures w14:val="none"/>
        </w:rPr>
      </w:pPr>
      <w:r>
        <w:rPr>
          <w:rFonts w:ascii="Verdana" w:hAnsi="Verdana"/>
          <w:color w:val="000000"/>
          <w:sz w:val="18"/>
        </w:rPr>
        <w:t>omama infrastruktuuri, mobiilseid seadmeid ja protokolle kurtide teenindamiseks katalaani viipekeele kaudu kaugtõlke tehnoloogia abil, mahuga vähemalt 2% vooditest.</w:t>
      </w:r>
    </w:p>
    <w:sectPr w:rsidR="002B2D9D" w:rsidRPr="00C21F45" w:rsidSect="006C0A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umStyleLink w:val="Style2"/>
  </w:abstractNum>
  <w:abstractNum w:abstractNumId="1" w15:restartNumberingAfterBreak="0">
    <w:nsid w:val="00000003"/>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3" w15:restartNumberingAfterBreak="0">
    <w:nsid w:val="00000007"/>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5" w15:restartNumberingAfterBreak="0">
    <w:nsid w:val="034E090B"/>
    <w:multiLevelType w:val="multilevel"/>
    <w:tmpl w:val="820471F0"/>
    <w:lvl w:ilvl="0">
      <w:start w:val="5"/>
      <w:numFmt w:val="decimal"/>
      <w:lvlText w:val="%1"/>
      <w:lvlJc w:val="left"/>
      <w:pPr>
        <w:ind w:left="0" w:firstLine="0"/>
      </w:pPr>
      <w:rPr>
        <w:rFonts w:hint="default"/>
      </w:rPr>
    </w:lvl>
    <w:lvl w:ilvl="1">
      <w:start w:val="7"/>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2">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3">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4">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5">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6">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7">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8">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abstractNum>
  <w:abstractNum w:abstractNumId="6" w15:restartNumberingAfterBreak="0">
    <w:nsid w:val="096944A0"/>
    <w:multiLevelType w:val="hybridMultilevel"/>
    <w:tmpl w:val="9AA6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A3346"/>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8" w15:restartNumberingAfterBreak="0">
    <w:nsid w:val="155E72B0"/>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9" w15:restartNumberingAfterBreak="0">
    <w:nsid w:val="175F56A9"/>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10" w15:restartNumberingAfterBreak="0">
    <w:nsid w:val="1B1C32C1"/>
    <w:multiLevelType w:val="hybridMultilevel"/>
    <w:tmpl w:val="253E455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82153"/>
    <w:multiLevelType w:val="multilevel"/>
    <w:tmpl w:val="38E073D6"/>
    <w:lvl w:ilvl="0">
      <w:start w:val="133"/>
      <w:numFmt w:val="decimal"/>
      <w:lvlText w:val="%1"/>
      <w:lvlJc w:val="left"/>
      <w:pPr>
        <w:ind w:left="620" w:hanging="620"/>
      </w:pPr>
      <w:rPr>
        <w:rFonts w:hint="default"/>
      </w:rPr>
    </w:lvl>
    <w:lvl w:ilvl="1">
      <w:start w:val="15"/>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0F0451"/>
    <w:multiLevelType w:val="multilevel"/>
    <w:tmpl w:val="8DAEE3C4"/>
    <w:lvl w:ilvl="0">
      <w:start w:val="13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B6174A"/>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14" w15:restartNumberingAfterBreak="0">
    <w:nsid w:val="23291CAC"/>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15" w15:restartNumberingAfterBreak="0">
    <w:nsid w:val="241B6BDF"/>
    <w:multiLevelType w:val="multilevel"/>
    <w:tmpl w:val="9EDCE530"/>
    <w:numStyleLink w:val="Style1"/>
  </w:abstractNum>
  <w:abstractNum w:abstractNumId="16" w15:restartNumberingAfterBreak="0">
    <w:nsid w:val="28A457FA"/>
    <w:multiLevelType w:val="multilevel"/>
    <w:tmpl w:val="B5923620"/>
    <w:lvl w:ilvl="0">
      <w:start w:val="138"/>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BB4279"/>
    <w:multiLevelType w:val="multilevel"/>
    <w:tmpl w:val="D71250C0"/>
    <w:lvl w:ilvl="0">
      <w:start w:val="126"/>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E243F9"/>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19" w15:restartNumberingAfterBreak="0">
    <w:nsid w:val="30C11B2F"/>
    <w:multiLevelType w:val="hybridMultilevel"/>
    <w:tmpl w:val="5754C98C"/>
    <w:lvl w:ilvl="0" w:tplc="4EF6918E">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2535D"/>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1" w15:restartNumberingAfterBreak="0">
    <w:nsid w:val="311F3CA6"/>
    <w:multiLevelType w:val="multilevel"/>
    <w:tmpl w:val="FFFFFFFF"/>
    <w:styleLink w:val="Style2"/>
    <w:lvl w:ilvl="0">
      <w:start w:val="119"/>
      <w:numFmt w:val="decimal"/>
      <w:lvlText w:val="%1"/>
      <w:lvlJc w:val="left"/>
    </w:lvl>
    <w:lvl w:ilvl="1">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2">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3">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4">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5">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6">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7">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lvl w:ilvl="8">
      <w:start w:val="4"/>
      <w:numFmt w:val="decimal"/>
      <w:lvlText w:val="%1.%2"/>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2" w15:restartNumberingAfterBreak="0">
    <w:nsid w:val="332D1248"/>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3" w15:restartNumberingAfterBreak="0">
    <w:nsid w:val="39F65CD9"/>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4" w15:restartNumberingAfterBreak="0">
    <w:nsid w:val="414832ED"/>
    <w:multiLevelType w:val="multilevel"/>
    <w:tmpl w:val="D2E07E86"/>
    <w:lvl w:ilvl="0">
      <w:start w:val="95"/>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44B3899"/>
    <w:multiLevelType w:val="multilevel"/>
    <w:tmpl w:val="C6509D76"/>
    <w:lvl w:ilvl="0">
      <w:start w:val="5"/>
      <w:numFmt w:val="decimal"/>
      <w:lvlText w:val="%1"/>
      <w:lvlJc w:val="left"/>
      <w:pPr>
        <w:ind w:left="0" w:firstLine="0"/>
      </w:pPr>
      <w:rPr>
        <w:rFonts w:hint="default"/>
      </w:rPr>
    </w:lvl>
    <w:lvl w:ilvl="1">
      <w:start w:val="7"/>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2">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3">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4">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5">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6">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7">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8">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abstractNum>
  <w:abstractNum w:abstractNumId="26" w15:restartNumberingAfterBreak="0">
    <w:nsid w:val="44A1248B"/>
    <w:multiLevelType w:val="multilevel"/>
    <w:tmpl w:val="66568C36"/>
    <w:lvl w:ilvl="0">
      <w:start w:val="127"/>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EB7052"/>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8" w15:restartNumberingAfterBreak="0">
    <w:nsid w:val="562E78AF"/>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29" w15:restartNumberingAfterBreak="0">
    <w:nsid w:val="569429BD"/>
    <w:multiLevelType w:val="multilevel"/>
    <w:tmpl w:val="E7A6728C"/>
    <w:lvl w:ilvl="0">
      <w:start w:val="97"/>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ED5B33"/>
    <w:multiLevelType w:val="multilevel"/>
    <w:tmpl w:val="E79E27FA"/>
    <w:lvl w:ilvl="0">
      <w:start w:val="130"/>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B85BDD"/>
    <w:multiLevelType w:val="hybridMultilevel"/>
    <w:tmpl w:val="0DACF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40858"/>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33" w15:restartNumberingAfterBreak="0">
    <w:nsid w:val="651E75BC"/>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34" w15:restartNumberingAfterBreak="0">
    <w:nsid w:val="67421A49"/>
    <w:multiLevelType w:val="multilevel"/>
    <w:tmpl w:val="9EDCE530"/>
    <w:styleLink w:val="Style1"/>
    <w:lvl w:ilvl="0">
      <w:start w:val="116"/>
      <w:numFmt w:val="decimal"/>
      <w:lvlText w:val="%1"/>
      <w:lvlJc w:val="left"/>
      <w:pPr>
        <w:ind w:left="0" w:firstLine="0"/>
      </w:pPr>
      <w:rPr>
        <w:rFonts w:hint="default"/>
      </w:rPr>
    </w:lvl>
    <w:lvl w:ilvl="1">
      <w:start w:val="1"/>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2">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3">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4">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5">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6">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7">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lvl w:ilvl="8">
      <w:start w:val="4"/>
      <w:numFmt w:val="decimal"/>
      <w:lvlText w:val="%1.%2"/>
      <w:lvlJc w:val="left"/>
      <w:pPr>
        <w:ind w:left="0" w:firstLine="0"/>
      </w:pPr>
      <w:rPr>
        <w:rFonts w:ascii="Verdana" w:hAnsi="Verdana" w:cs="Verdana" w:hint="default"/>
        <w:b w:val="0"/>
        <w:bCs w:val="0"/>
        <w:i w:val="0"/>
        <w:iCs w:val="0"/>
        <w:smallCaps w:val="0"/>
        <w:strike w:val="0"/>
        <w:color w:val="000000"/>
        <w:spacing w:val="0"/>
        <w:w w:val="100"/>
        <w:position w:val="0"/>
        <w:sz w:val="18"/>
        <w:szCs w:val="18"/>
        <w:u w:val="none"/>
      </w:rPr>
    </w:lvl>
  </w:abstractNum>
  <w:abstractNum w:abstractNumId="35" w15:restartNumberingAfterBreak="0">
    <w:nsid w:val="70A36726"/>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36" w15:restartNumberingAfterBreak="0">
    <w:nsid w:val="76835A27"/>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37" w15:restartNumberingAfterBreak="0">
    <w:nsid w:val="79D77144"/>
    <w:multiLevelType w:val="multilevel"/>
    <w:tmpl w:val="FFFFFFFF"/>
    <w:lvl w:ilvl="0">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18"/>
        <w:szCs w:val="18"/>
        <w:u w:val="none"/>
      </w:rPr>
    </w:lvl>
  </w:abstractNum>
  <w:num w:numId="1">
    <w:abstractNumId w:val="0"/>
  </w:num>
  <w:num w:numId="2">
    <w:abstractNumId w:val="29"/>
  </w:num>
  <w:num w:numId="3">
    <w:abstractNumId w:val="1"/>
  </w:num>
  <w:num w:numId="4">
    <w:abstractNumId w:val="2"/>
  </w:num>
  <w:num w:numId="5">
    <w:abstractNumId w:val="3"/>
  </w:num>
  <w:num w:numId="6">
    <w:abstractNumId w:val="4"/>
  </w:num>
  <w:num w:numId="7">
    <w:abstractNumId w:val="15"/>
  </w:num>
  <w:num w:numId="8">
    <w:abstractNumId w:val="34"/>
  </w:num>
  <w:num w:numId="9">
    <w:abstractNumId w:val="23"/>
  </w:num>
  <w:num w:numId="10">
    <w:abstractNumId w:val="28"/>
  </w:num>
  <w:num w:numId="11">
    <w:abstractNumId w:val="21"/>
  </w:num>
  <w:num w:numId="12">
    <w:abstractNumId w:val="5"/>
  </w:num>
  <w:num w:numId="13">
    <w:abstractNumId w:val="25"/>
  </w:num>
  <w:num w:numId="14">
    <w:abstractNumId w:val="17"/>
  </w:num>
  <w:num w:numId="15">
    <w:abstractNumId w:val="32"/>
  </w:num>
  <w:num w:numId="16">
    <w:abstractNumId w:val="26"/>
  </w:num>
  <w:num w:numId="17">
    <w:abstractNumId w:val="18"/>
  </w:num>
  <w:num w:numId="18">
    <w:abstractNumId w:val="30"/>
  </w:num>
  <w:num w:numId="19">
    <w:abstractNumId w:val="35"/>
  </w:num>
  <w:num w:numId="20">
    <w:abstractNumId w:val="33"/>
  </w:num>
  <w:num w:numId="21">
    <w:abstractNumId w:val="11"/>
  </w:num>
  <w:num w:numId="22">
    <w:abstractNumId w:val="12"/>
  </w:num>
  <w:num w:numId="23">
    <w:abstractNumId w:val="9"/>
  </w:num>
  <w:num w:numId="24">
    <w:abstractNumId w:val="16"/>
  </w:num>
  <w:num w:numId="25">
    <w:abstractNumId w:val="31"/>
  </w:num>
  <w:num w:numId="26">
    <w:abstractNumId w:val="36"/>
  </w:num>
  <w:num w:numId="27">
    <w:abstractNumId w:val="10"/>
  </w:num>
  <w:num w:numId="28">
    <w:abstractNumId w:val="14"/>
  </w:num>
  <w:num w:numId="29">
    <w:abstractNumId w:val="6"/>
  </w:num>
  <w:num w:numId="30">
    <w:abstractNumId w:val="20"/>
  </w:num>
  <w:num w:numId="31">
    <w:abstractNumId w:val="22"/>
  </w:num>
  <w:num w:numId="32">
    <w:abstractNumId w:val="37"/>
  </w:num>
  <w:num w:numId="33">
    <w:abstractNumId w:val="13"/>
  </w:num>
  <w:num w:numId="34">
    <w:abstractNumId w:val="7"/>
  </w:num>
  <w:num w:numId="35">
    <w:abstractNumId w:val="8"/>
  </w:num>
  <w:num w:numId="36">
    <w:abstractNumId w:val="19"/>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60"/>
    <w:rsid w:val="00120328"/>
    <w:rsid w:val="0018241B"/>
    <w:rsid w:val="00246332"/>
    <w:rsid w:val="002B2D9D"/>
    <w:rsid w:val="002E2253"/>
    <w:rsid w:val="0055025C"/>
    <w:rsid w:val="005A3736"/>
    <w:rsid w:val="00643385"/>
    <w:rsid w:val="006A151F"/>
    <w:rsid w:val="006C0A5D"/>
    <w:rsid w:val="00793460"/>
    <w:rsid w:val="007B5056"/>
    <w:rsid w:val="007F2231"/>
    <w:rsid w:val="00817C70"/>
    <w:rsid w:val="008363BF"/>
    <w:rsid w:val="0088195D"/>
    <w:rsid w:val="00A22C8A"/>
    <w:rsid w:val="00B16E7F"/>
    <w:rsid w:val="00B67133"/>
    <w:rsid w:val="00C21F45"/>
    <w:rsid w:val="00C56C58"/>
    <w:rsid w:val="00CD2366"/>
    <w:rsid w:val="00CD670F"/>
    <w:rsid w:val="00DE0090"/>
    <w:rsid w:val="00EB1E55"/>
    <w:rsid w:val="00FA63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4F6D"/>
  <w15:chartTrackingRefBased/>
  <w15:docId w15:val="{F22FA2A4-4EE0-4F6A-B67E-5A7C9F1E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643385"/>
    <w:pPr>
      <w:widowControl w:val="0"/>
      <w:spacing w:before="240" w:after="240" w:line="240" w:lineRule="auto"/>
      <w:ind w:left="238"/>
    </w:pPr>
    <w:rPr>
      <w:rFonts w:eastAsia="Microsoft Sans Serif" w:cs="Microsoft Sans Serif"/>
      <w:smallCaps/>
      <w:color w:val="000000"/>
      <w:kern w:val="0"/>
      <w:szCs w:val="24"/>
      <w:lang w:eastAsia="de-DE"/>
    </w:rPr>
  </w:style>
  <w:style w:type="paragraph" w:styleId="ListParagraph">
    <w:name w:val="List Paragraph"/>
    <w:basedOn w:val="Normal"/>
    <w:uiPriority w:val="34"/>
    <w:qFormat/>
    <w:rsid w:val="00A22C8A"/>
    <w:pPr>
      <w:ind w:left="720"/>
      <w:contextualSpacing/>
    </w:pPr>
  </w:style>
  <w:style w:type="numbering" w:customStyle="1" w:styleId="Style1">
    <w:name w:val="Style1"/>
    <w:uiPriority w:val="99"/>
    <w:rsid w:val="00817C70"/>
    <w:pPr>
      <w:numPr>
        <w:numId w:val="8"/>
      </w:numPr>
    </w:pPr>
  </w:style>
  <w:style w:type="numbering" w:customStyle="1" w:styleId="Style2">
    <w:name w:val="Style2"/>
    <w:uiPriority w:val="99"/>
    <w:rsid w:val="008363B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2757</Words>
  <Characters>20436</Characters>
  <Application>Microsoft Office Word</Application>
  <DocSecurity>0</DocSecurity>
  <Lines>400</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Stavroulaki</dc:creator>
  <cp:keywords>class='Internal'</cp:keywords>
  <dc:description/>
  <cp:lastModifiedBy>Ragnhild Efraimsson</cp:lastModifiedBy>
  <cp:revision>2</cp:revision>
  <dcterms:created xsi:type="dcterms:W3CDTF">2024-03-13T12:10:00Z</dcterms:created>
  <dcterms:modified xsi:type="dcterms:W3CDTF">2024-03-13T12:10:00Z</dcterms:modified>
</cp:coreProperties>
</file>