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BEĻĢIJAS KARALISTE</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SABIEDRĪBAS VESELĪBAS, PĀRTIKAS APRITES DROŠĪBAS UN VIDES FEDERĀLAIS VALSTS DIENESTS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Karaļa Dekrēts, ar ko groza karaļa 2016. gada 28. oktobra Dekrētu par elektronisko cigarešu ražošanu un laišanu tirgū</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Beļģijas karalis FILIPS,</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ar sveicieniem visiem klātesošajiem un tiem, kas pievienosies,</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ņemot vērā 1977. gada 24. janvāra Likuma par patērētāju veselības aizsardzību attiecībā uz pārtikas produktiem un citiem produktiem 6. panta 1. punkta a) apakšpunktu, kas aizstāts ar 1989. gada 22. marta likumu, un 10. panta 1. punktu, kas aizstāts ar 1994. gada 9. februāra likumu,</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ņemot vērā</w:t>
            </w:r>
            <w:r>
              <w:rPr>
                <w:rFonts w:asciiTheme="minorHAnsi" w:hAnsiTheme="minorHAnsi"/>
                <w:b/>
                <w:color w:val="000000"/>
                <w:sz w:val="22"/>
              </w:rPr>
              <w:t xml:space="preserve"> </w:t>
            </w:r>
            <w:r>
              <w:rPr>
                <w:rFonts w:asciiTheme="minorHAnsi" w:hAnsiTheme="minorHAnsi"/>
                <w:color w:val="000000"/>
                <w:sz w:val="22"/>
              </w:rPr>
              <w:t>karaļa 2016. gada 28. oktobra Dekrētu par elektronisko cigarešu ražošanu un laišanu tirgū, kas grozīts ar 2017. gada 17. maija likumu,</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 xml:space="preserve">ņemot vērā paziņojumu, kas Eiropas Komisijai nosūtīts </w:t>
            </w:r>
            <w:r>
              <w:rPr>
                <w:rFonts w:asciiTheme="minorHAnsi" w:hAnsiTheme="minorHAnsi"/>
                <w:color w:val="000000"/>
                <w:sz w:val="22"/>
                <w:highlight w:val="yellow"/>
              </w:rPr>
              <w:t>[datums]</w:t>
            </w:r>
            <w:r>
              <w:rPr>
                <w:rFonts w:asciiTheme="minorHAnsi" w:hAnsiTheme="minorHAnsi"/>
                <w:sz w:val="22"/>
              </w:rPr>
              <w:t xml:space="preserve"> </w:t>
            </w:r>
            <w:r>
              <w:rPr>
                <w:rFonts w:asciiTheme="minorHAnsi" w:hAnsiTheme="minorHAnsi"/>
                <w:color w:val="000000"/>
                <w:sz w:val="22"/>
              </w:rPr>
              <w:t>saskaņā ar 5. panta 1. punktu Eiropas Parlamenta un Padomes 2015. gada 9. septembra Direktīvā (ES) 2015/1535, ar ko nosaka informācijas sniegšanas kārtību tehnisko noteikumu un Informācijas sabiedrības pakalpojumu noteikumu jomā,</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ņemot vērā Eiropas Komisijas [datums] paziņojumu, kas sniegts saskaņā ar 24. panta 3. punktu Eiropas Parlamenta un Padomes 2014. gada 3. aprīļa Direktīvā 2014/40/ES par dalībvalstu normatīvo un administratīvo aktu tuvināšanu attiecībā uz tabakas un saistīto izstrādājumu ražošanu, noformēšanu un pārdošanu un ar ko atceļ Direktīvu 2001/37/EK,</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ņemot vērā Finanšu inspekcijas atzinumu, ko tā sniegusi </w:t>
            </w:r>
            <w:r>
              <w:rPr>
                <w:rFonts w:asciiTheme="minorHAnsi" w:hAnsiTheme="minorHAnsi"/>
                <w:sz w:val="22"/>
                <w:highlight w:val="yellow"/>
              </w:rPr>
              <w:t>[datums]</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ņemot vērā vienošanos, ko panācis valsts sekretārs budžeta jautājumos un kas izdota </w:t>
            </w:r>
            <w:r>
              <w:rPr>
                <w:rFonts w:asciiTheme="minorHAnsi" w:hAnsiTheme="minorHAnsi"/>
                <w:sz w:val="22"/>
                <w:highlight w:val="yellow"/>
              </w:rPr>
              <w:t>[datums</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ņemot vērā Valsts padomes atzinumu Nr. 72.095/1/V, kas izdots </w:t>
            </w:r>
            <w:r>
              <w:rPr>
                <w:rFonts w:asciiTheme="minorHAnsi" w:hAnsiTheme="minorHAnsi"/>
                <w:sz w:val="22"/>
                <w:highlight w:val="yellow"/>
              </w:rPr>
              <w:t>[datums]</w:t>
            </w:r>
            <w:r>
              <w:rPr>
                <w:rFonts w:asciiTheme="minorHAnsi" w:hAnsiTheme="minorHAnsi"/>
                <w:sz w:val="22"/>
              </w:rPr>
              <w:t>, saskaņā ar 1973. gada 12. janvārī saskaņotā Valsts padomes likuma 84. panta 1. punkta 1) apakšpunkta 2. daļu,</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tā kā vienreizlietojamo elektronisko cigarešu piedāvājums Beļģijas un Eiropas tirgos ir strauji audzis,</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tā kā vienreizlietojamās elektroniskās cigaretes netiek tirgotas un reklamētas kā līdzeklis smēķēšanas atmešanai un tās netiek iekļautas Beļģijas politiskajā plānā par smēķēšanas paraduma izskaušanu,</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tā kā vienreizlietojamās elektroniskās cigaretes ne tikai apdraud sabiedrības veselību, bet arī rada ievērojamu slogu videi,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tā kā šie izstrādājumi ir populāri tādu jauniešu vidū, kuri nevēlas atmest smēķēšanu, un tie lielākoties ir šo izstrādājumu reklāmu mērķauditorija,</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tā kā attiecībā uz vienreizlietojamām elektroniskajām cigaretēm šajā ziņā ir konstatēts proporcionāli lielāks skaits noteikumu pārkāpumu,</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pēc sabiedrības veselības ministra priekšlikuma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IZDOD ŠĀDU DEKRĒTU.</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1. pants</w:t>
            </w:r>
            <w:r>
              <w:rPr>
                <w:rFonts w:asciiTheme="minorHAnsi" w:hAnsiTheme="minorHAnsi"/>
              </w:rPr>
              <w:t xml:space="preserve"> </w:t>
            </w:r>
            <w:r>
              <w:rPr>
                <w:rFonts w:asciiTheme="minorHAnsi" w:hAnsiTheme="minorHAnsi"/>
                <w:sz w:val="22"/>
              </w:rPr>
              <w:t>Karaļa 2016. gada 28. oktobra Dekrēta par elektronisko cigarešu ražošanu un laišanu tirgū 4. pantu groza šādi:</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minētā panta 1. punktā svītro 2) apakšpunkta noteikumu;</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iekļauj 1/1. punktu, ko izsaka šādi: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“Ir aizliegts laist tirgū elektroniskās cigaretes kā nedalāmu vienreizlietojamu izstrādājumu.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Nedalāms vienreizlietojams izstrādājums ir izstrādājums, kas sastāv tikai no vienas daļas un pēc lietošanas tiek izmests.”</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2. pants </w:t>
            </w:r>
            <w:r>
              <w:rPr>
                <w:rFonts w:asciiTheme="minorHAnsi" w:hAnsiTheme="minorHAnsi"/>
                <w:sz w:val="22"/>
              </w:rPr>
              <w:t>Šis dekrēts stājas spēkā trīs mēnešus pēc tā publicēšanas Beļģijas Oficiālajā vēstnesī [</w:t>
            </w:r>
            <w:r>
              <w:rPr>
                <w:rFonts w:asciiTheme="minorHAnsi" w:hAnsiTheme="minorHAnsi"/>
                <w:i/>
                <w:iCs/>
                <w:sz w:val="22"/>
              </w:rPr>
              <w:t>Belgisch Staatsblad</w:t>
            </w:r>
            <w:r>
              <w:rPr>
                <w:rFonts w:asciiTheme="minorHAnsi" w:hAnsiTheme="minorHAnsi"/>
                <w:sz w:val="22"/>
              </w:rPr>
              <w:t xml:space="preserve"> (Beļģijas Oficiālais Vēstnesis)], izņemot attiecībā uz mazumtirgotājiem, kuriem šis dekrēts stājas spēkā sešus mēnešus pēc tā publicēšanas </w:t>
            </w:r>
            <w:r>
              <w:rPr>
                <w:rFonts w:asciiTheme="minorHAnsi" w:hAnsiTheme="minorHAnsi"/>
                <w:i/>
                <w:iCs/>
                <w:sz w:val="22"/>
              </w:rPr>
              <w:t>Belgisch Staatsblad</w:t>
            </w:r>
            <w:r>
              <w:rPr>
                <w:rFonts w:asciiTheme="minorHAnsi" w:hAnsiTheme="minorHAnsi"/>
                <w:sz w:val="22"/>
              </w:rPr>
              <w:t>.</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Kopš šā dekrēta publicēšanas dienas tiks pārtrauktas vēl nepabeigtās paziņošanas procedūras, kas attiecas uz nedalāmām vienreizlietojamām elektroniskajām cigaretēm.</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Tiem ražotājiem vai importētājiem, kuri jau iesnieguši paziņojuma dokumentāciju par savu izstrādājumu, bet publicēšanas brīdī nav vēl apmaksājuši rēķinu, maksa vairs nav spēkā</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3. pants </w:t>
            </w:r>
            <w:r>
              <w:rPr>
                <w:rFonts w:asciiTheme="minorHAnsi" w:hAnsiTheme="minorHAnsi"/>
                <w:sz w:val="22"/>
              </w:rPr>
              <w:t>Par šā dekrēta īstenošanu atbild sabiedrības veselības ministrs.</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Izdevis: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karaļa vārdā —</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sabiedrības veselības ministrs</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i/>
                <w:iCs/>
                <w:sz w:val="22"/>
              </w:rPr>
              <w:t>Frank VANDENBROUCKE</w:t>
            </w:r>
          </w:p>
        </w:tc>
      </w:tr>
    </w:tbl>
    <w:p w14:paraId="0559B430" w14:textId="77777777" w:rsidR="00715252" w:rsidRPr="006A01C1" w:rsidRDefault="002151FC">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2151FC"/>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lv-LV"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lv-LV"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2022-12-19T11:31:00Z</dcterms:modified>
</cp:coreProperties>
</file>