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66593" w14:textId="77777777" w:rsidR="006749F3" w:rsidRDefault="00B36A74">
      <w:pPr>
        <w:rPr>
          <w:b/>
          <w:bCs/>
        </w:rPr>
      </w:pPr>
      <w:r>
        <w:rPr>
          <w:b/>
        </w:rPr>
        <w:t>Orden, de 5 de abril de 2024, sobre los métodos de visualización, la señalización y los parámetros generales de cálculo del índice de durabilidad de los aparatos eléctricos y electrónicos</w:t>
      </w:r>
    </w:p>
    <w:p w14:paraId="7AA0AE87" w14:textId="77777777" w:rsidR="003303DB" w:rsidRDefault="00B36A74">
      <w:r>
        <w:t>NOR: TRED2335002A</w:t>
      </w:r>
    </w:p>
    <w:p w14:paraId="797E6771" w14:textId="10B2AF21" w:rsidR="003303DB" w:rsidRDefault="00B36A74">
      <w:r>
        <w:t xml:space="preserve">ELI: </w:t>
      </w:r>
      <w:hyperlink r:id="rId5" w:history="1">
        <w:r>
          <w:rPr>
            <w:rStyle w:val="Hyperlink"/>
          </w:rPr>
          <w:t>https://www.legifrance.gouv.fr/eli/arrete/2024/4/5/TRED2335002A/jo/texte</w:t>
        </w:r>
      </w:hyperlink>
    </w:p>
    <w:p w14:paraId="36ABF517" w14:textId="77777777" w:rsidR="003303DB" w:rsidRDefault="00B36A74">
      <w:r>
        <w:t>Boletín Oficial de la República Francesa n.º 0082 de 7 de abril de 2024</w:t>
      </w:r>
    </w:p>
    <w:p w14:paraId="3BD3AB45" w14:textId="6F1FEBF4" w:rsidR="006749F3" w:rsidRDefault="00B36A74">
      <w:r>
        <w:t>Texto n.º 33</w:t>
      </w:r>
    </w:p>
    <w:p w14:paraId="425E3B00" w14:textId="77777777" w:rsidR="006749F3" w:rsidRDefault="00B36A74">
      <w:pPr>
        <w:numPr>
          <w:ilvl w:val="0"/>
          <w:numId w:val="1"/>
        </w:numPr>
      </w:pPr>
      <w:r>
        <w:t>Anexo</w:t>
      </w:r>
    </w:p>
    <w:p w14:paraId="340A4D09" w14:textId="77777777" w:rsidR="006749F3" w:rsidRDefault="00B36A74">
      <w:pPr>
        <w:numPr>
          <w:ilvl w:val="0"/>
          <w:numId w:val="1"/>
        </w:numPr>
      </w:pPr>
      <w:r>
        <w:t>Anexo</w:t>
      </w:r>
    </w:p>
    <w:p w14:paraId="0A3A2A8A" w14:textId="77777777" w:rsidR="006749F3" w:rsidRDefault="00B36A74">
      <w:pPr>
        <w:numPr>
          <w:ilvl w:val="0"/>
          <w:numId w:val="1"/>
        </w:numPr>
      </w:pPr>
      <w:r>
        <w:t>Anexo</w:t>
      </w:r>
    </w:p>
    <w:p w14:paraId="747EA28F" w14:textId="77777777" w:rsidR="006749F3" w:rsidRDefault="00B36A74">
      <w:pPr>
        <w:numPr>
          <w:ilvl w:val="0"/>
          <w:numId w:val="1"/>
        </w:numPr>
      </w:pPr>
      <w:r>
        <w:t>Anexo</w:t>
      </w:r>
    </w:p>
    <w:p w14:paraId="7AAF4C9A" w14:textId="77777777" w:rsidR="003303DB" w:rsidRDefault="00B36A74">
      <w:r>
        <w:t>Personas a las que afecta: pro</w:t>
      </w:r>
      <w:r>
        <w:t xml:space="preserve">ductores, importadores, distribuidores u otras personas que comercializan aparatos eléctricos y electrónicos y vendedores de estos aparatos, así como aquellos que usan un sitio web, una plataforma o cualquier otro canal de distribución en línea como parte </w:t>
      </w:r>
      <w:r>
        <w:t xml:space="preserve">de su actividad comercial en Francia. </w:t>
      </w:r>
    </w:p>
    <w:p w14:paraId="489EBC4F" w14:textId="77777777" w:rsidR="003303DB" w:rsidRDefault="00B36A74">
      <w:r>
        <w:t xml:space="preserve">Objeto: métodos de visualización, señalización y parámetros generales de cálculo del índice de durabilidad. Entrada en vigor: el texto entrará en vigor el día siguiente al de su publicación. </w:t>
      </w:r>
    </w:p>
    <w:p w14:paraId="5EA26121" w14:textId="77777777" w:rsidR="003303DB" w:rsidRDefault="00B36A74">
      <w:r>
        <w:t>Nota explicativa: la Orde</w:t>
      </w:r>
      <w:r>
        <w:t xml:space="preserve">n establece los métodos de visualización, la señalización y los parámetros generales de cálculo del índice de durabilidad. </w:t>
      </w:r>
    </w:p>
    <w:p w14:paraId="392F2B28" w14:textId="160BD2CB" w:rsidR="006749F3" w:rsidRDefault="00B36A74">
      <w:r>
        <w:t xml:space="preserve">Referencias: la Orden podrá consultarse en el sitio web de </w:t>
      </w:r>
      <w:proofErr w:type="spellStart"/>
      <w:r>
        <w:t>Légifrance</w:t>
      </w:r>
      <w:proofErr w:type="spellEnd"/>
      <w:r>
        <w:t xml:space="preserve"> (http://www.legifrance.gouv.fr). </w:t>
      </w:r>
    </w:p>
    <w:p w14:paraId="0B074963" w14:textId="77777777" w:rsidR="003303DB" w:rsidRDefault="00B36A74">
      <w:r>
        <w:t xml:space="preserve">El </w:t>
      </w:r>
      <w:proofErr w:type="gramStart"/>
      <w:r>
        <w:t>Ministro</w:t>
      </w:r>
      <w:proofErr w:type="gramEnd"/>
      <w:r>
        <w:t xml:space="preserve"> de Economía, Hac</w:t>
      </w:r>
      <w:r>
        <w:t>ienda y Soberanía Industrial y Digital y el Ministro de Transición Ecológica y Cohesión Territorial,</w:t>
      </w:r>
    </w:p>
    <w:p w14:paraId="4E9E7263" w14:textId="77777777" w:rsidR="003303DB" w:rsidRDefault="00B36A74">
      <w:r>
        <w:t>Vista la Directiva 2009/125/CE del Parlamento Europeo y del Consejo, de 21 de octubre de 2009, por la que se instaura un marco para el establecimiento de r</w:t>
      </w:r>
      <w:r>
        <w:t>equisitos de diseño ecológico aplicables a los productos relacionados con la energía;</w:t>
      </w:r>
    </w:p>
    <w:p w14:paraId="0650018E" w14:textId="77777777" w:rsidR="003303DB" w:rsidRDefault="00B36A74">
      <w:r>
        <w:t>Visto el Código de Medio Ambiente, en particular el artículo L. 541-9-2;</w:t>
      </w:r>
    </w:p>
    <w:p w14:paraId="0CD4B816" w14:textId="77777777" w:rsidR="003303DB" w:rsidRDefault="00B36A74">
      <w:r>
        <w:t>Visto el Decreto n.º 2024-316, de 5 de abril de 2024, sobre el índice de durabilidad de los apara</w:t>
      </w:r>
      <w:r>
        <w:t>tos eléctricos y electrónicos;</w:t>
      </w:r>
    </w:p>
    <w:p w14:paraId="57657E42" w14:textId="77777777" w:rsidR="003303DB" w:rsidRDefault="00B36A74">
      <w:r>
        <w:t>Vista la notificación enviada a la Comisión Europea el 2 de agosto de 2023;</w:t>
      </w:r>
    </w:p>
    <w:p w14:paraId="1BB288C8" w14:textId="77777777" w:rsidR="003303DB" w:rsidRDefault="00B36A74">
      <w:r>
        <w:t xml:space="preserve">Vistas las observaciones formuladas durante la consulta pública realizada entre el 5 de septiembre y el 13 de octubre de 2023, de conformidad con el </w:t>
      </w:r>
      <w:r>
        <w:t>artículo L. 123-19-1 del Código de Medio Ambiente;</w:t>
      </w:r>
    </w:p>
    <w:p w14:paraId="619763E3" w14:textId="6032E61B" w:rsidR="006749F3" w:rsidRDefault="00B36A74">
      <w:r>
        <w:t>Por la presente, ordenan lo siguiente:</w:t>
      </w:r>
    </w:p>
    <w:p w14:paraId="07DFEAD0" w14:textId="77777777" w:rsidR="006749F3" w:rsidRDefault="00B36A74">
      <w:pPr>
        <w:rPr>
          <w:b/>
          <w:bCs/>
        </w:rPr>
      </w:pPr>
      <w:r>
        <w:rPr>
          <w:b/>
        </w:rPr>
        <w:t>Artículo 1</w:t>
      </w:r>
    </w:p>
    <w:p w14:paraId="343FDDE4" w14:textId="2B361482" w:rsidR="006749F3" w:rsidRDefault="00B36A74">
      <w:r>
        <w:t>La presente Orden se aplicará a todos los aparatos sujetos al cálculo y a la visualización del índice de durabilidad de acuerdo con lo dispuesto en los art</w:t>
      </w:r>
      <w:r>
        <w:t>ículos R. 541-215 a R. 541-221 del Código de Medio Ambiente.</w:t>
      </w:r>
    </w:p>
    <w:p w14:paraId="113053BD" w14:textId="77777777" w:rsidR="006749F3" w:rsidRDefault="00B36A74">
      <w:pPr>
        <w:rPr>
          <w:b/>
          <w:bCs/>
        </w:rPr>
      </w:pPr>
      <w:r>
        <w:rPr>
          <w:b/>
        </w:rPr>
        <w:lastRenderedPageBreak/>
        <w:t>Artículo 2.</w:t>
      </w:r>
    </w:p>
    <w:p w14:paraId="0FF8A14E" w14:textId="77777777" w:rsidR="003303DB" w:rsidRDefault="00B36A74">
      <w:r>
        <w:t xml:space="preserve">Para todos los aparatos a que se refiere el artículo 1, el índice de durabilidad se presentará en forma de una puntuación entre 0 y 10, que podrá tener hasta un decimal después de la </w:t>
      </w:r>
      <w:r>
        <w:t>coma.</w:t>
      </w:r>
    </w:p>
    <w:p w14:paraId="0FE4B2D0" w14:textId="77777777" w:rsidR="003303DB" w:rsidRDefault="00B36A74">
      <w:r>
        <w:t>Si el número después del primer decimal es inferior a 5, la puntuación se redondeará al decimal inferior.</w:t>
      </w:r>
    </w:p>
    <w:p w14:paraId="06094052" w14:textId="49886057" w:rsidR="006749F3" w:rsidRDefault="00B36A74">
      <w:r>
        <w:t>Si el número después del primer decimal es mayor o igual a 5, la puntuación se redondeará al decimal superior.</w:t>
      </w:r>
    </w:p>
    <w:p w14:paraId="2BF54848" w14:textId="77777777" w:rsidR="006749F3" w:rsidRDefault="00B36A74">
      <w:pPr>
        <w:rPr>
          <w:b/>
          <w:bCs/>
        </w:rPr>
      </w:pPr>
      <w:r>
        <w:rPr>
          <w:b/>
        </w:rPr>
        <w:t>Artículo 3.</w:t>
      </w:r>
    </w:p>
    <w:p w14:paraId="7BE2B85C" w14:textId="53AC9ACC" w:rsidR="006749F3" w:rsidRDefault="00B36A74">
      <w:r>
        <w:t>En función de la punt</w:t>
      </w:r>
      <w:r>
        <w:t>uación así obtenida, se utilizarán los siguientes códigos de color para la visualización del índice:</w:t>
      </w:r>
    </w:p>
    <w:p w14:paraId="1048F92C" w14:textId="77777777" w:rsidR="003303DB" w:rsidRDefault="00B36A74">
      <w:r>
        <w:t xml:space="preserve">1) </w:t>
      </w:r>
      <w:r>
        <w:t>puntuación superior o igual a 0 e inferior o igual a 1,9: rojo oscuro, referencia Pantone 7427 C;</w:t>
      </w:r>
    </w:p>
    <w:p w14:paraId="2628F4EA" w14:textId="77777777" w:rsidR="003303DB" w:rsidRDefault="00B36A74">
      <w:r>
        <w:t>2) puntuación superior o igual a 2 e inferior o igual a 3,9: rojo, referencia Pantone 186 C;</w:t>
      </w:r>
    </w:p>
    <w:p w14:paraId="53E5B025" w14:textId="77777777" w:rsidR="003303DB" w:rsidRDefault="00B36A74">
      <w:r>
        <w:t>3) puntuación superior o igual a 4 e inferior o igual a 5,9: nara</w:t>
      </w:r>
      <w:r>
        <w:t>nja, referencia Pantone 1585 C;</w:t>
      </w:r>
    </w:p>
    <w:p w14:paraId="0A188AE8" w14:textId="77777777" w:rsidR="003303DB" w:rsidRDefault="00B36A74">
      <w:r>
        <w:t>4) puntuación superior o igual a 6 e inferior o igual a 7,9: amarillo, referencia Pantone 7548 C;</w:t>
      </w:r>
    </w:p>
    <w:p w14:paraId="43C7A931" w14:textId="71E57077" w:rsidR="006749F3" w:rsidRDefault="00B36A74">
      <w:r>
        <w:t>5) puntuación superior o igual a 8 e inferior o igual a 10: verde oscuro, referencia Pantone 347 C.</w:t>
      </w:r>
    </w:p>
    <w:p w14:paraId="5DB29BBC" w14:textId="6A959B8E" w:rsidR="006749F3" w:rsidRDefault="00B36A74">
      <w:r>
        <w:t>La señalización obligatori</w:t>
      </w:r>
      <w:r>
        <w:t>a para la visualización del índice de durabilidad será la representación gráfica consistente en las palabras «índice de durabilidad» y, debajo, el pictograma que indica la puntuación del índice:</w:t>
      </w:r>
    </w:p>
    <w:p w14:paraId="280D5A75" w14:textId="77777777" w:rsidR="006749F3" w:rsidRDefault="006749F3"/>
    <w:p w14:paraId="23540835" w14:textId="3DA814F0" w:rsidR="006749F3" w:rsidRDefault="00B36A74">
      <w:r>
        <w:t>Puede consultarse el texto completo con sus imágenes del ext</w:t>
      </w:r>
      <w:r>
        <w:t>racto del Boletín Oficial electrónico autenticado, accesible en la parte inferior de la página</w:t>
      </w:r>
    </w:p>
    <w:p w14:paraId="6E55C286" w14:textId="77777777" w:rsidR="003303DB" w:rsidRDefault="00B36A74">
      <w:r>
        <w:t>El tamaño de fuente de esta representación gráfica deberá ser al menos igual al tamaño de fuente de los dígitos del precio de venta al consumidor. Cualquier ajus</w:t>
      </w:r>
      <w:r>
        <w:t>te del tamaño de esta señalización deberá hacerse de manera uniforme.</w:t>
      </w:r>
    </w:p>
    <w:p w14:paraId="69CB9A97" w14:textId="2D674884" w:rsidR="006749F3" w:rsidRDefault="00B36A74">
      <w:r>
        <w:t>Cuando el índice se coloque también directamente en cada unidad de modelo o en el embalaje mediante etiquetado o marcado, el tamaño de la representación gráfica deberá ser visible y legi</w:t>
      </w:r>
      <w:r>
        <w:t>ble.</w:t>
      </w:r>
    </w:p>
    <w:p w14:paraId="42F67BAE" w14:textId="77777777" w:rsidR="006749F3" w:rsidRDefault="00B36A74">
      <w:pPr>
        <w:rPr>
          <w:b/>
          <w:bCs/>
        </w:rPr>
      </w:pPr>
      <w:r>
        <w:rPr>
          <w:b/>
        </w:rPr>
        <w:t>Artículo 4.</w:t>
      </w:r>
    </w:p>
    <w:p w14:paraId="04F3A07A" w14:textId="6B146EF6" w:rsidR="006749F3" w:rsidRDefault="00B36A74">
      <w:r>
        <w:t>La comunicación y la puesta a disposición de la tabla en la que se detalla la puntuación del índice de durabilidad de cada aparato se presentará de acuerdo con la tabla que figura a continuación, en un formato numérico no modificable, de 2</w:t>
      </w:r>
      <w:r>
        <w:t>1 × 29,7 cm.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1"/>
        <w:gridCol w:w="1471"/>
        <w:gridCol w:w="1298"/>
        <w:gridCol w:w="1182"/>
        <w:gridCol w:w="1298"/>
        <w:gridCol w:w="1182"/>
        <w:gridCol w:w="1314"/>
      </w:tblGrid>
      <w:tr w:rsidR="006749F3" w14:paraId="761F408F" w14:textId="77777777" w:rsidTr="00A76E4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008C4" w14:textId="09F1BCF2" w:rsidR="006749F3" w:rsidRDefault="00B36A74">
            <w:pPr>
              <w:rPr>
                <w:b/>
                <w:bCs/>
              </w:rPr>
            </w:pPr>
            <w:r>
              <w:rPr>
                <w:b/>
              </w:rPr>
              <w:t>Criterios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D13A2" w14:textId="19EA40D8" w:rsidR="006749F3" w:rsidRDefault="00B36A74">
            <w:pPr>
              <w:rPr>
                <w:b/>
                <w:bCs/>
              </w:rPr>
            </w:pPr>
            <w:r>
              <w:rPr>
                <w:b/>
              </w:rPr>
              <w:t>Subcriterios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26EBD1" w14:textId="38C63A1C" w:rsidR="006749F3" w:rsidRDefault="00B36A74">
            <w:pPr>
              <w:rPr>
                <w:b/>
                <w:bCs/>
              </w:rPr>
            </w:pPr>
            <w:r>
              <w:rPr>
                <w:b/>
              </w:rPr>
              <w:t>Puntuaciones de los subcriterios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19314" w14:textId="02DE994D" w:rsidR="006749F3" w:rsidRDefault="00B36A74">
            <w:pPr>
              <w:rPr>
                <w:b/>
                <w:bCs/>
              </w:rPr>
            </w:pPr>
            <w:r>
              <w:rPr>
                <w:b/>
              </w:rPr>
              <w:t>Coeficientes de los subcriterios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46485" w14:textId="4CE5DE3C" w:rsidR="006749F3" w:rsidRDefault="00B36A74">
            <w:pPr>
              <w:rPr>
                <w:b/>
                <w:bCs/>
              </w:rPr>
            </w:pPr>
            <w:r>
              <w:rPr>
                <w:b/>
              </w:rPr>
              <w:t>Puntuaciones de los criterios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11EB4" w14:textId="298B6FDA" w:rsidR="006749F3" w:rsidRDefault="00B36A74">
            <w:pPr>
              <w:rPr>
                <w:b/>
                <w:bCs/>
              </w:rPr>
            </w:pPr>
            <w:r>
              <w:rPr>
                <w:b/>
              </w:rPr>
              <w:t>Coeficientes de los criterios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3B7CE" w14:textId="682EAA24" w:rsidR="006749F3" w:rsidRDefault="00B36A74">
            <w:pPr>
              <w:rPr>
                <w:b/>
                <w:bCs/>
              </w:rPr>
            </w:pPr>
            <w:proofErr w:type="gramStart"/>
            <w:r>
              <w:rPr>
                <w:b/>
              </w:rPr>
              <w:t>Total</w:t>
            </w:r>
            <w:proofErr w:type="gramEnd"/>
            <w:r>
              <w:rPr>
                <w:b/>
              </w:rPr>
              <w:t xml:space="preserve"> de las puntuaciones de los criterios</w:t>
            </w:r>
          </w:p>
        </w:tc>
      </w:tr>
      <w:tr w:rsidR="006749F3" w14:paraId="3B8FDBDB" w14:textId="77777777" w:rsidTr="00A76E45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FCAF47" w14:textId="61422674" w:rsidR="006749F3" w:rsidRDefault="00B36A74">
            <w:r>
              <w:lastRenderedPageBreak/>
              <w:t xml:space="preserve">A. </w:t>
            </w:r>
            <w:proofErr w:type="spellStart"/>
            <w:r>
              <w:t>Reparabilidad</w:t>
            </w:r>
            <w:proofErr w:type="spellEnd"/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CFE0D" w14:textId="41CA2840" w:rsidR="006749F3" w:rsidRDefault="00B36A74">
            <w:r>
              <w:t>A.1. Documentación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B0898" w14:textId="0738CDC8" w:rsidR="006749F3" w:rsidRDefault="00B36A74">
            <w:r>
              <w:rPr>
                <w:rFonts w:ascii="Arial" w:hAnsi="Arial"/>
              </w:rPr>
              <w:t>▀▀</w:t>
            </w:r>
            <w:r>
              <w:t>/10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5A12F" w14:textId="5AFE52B0" w:rsidR="006749F3" w:rsidRDefault="00B36A74">
            <w:r>
              <w:t>2,5</w:t>
            </w:r>
          </w:p>
        </w:tc>
        <w:tc>
          <w:tcPr>
            <w:tcW w:w="9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56C8D" w14:textId="30D03029" w:rsidR="006749F3" w:rsidRDefault="00B36A74">
            <w:r>
              <w:rPr>
                <w:rFonts w:ascii="Arial" w:hAnsi="Arial"/>
              </w:rPr>
              <w:t>▀▀</w:t>
            </w:r>
            <w:r>
              <w:t>/10</w:t>
            </w:r>
          </w:p>
        </w:tc>
        <w:tc>
          <w:tcPr>
            <w:tcW w:w="11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24D65" w14:textId="3DD458EE" w:rsidR="006749F3" w:rsidRDefault="00B36A74">
            <w:r>
              <w:t>4,5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FCBF2" w14:textId="1664799B" w:rsidR="006749F3" w:rsidRDefault="00B36A74">
            <w:r>
              <w:rPr>
                <w:rFonts w:ascii="Arial" w:hAnsi="Arial"/>
              </w:rPr>
              <w:t>▀▀</w:t>
            </w:r>
            <w:r>
              <w:t>/100</w:t>
            </w:r>
          </w:p>
        </w:tc>
      </w:tr>
      <w:tr w:rsidR="006749F3" w14:paraId="49EAAC07" w14:textId="77777777" w:rsidTr="00A76E45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24258" w14:textId="77777777" w:rsidR="006749F3" w:rsidRDefault="006749F3"/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7DF05" w14:textId="0376FF9D" w:rsidR="006749F3" w:rsidRDefault="00B36A74">
            <w:r>
              <w:t>A.2. Capacidad de desmontaje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38D5E" w14:textId="293B176C" w:rsidR="006749F3" w:rsidRDefault="00B36A74">
            <w:r>
              <w:rPr>
                <w:rFonts w:ascii="Arial" w:hAnsi="Arial"/>
              </w:rPr>
              <w:t>▀▀</w:t>
            </w:r>
            <w:r>
              <w:t>/10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34516" w14:textId="69B71C93" w:rsidR="006749F3" w:rsidRDefault="00B36A74">
            <w:r>
              <w:t>2,5</w:t>
            </w:r>
          </w:p>
        </w:tc>
        <w:tc>
          <w:tcPr>
            <w:tcW w:w="9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E333C" w14:textId="77777777" w:rsidR="006749F3" w:rsidRDefault="006749F3"/>
        </w:tc>
        <w:tc>
          <w:tcPr>
            <w:tcW w:w="11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06142" w14:textId="77777777" w:rsidR="006749F3" w:rsidRDefault="006749F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10005C" w14:textId="77777777" w:rsidR="006749F3" w:rsidRDefault="006749F3"/>
        </w:tc>
      </w:tr>
      <w:tr w:rsidR="006749F3" w14:paraId="661BFFFB" w14:textId="77777777" w:rsidTr="00A76E45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663E1" w14:textId="77777777" w:rsidR="006749F3" w:rsidRDefault="006749F3"/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298B0" w14:textId="2799EC4D" w:rsidR="006749F3" w:rsidRDefault="00B36A74">
            <w:r>
              <w:t>A.3. Disponibilidad de piezas de repuesto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86BA2" w14:textId="570B1A44" w:rsidR="006749F3" w:rsidRDefault="00B36A74">
            <w:r>
              <w:rPr>
                <w:rFonts w:ascii="Arial" w:hAnsi="Arial"/>
              </w:rPr>
              <w:t>▀▀</w:t>
            </w:r>
            <w:r>
              <w:t>/10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5FB92" w14:textId="5FFB89CE" w:rsidR="006749F3" w:rsidRDefault="00B36A74">
            <w:r>
              <w:t>2,5</w:t>
            </w:r>
          </w:p>
        </w:tc>
        <w:tc>
          <w:tcPr>
            <w:tcW w:w="9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0E216" w14:textId="77777777" w:rsidR="006749F3" w:rsidRDefault="006749F3"/>
        </w:tc>
        <w:tc>
          <w:tcPr>
            <w:tcW w:w="11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E3BDB" w14:textId="77777777" w:rsidR="006749F3" w:rsidRDefault="006749F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B46E7" w14:textId="77777777" w:rsidR="006749F3" w:rsidRDefault="006749F3"/>
        </w:tc>
      </w:tr>
      <w:tr w:rsidR="006749F3" w14:paraId="27F5CD99" w14:textId="77777777" w:rsidTr="00A76E45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827F5" w14:textId="77777777" w:rsidR="006749F3" w:rsidRDefault="006749F3"/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1D1CD" w14:textId="443EA9CE" w:rsidR="006749F3" w:rsidRDefault="00B36A74">
            <w:r>
              <w:t>A.4. Precio de las piezas de repuesto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A5940" w14:textId="4A5044D3" w:rsidR="006749F3" w:rsidRDefault="00B36A74">
            <w:r>
              <w:rPr>
                <w:rFonts w:ascii="Arial" w:hAnsi="Arial"/>
              </w:rPr>
              <w:t>▀▀</w:t>
            </w:r>
            <w:r>
              <w:t>/10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EB36F" w14:textId="046D3DCE" w:rsidR="006749F3" w:rsidRDefault="00B36A74">
            <w:r>
              <w:t>2,5</w:t>
            </w:r>
          </w:p>
        </w:tc>
        <w:tc>
          <w:tcPr>
            <w:tcW w:w="9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36723B" w14:textId="77777777" w:rsidR="006749F3" w:rsidRDefault="006749F3"/>
        </w:tc>
        <w:tc>
          <w:tcPr>
            <w:tcW w:w="11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91128" w14:textId="77777777" w:rsidR="006749F3" w:rsidRDefault="006749F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40F8F" w14:textId="77777777" w:rsidR="006749F3" w:rsidRDefault="006749F3"/>
        </w:tc>
      </w:tr>
      <w:tr w:rsidR="006749F3" w14:paraId="2E7EFCCB" w14:textId="77777777" w:rsidTr="00A76E45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D2899" w14:textId="5B176005" w:rsidR="006749F3" w:rsidRDefault="00B36A74">
            <w:r>
              <w:t>B. Fiabilidad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B2A09" w14:textId="63D2243A" w:rsidR="006749F3" w:rsidRDefault="00B36A74">
            <w:r>
              <w:t xml:space="preserve">B.1. </w:t>
            </w:r>
            <w:r>
              <w:t>Resistencia a la tensión o al desgaste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85471" w14:textId="6DE8B192" w:rsidR="006749F3" w:rsidRDefault="00B36A74">
            <w:r>
              <w:rPr>
                <w:rFonts w:ascii="Arial" w:hAnsi="Arial"/>
              </w:rPr>
              <w:t>▀▀</w:t>
            </w:r>
            <w:r>
              <w:t>/10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C3D3B" w14:textId="12F10E8D" w:rsidR="006749F3" w:rsidRDefault="00B36A74">
            <w:r>
              <w:t>5</w:t>
            </w:r>
          </w:p>
        </w:tc>
        <w:tc>
          <w:tcPr>
            <w:tcW w:w="9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5D388" w14:textId="116C0AAC" w:rsidR="006749F3" w:rsidRDefault="00B36A74">
            <w:r>
              <w:rPr>
                <w:rFonts w:ascii="Arial" w:hAnsi="Arial"/>
              </w:rPr>
              <w:t>▀▀</w:t>
            </w:r>
            <w:r>
              <w:t>/10</w:t>
            </w:r>
          </w:p>
        </w:tc>
        <w:tc>
          <w:tcPr>
            <w:tcW w:w="11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0CCBD" w14:textId="78E21F1B" w:rsidR="006749F3" w:rsidRDefault="00B36A74">
            <w:r>
              <w:t>4,5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B61AD" w14:textId="77777777" w:rsidR="006749F3" w:rsidRDefault="006749F3"/>
        </w:tc>
      </w:tr>
      <w:tr w:rsidR="006749F3" w14:paraId="2DD600B7" w14:textId="77777777" w:rsidTr="00A76E45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4D482" w14:textId="77777777" w:rsidR="006749F3" w:rsidRDefault="006749F3"/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9541F" w14:textId="0FC4BEFB" w:rsidR="006749F3" w:rsidRDefault="00B36A74">
            <w:r>
              <w:t>B.2. Mantenimiento y cuidado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2CFB63" w14:textId="2ACB74F0" w:rsidR="006749F3" w:rsidRDefault="00B36A74">
            <w:r>
              <w:rPr>
                <w:rFonts w:ascii="Arial" w:hAnsi="Arial"/>
              </w:rPr>
              <w:t>▀▀</w:t>
            </w:r>
            <w:r>
              <w:t>/10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4BB71" w14:textId="5A51DBD9" w:rsidR="006749F3" w:rsidRDefault="00B36A74">
            <w:r>
              <w:t>4</w:t>
            </w:r>
          </w:p>
        </w:tc>
        <w:tc>
          <w:tcPr>
            <w:tcW w:w="9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7938C" w14:textId="77777777" w:rsidR="006749F3" w:rsidRDefault="006749F3"/>
        </w:tc>
        <w:tc>
          <w:tcPr>
            <w:tcW w:w="11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45639" w14:textId="77777777" w:rsidR="006749F3" w:rsidRDefault="006749F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CA5EA" w14:textId="77777777" w:rsidR="006749F3" w:rsidRDefault="006749F3"/>
        </w:tc>
      </w:tr>
      <w:tr w:rsidR="006749F3" w14:paraId="0613715B" w14:textId="77777777" w:rsidTr="00A76E45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E625F4" w14:textId="77777777" w:rsidR="006749F3" w:rsidRDefault="006749F3"/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AC154" w14:textId="09DF6AF8" w:rsidR="006749F3" w:rsidRDefault="00B36A74">
            <w:r>
              <w:t>B.3. Garantía de durabilidad y procesos de calidad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E79C7D" w14:textId="15D0389C" w:rsidR="006749F3" w:rsidRDefault="00B36A74">
            <w:r>
              <w:rPr>
                <w:rFonts w:ascii="Arial" w:hAnsi="Arial"/>
              </w:rPr>
              <w:t>▀▀</w:t>
            </w:r>
            <w:r>
              <w:t>/10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B539C" w14:textId="70187E6D" w:rsidR="006749F3" w:rsidRDefault="00B36A74">
            <w:r>
              <w:t>1</w:t>
            </w:r>
          </w:p>
        </w:tc>
        <w:tc>
          <w:tcPr>
            <w:tcW w:w="9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3463E" w14:textId="77777777" w:rsidR="006749F3" w:rsidRDefault="006749F3"/>
        </w:tc>
        <w:tc>
          <w:tcPr>
            <w:tcW w:w="11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A5F56" w14:textId="77777777" w:rsidR="006749F3" w:rsidRDefault="006749F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84388" w14:textId="77777777" w:rsidR="006749F3" w:rsidRDefault="006749F3"/>
        </w:tc>
      </w:tr>
      <w:tr w:rsidR="006749F3" w14:paraId="7557D4CC" w14:textId="77777777" w:rsidTr="00A76E45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06555" w14:textId="318ECBA7" w:rsidR="006749F3" w:rsidRDefault="00B36A74">
            <w:r>
              <w:t>C. Mejora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6C4D56" w14:textId="60AEF4F1" w:rsidR="006749F3" w:rsidRDefault="00B36A74">
            <w:r>
              <w:t xml:space="preserve">C.1. Mejora del </w:t>
            </w:r>
            <w:r>
              <w:rPr>
                <w:i/>
                <w:iCs/>
              </w:rPr>
              <w:t>software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DFC5D2" w14:textId="76B71FEB" w:rsidR="006749F3" w:rsidRDefault="00B36A74">
            <w:r>
              <w:rPr>
                <w:rFonts w:ascii="Arial" w:hAnsi="Arial"/>
              </w:rPr>
              <w:t>▀▀</w:t>
            </w:r>
            <w:r>
              <w:t>/10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4BA24" w14:textId="6A50722E" w:rsidR="006749F3" w:rsidRDefault="00B36A74">
            <w:r>
              <w:t>7,5</w:t>
            </w:r>
          </w:p>
        </w:tc>
        <w:tc>
          <w:tcPr>
            <w:tcW w:w="9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5E167" w14:textId="2B3939A3" w:rsidR="006749F3" w:rsidRDefault="00B36A74">
            <w:r>
              <w:rPr>
                <w:rFonts w:ascii="Arial" w:hAnsi="Arial"/>
              </w:rPr>
              <w:t>▀▀</w:t>
            </w:r>
            <w:r>
              <w:t>/10</w:t>
            </w:r>
          </w:p>
        </w:tc>
        <w:tc>
          <w:tcPr>
            <w:tcW w:w="11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4FC97" w14:textId="4D64DD68" w:rsidR="006749F3" w:rsidRDefault="00B36A74">
            <w: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B1454" w14:textId="77777777" w:rsidR="006749F3" w:rsidRDefault="006749F3"/>
        </w:tc>
      </w:tr>
      <w:tr w:rsidR="006749F3" w14:paraId="23386845" w14:textId="77777777" w:rsidTr="00A76E45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B80BB" w14:textId="77777777" w:rsidR="006749F3" w:rsidRDefault="006749F3"/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6720F" w14:textId="4E279C96" w:rsidR="006749F3" w:rsidRDefault="00B36A74">
            <w:r>
              <w:t xml:space="preserve">C.2. </w:t>
            </w:r>
            <w:r>
              <w:t>Mejora de la funcionalidad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2610C" w14:textId="32F7A236" w:rsidR="006749F3" w:rsidRDefault="00B36A74">
            <w:r>
              <w:rPr>
                <w:rFonts w:ascii="Arial" w:hAnsi="Arial"/>
              </w:rPr>
              <w:t>▀▀</w:t>
            </w:r>
            <w:r>
              <w:t>/10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1DAA9" w14:textId="6116B13B" w:rsidR="006749F3" w:rsidRDefault="00B36A74">
            <w:r>
              <w:t>2,5</w:t>
            </w:r>
          </w:p>
        </w:tc>
        <w:tc>
          <w:tcPr>
            <w:tcW w:w="9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E3BF2" w14:textId="77777777" w:rsidR="006749F3" w:rsidRDefault="006749F3"/>
        </w:tc>
        <w:tc>
          <w:tcPr>
            <w:tcW w:w="11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E6F61" w14:textId="77777777" w:rsidR="006749F3" w:rsidRDefault="006749F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3CC7C" w14:textId="77777777" w:rsidR="006749F3" w:rsidRDefault="006749F3"/>
        </w:tc>
      </w:tr>
      <w:tr w:rsidR="006749F3" w14:paraId="40FA5A8C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4F3E3" w14:textId="77777777" w:rsidR="006749F3" w:rsidRDefault="006749F3"/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D169E" w14:textId="35F5E702" w:rsidR="006749F3" w:rsidRDefault="00B36A74">
            <w:r>
              <w:t>Puntuación del índice de durabilidad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98C5B" w14:textId="3E9A0671" w:rsidR="006749F3" w:rsidRDefault="00B36A74">
            <w:r>
              <w:rPr>
                <w:rFonts w:ascii="Arial" w:hAnsi="Arial"/>
              </w:rPr>
              <w:t>▀▀</w:t>
            </w:r>
            <w:r>
              <w:t>/10</w:t>
            </w:r>
          </w:p>
        </w:tc>
      </w:tr>
    </w:tbl>
    <w:p w14:paraId="7F96C310" w14:textId="77777777" w:rsidR="00A76E45" w:rsidRDefault="00A76E45"/>
    <w:p w14:paraId="5F707E61" w14:textId="21060912" w:rsidR="006749F3" w:rsidRDefault="00B36A74">
      <w:r>
        <w:t>Para las categorías de aparatos que no tengan en cuenta la familia de criterios de mejora, la comunicación y la puesta a disposición de la tabla en la que se detalla la puntuación del índice de durabilidad de cada aparato se presentará de acuerdo con la ta</w:t>
      </w:r>
      <w:r>
        <w:t>bla que figura a continuación, en un formato numérico no modificable, de 21 × 29,7 cm.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1"/>
        <w:gridCol w:w="1471"/>
        <w:gridCol w:w="1298"/>
        <w:gridCol w:w="1182"/>
        <w:gridCol w:w="1298"/>
        <w:gridCol w:w="1182"/>
        <w:gridCol w:w="1314"/>
      </w:tblGrid>
      <w:tr w:rsidR="006749F3" w14:paraId="67366540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D410D" w14:textId="55C6409C" w:rsidR="006749F3" w:rsidRDefault="00B36A74">
            <w:pPr>
              <w:rPr>
                <w:b/>
                <w:bCs/>
              </w:rPr>
            </w:pPr>
            <w:r>
              <w:rPr>
                <w:b/>
              </w:rPr>
              <w:t>Criterios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58C8F" w14:textId="31A98DFE" w:rsidR="006749F3" w:rsidRDefault="00B36A74">
            <w:pPr>
              <w:rPr>
                <w:b/>
                <w:bCs/>
              </w:rPr>
            </w:pPr>
            <w:r>
              <w:rPr>
                <w:b/>
              </w:rPr>
              <w:t>Subcriterios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0DEEBE" w14:textId="6999004D" w:rsidR="006749F3" w:rsidRDefault="00B36A74">
            <w:pPr>
              <w:rPr>
                <w:b/>
                <w:bCs/>
              </w:rPr>
            </w:pPr>
            <w:r>
              <w:rPr>
                <w:b/>
              </w:rPr>
              <w:t>Puntuaciones de los subcriterios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CA99D" w14:textId="2DAD6CE1" w:rsidR="006749F3" w:rsidRDefault="00B36A74">
            <w:pPr>
              <w:rPr>
                <w:b/>
                <w:bCs/>
              </w:rPr>
            </w:pPr>
            <w:r>
              <w:rPr>
                <w:b/>
              </w:rPr>
              <w:t>Coeficientes de los subcriterios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3EDE3" w14:textId="440C9759" w:rsidR="006749F3" w:rsidRDefault="00B36A74">
            <w:pPr>
              <w:rPr>
                <w:b/>
                <w:bCs/>
              </w:rPr>
            </w:pPr>
            <w:r>
              <w:rPr>
                <w:b/>
              </w:rPr>
              <w:t>Puntuaciones de los criterios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9EEFD" w14:textId="5D2087F5" w:rsidR="006749F3" w:rsidRDefault="00B36A74">
            <w:pPr>
              <w:rPr>
                <w:b/>
                <w:bCs/>
              </w:rPr>
            </w:pPr>
            <w:r>
              <w:rPr>
                <w:b/>
              </w:rPr>
              <w:t>Coeficientes de los criterios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22B5C" w14:textId="51523AA7" w:rsidR="006749F3" w:rsidRDefault="00B36A74">
            <w:pPr>
              <w:rPr>
                <w:b/>
                <w:bCs/>
              </w:rPr>
            </w:pPr>
            <w:proofErr w:type="gramStart"/>
            <w:r>
              <w:rPr>
                <w:b/>
              </w:rPr>
              <w:t>Total</w:t>
            </w:r>
            <w:proofErr w:type="gramEnd"/>
            <w:r>
              <w:rPr>
                <w:b/>
              </w:rPr>
              <w:t xml:space="preserve"> de las puntuac</w:t>
            </w:r>
            <w:r>
              <w:rPr>
                <w:b/>
              </w:rPr>
              <w:t>ione</w:t>
            </w:r>
            <w:r>
              <w:rPr>
                <w:b/>
              </w:rPr>
              <w:lastRenderedPageBreak/>
              <w:t>s de los criterios</w:t>
            </w:r>
          </w:p>
        </w:tc>
      </w:tr>
      <w:tr w:rsidR="006749F3" w14:paraId="4CFA45BC" w14:textId="77777777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739C5" w14:textId="51FA8C3D" w:rsidR="006749F3" w:rsidRDefault="00B36A74">
            <w:r>
              <w:lastRenderedPageBreak/>
              <w:t xml:space="preserve">A. </w:t>
            </w:r>
            <w:proofErr w:type="spellStart"/>
            <w:r>
              <w:t>Reparabilidad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CFF529" w14:textId="5AA0F7E7" w:rsidR="006749F3" w:rsidRDefault="00B36A74">
            <w:r>
              <w:t>A.1. Documentación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D0161" w14:textId="6C532D96" w:rsidR="006749F3" w:rsidRDefault="00B36A74">
            <w:r>
              <w:rPr>
                <w:rFonts w:ascii="Arial" w:hAnsi="Arial"/>
              </w:rPr>
              <w:t>▀▀</w:t>
            </w:r>
            <w:r>
              <w:t>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ADE21" w14:textId="4E08B712" w:rsidR="006749F3" w:rsidRDefault="00B36A74">
            <w:r>
              <w:t>2,5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983D13" w14:textId="3F6416D0" w:rsidR="006749F3" w:rsidRDefault="00B36A74">
            <w:r>
              <w:rPr>
                <w:rFonts w:ascii="Arial" w:hAnsi="Arial"/>
              </w:rPr>
              <w:t>▀▀</w:t>
            </w:r>
            <w:r>
              <w:t>/10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6BFEBC" w14:textId="7DCC0B44" w:rsidR="006749F3" w:rsidRDefault="00B36A74">
            <w:r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183D73" w14:textId="17D92A83" w:rsidR="006749F3" w:rsidRDefault="00B36A74">
            <w:r>
              <w:rPr>
                <w:rFonts w:ascii="Arial" w:hAnsi="Arial"/>
              </w:rPr>
              <w:t>▀▀</w:t>
            </w:r>
            <w:r>
              <w:t>/100</w:t>
            </w:r>
          </w:p>
        </w:tc>
      </w:tr>
      <w:tr w:rsidR="006749F3" w14:paraId="6DA8BC95" w14:textId="7777777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218C9" w14:textId="77777777" w:rsidR="006749F3" w:rsidRDefault="006749F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DA88B" w14:textId="0140B258" w:rsidR="006749F3" w:rsidRDefault="00B36A74">
            <w:r>
              <w:t>A.2. Capacidad de desmontaje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7A7F4" w14:textId="2A0689C6" w:rsidR="006749F3" w:rsidRDefault="00B36A74">
            <w:r>
              <w:rPr>
                <w:rFonts w:ascii="Arial" w:hAnsi="Arial"/>
              </w:rPr>
              <w:t>▀▀</w:t>
            </w:r>
            <w:r>
              <w:t>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2EBBF" w14:textId="57E0466C" w:rsidR="006749F3" w:rsidRDefault="00B36A74">
            <w:r>
              <w:t>2,5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AC963" w14:textId="77777777" w:rsidR="006749F3" w:rsidRDefault="006749F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CD45A" w14:textId="77777777" w:rsidR="006749F3" w:rsidRDefault="006749F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B3E0F" w14:textId="77777777" w:rsidR="006749F3" w:rsidRDefault="006749F3"/>
        </w:tc>
      </w:tr>
      <w:tr w:rsidR="006749F3" w14:paraId="2C3C7B39" w14:textId="7777777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798FC" w14:textId="77777777" w:rsidR="006749F3" w:rsidRDefault="006749F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4FB4D" w14:textId="13E2F101" w:rsidR="006749F3" w:rsidRDefault="00B36A74">
            <w:r>
              <w:t>A.3. Disponibilidad de piezas de repuesto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98747" w14:textId="04447BF9" w:rsidR="006749F3" w:rsidRDefault="00B36A74">
            <w:r>
              <w:rPr>
                <w:rFonts w:ascii="Arial" w:hAnsi="Arial"/>
              </w:rPr>
              <w:t>▀▀</w:t>
            </w:r>
            <w:r>
              <w:t>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75B27" w14:textId="5254B34E" w:rsidR="006749F3" w:rsidRDefault="00B36A74">
            <w:r>
              <w:t>2,5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0AF07" w14:textId="77777777" w:rsidR="006749F3" w:rsidRDefault="006749F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C7716F" w14:textId="77777777" w:rsidR="006749F3" w:rsidRDefault="006749F3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767F8" w14:textId="77777777" w:rsidR="006749F3" w:rsidRDefault="006749F3"/>
        </w:tc>
      </w:tr>
      <w:tr w:rsidR="006749F3" w14:paraId="5B406793" w14:textId="7777777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0034A" w14:textId="77777777" w:rsidR="006749F3" w:rsidRDefault="006749F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AEF98" w14:textId="166FABDA" w:rsidR="006749F3" w:rsidRDefault="00B36A74">
            <w:r>
              <w:t xml:space="preserve">A.4. </w:t>
            </w:r>
            <w:r>
              <w:t>Precio de las piezas de repuesto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67F86" w14:textId="55208EFB" w:rsidR="006749F3" w:rsidRDefault="00B36A74">
            <w:r>
              <w:rPr>
                <w:rFonts w:ascii="Arial" w:hAnsi="Arial"/>
              </w:rPr>
              <w:t>▀▀</w:t>
            </w:r>
            <w:r>
              <w:t>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70156" w14:textId="5D1A0348" w:rsidR="006749F3" w:rsidRDefault="00B36A74">
            <w:r>
              <w:t>2,5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BB08ED" w14:textId="77777777" w:rsidR="006749F3" w:rsidRDefault="006749F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226EC" w14:textId="77777777" w:rsidR="006749F3" w:rsidRDefault="006749F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BCF66" w14:textId="77777777" w:rsidR="006749F3" w:rsidRDefault="006749F3"/>
        </w:tc>
      </w:tr>
      <w:tr w:rsidR="006749F3" w14:paraId="724A86A7" w14:textId="77777777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2656B" w14:textId="49FCC1AA" w:rsidR="006749F3" w:rsidRDefault="00B36A74">
            <w:r>
              <w:t>B. Fiabilidad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98CBE" w14:textId="009E6ECE" w:rsidR="006749F3" w:rsidRDefault="00B36A74">
            <w:r>
              <w:t>B.1. Resistencia a la tensión o al desgaste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92AD1" w14:textId="590D725B" w:rsidR="006749F3" w:rsidRDefault="00B36A74">
            <w:r>
              <w:rPr>
                <w:rFonts w:ascii="Arial" w:hAnsi="Arial"/>
              </w:rPr>
              <w:t>▀▀</w:t>
            </w:r>
            <w:r>
              <w:t>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C6CF1" w14:textId="73E8FCA0" w:rsidR="006749F3" w:rsidRDefault="00B36A74">
            <w:r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8C2B4C" w14:textId="4C307D30" w:rsidR="006749F3" w:rsidRDefault="00B36A74">
            <w:r>
              <w:rPr>
                <w:rFonts w:ascii="Arial" w:hAnsi="Arial"/>
              </w:rPr>
              <w:t>▀▀</w:t>
            </w:r>
            <w:r>
              <w:t>/10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65E2F8" w14:textId="7B3F6609" w:rsidR="006749F3" w:rsidRDefault="00B36A74">
            <w:r>
              <w:t>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10E32" w14:textId="77777777" w:rsidR="006749F3" w:rsidRDefault="006749F3"/>
        </w:tc>
      </w:tr>
      <w:tr w:rsidR="006749F3" w14:paraId="437BDED8" w14:textId="7777777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CA37D" w14:textId="77777777" w:rsidR="006749F3" w:rsidRDefault="006749F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8BEC3" w14:textId="4A3A7209" w:rsidR="006749F3" w:rsidRDefault="00B36A74">
            <w:r>
              <w:t>B.2. Mantenimiento y cuidado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B1C34" w14:textId="3F35AC65" w:rsidR="006749F3" w:rsidRDefault="00B36A74">
            <w:r>
              <w:rPr>
                <w:rFonts w:ascii="Arial" w:hAnsi="Arial"/>
              </w:rPr>
              <w:t>▀▀</w:t>
            </w:r>
            <w:r>
              <w:t>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5B6CE" w14:textId="09237277" w:rsidR="006749F3" w:rsidRDefault="00B36A74">
            <w: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2D45A" w14:textId="77777777" w:rsidR="006749F3" w:rsidRDefault="006749F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96087" w14:textId="77777777" w:rsidR="006749F3" w:rsidRDefault="006749F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90119" w14:textId="77777777" w:rsidR="006749F3" w:rsidRDefault="006749F3"/>
        </w:tc>
      </w:tr>
      <w:tr w:rsidR="006749F3" w14:paraId="1AEFC44A" w14:textId="77777777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20D83E" w14:textId="77777777" w:rsidR="006749F3" w:rsidRDefault="006749F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478D9" w14:textId="2FEAF58E" w:rsidR="006749F3" w:rsidRDefault="00B36A74">
            <w:r>
              <w:t xml:space="preserve">B.3. </w:t>
            </w:r>
            <w:r>
              <w:t>Garantía de durabilidad y procesos de calidad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CEAC2" w14:textId="63DB1682" w:rsidR="006749F3" w:rsidRDefault="00B36A74">
            <w:r>
              <w:rPr>
                <w:rFonts w:ascii="Arial" w:hAnsi="Arial"/>
              </w:rPr>
              <w:t>▀▀</w:t>
            </w:r>
            <w:r>
              <w:t>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701B8" w14:textId="66FB75D5" w:rsidR="006749F3" w:rsidRDefault="00B36A74">
            <w: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89E99A" w14:textId="77777777" w:rsidR="006749F3" w:rsidRDefault="006749F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3993A" w14:textId="77777777" w:rsidR="006749F3" w:rsidRDefault="006749F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A2F93" w14:textId="77777777" w:rsidR="006749F3" w:rsidRDefault="006749F3"/>
        </w:tc>
      </w:tr>
      <w:tr w:rsidR="006749F3" w14:paraId="0E281B08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A12F6" w14:textId="77777777" w:rsidR="006749F3" w:rsidRDefault="006749F3"/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65D87" w14:textId="57E448D7" w:rsidR="006749F3" w:rsidRDefault="00B36A74">
            <w:r>
              <w:t>Puntuación del índice de durabilidad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FEEF1D" w14:textId="6BCB3F7D" w:rsidR="006749F3" w:rsidRDefault="00B36A74">
            <w:r>
              <w:rPr>
                <w:rFonts w:ascii="Arial" w:hAnsi="Arial"/>
              </w:rPr>
              <w:t>▀▀</w:t>
            </w:r>
            <w:r>
              <w:t>/10</w:t>
            </w:r>
          </w:p>
        </w:tc>
      </w:tr>
    </w:tbl>
    <w:p w14:paraId="44EF9C68" w14:textId="77777777" w:rsidR="00A76E45" w:rsidRDefault="00A76E45"/>
    <w:p w14:paraId="33A1C02C" w14:textId="581551CA" w:rsidR="006749F3" w:rsidRDefault="00B36A74">
      <w:r>
        <w:t>Los coeficientes y las ponderaciones que se indican en las tablas anteriores para el cálculo del índice de durabilidad se aplicarán a todos los aparatos eléctricos y electrónicos. El método de cálculo detallado aplicable a cada categoría de aparato se espe</w:t>
      </w:r>
      <w:r>
        <w:t>cificará por orden, tal como se menciona en el artículo R. 541-218 del Código de Medio Ambiente.</w:t>
      </w:r>
    </w:p>
    <w:p w14:paraId="5F562FA6" w14:textId="77777777" w:rsidR="006749F3" w:rsidRDefault="00B36A74">
      <w:pPr>
        <w:rPr>
          <w:b/>
          <w:bCs/>
        </w:rPr>
      </w:pPr>
      <w:r>
        <w:rPr>
          <w:b/>
        </w:rPr>
        <w:t>Artículo 5.</w:t>
      </w:r>
    </w:p>
    <w:p w14:paraId="086EE114" w14:textId="37501C72" w:rsidR="006749F3" w:rsidRDefault="00B36A74">
      <w:r>
        <w:t>El método de cálculo detallado específico de cada categoría de aparato se fijará por orden tal como se menciona en el artículo R 541-218 del Código</w:t>
      </w:r>
      <w:r>
        <w:t xml:space="preserve"> de Medio Ambiente, de acuerdo con las definiciones que figuran en los anexos I, II y III.</w:t>
      </w:r>
    </w:p>
    <w:p w14:paraId="20BD73B7" w14:textId="77777777" w:rsidR="006749F3" w:rsidRDefault="00B36A74">
      <w:pPr>
        <w:rPr>
          <w:b/>
          <w:bCs/>
        </w:rPr>
      </w:pPr>
      <w:r>
        <w:rPr>
          <w:b/>
        </w:rPr>
        <w:t>Artículo 6.</w:t>
      </w:r>
    </w:p>
    <w:p w14:paraId="1F0CF6D8" w14:textId="17601304" w:rsidR="006749F3" w:rsidRDefault="00B36A74">
      <w:r>
        <w:t>Las disposiciones de la presente Orden entrarán en vigor el día siguiente al de su publicación.</w:t>
      </w:r>
    </w:p>
    <w:p w14:paraId="4F667B42" w14:textId="77777777" w:rsidR="006749F3" w:rsidRDefault="00B36A74">
      <w:pPr>
        <w:rPr>
          <w:b/>
          <w:bCs/>
        </w:rPr>
      </w:pPr>
      <w:r>
        <w:rPr>
          <w:b/>
        </w:rPr>
        <w:lastRenderedPageBreak/>
        <w:t>Artículo 7.</w:t>
      </w:r>
    </w:p>
    <w:p w14:paraId="2993750F" w14:textId="5BC62C82" w:rsidR="006749F3" w:rsidRDefault="00B36A74">
      <w:r>
        <w:t xml:space="preserve">La presente Orden se publicará en el Boletín </w:t>
      </w:r>
      <w:r>
        <w:t>Oficial de la República Francesa.</w:t>
      </w:r>
    </w:p>
    <w:p w14:paraId="18FE9160" w14:textId="77777777" w:rsidR="006749F3" w:rsidRDefault="00B36A74">
      <w:pPr>
        <w:rPr>
          <w:b/>
          <w:bCs/>
        </w:rPr>
      </w:pPr>
      <w:r>
        <w:rPr>
          <w:b/>
        </w:rPr>
        <w:t>Anexo</w:t>
      </w:r>
    </w:p>
    <w:p w14:paraId="00962C8D" w14:textId="77777777" w:rsidR="00A76E45" w:rsidRDefault="00B36A74">
      <w:r>
        <w:t>ANEXOS</w:t>
      </w:r>
    </w:p>
    <w:p w14:paraId="1C755E40" w14:textId="77777777" w:rsidR="00A76E45" w:rsidRDefault="00B36A74">
      <w:r>
        <w:t>Anexo I</w:t>
      </w:r>
    </w:p>
    <w:p w14:paraId="791BC9F1" w14:textId="24459517" w:rsidR="006749F3" w:rsidRDefault="00B36A74">
      <w:r>
        <w:t>Definiciones aplicables a los anexos</w:t>
      </w:r>
    </w:p>
    <w:p w14:paraId="3A1F19FD" w14:textId="5DAD72A3" w:rsidR="006749F3" w:rsidRDefault="00B36A74">
      <w:r>
        <w:t>1. «Listas de piezas»: se definen dos listas de piezas para cada categoría de aparato:</w:t>
      </w:r>
    </w:p>
    <w:p w14:paraId="396A6B84" w14:textId="77777777" w:rsidR="00A76E45" w:rsidRDefault="00B36A74">
      <w:r>
        <w:t xml:space="preserve">lista 2: lista de tres a cinco piezas de repuesto como máximo (en función de </w:t>
      </w:r>
      <w:r>
        <w:t>la categoría de aparato en cuestión) que se rompen o averían con mayor frecuencia,</w:t>
      </w:r>
    </w:p>
    <w:p w14:paraId="5634C711" w14:textId="60084C77" w:rsidR="006749F3" w:rsidRDefault="00B36A74">
      <w:r>
        <w:t>lista 1: lista de otras diez piezas de repuesto como máximo (en función de la categoría de aparato en cuestión) que deben estar en buenas condiciones para que el aparato fun</w:t>
      </w:r>
      <w:r>
        <w:t>cione.</w:t>
      </w:r>
    </w:p>
    <w:p w14:paraId="159C1D2C" w14:textId="77777777" w:rsidR="00A76E45" w:rsidRDefault="00B36A74">
      <w:r>
        <w:t>Estas listas no cubren necesariamente todas las piezas del aparato.</w:t>
      </w:r>
    </w:p>
    <w:p w14:paraId="3D565F96" w14:textId="77777777" w:rsidR="00A76E45" w:rsidRDefault="00B36A74">
      <w:r>
        <w:t xml:space="preserve">2. «Paso de desmontaje»: un «paso» es una operación que se traduce en el desmontaje de un componente o de una pieza o en un cambio de herramienta. Un componente puede incluir una o </w:t>
      </w:r>
      <w:r>
        <w:t>varias piezas.</w:t>
      </w:r>
    </w:p>
    <w:p w14:paraId="0D07B6E2" w14:textId="77777777" w:rsidR="00A76E45" w:rsidRDefault="00B36A74">
      <w:r>
        <w:t xml:space="preserve">Esta definición general podrá permitir excepciones justificadas por consideraciones prácticas o de seguridad. Estas excepciones se especifican por orden del </w:t>
      </w:r>
      <w:proofErr w:type="gramStart"/>
      <w:r>
        <w:t>Ministro</w:t>
      </w:r>
      <w:proofErr w:type="gramEnd"/>
      <w:r>
        <w:t xml:space="preserve"> de Medio Ambiente y del Ministro de Economía y Hacienda para cada categoría</w:t>
      </w:r>
      <w:r>
        <w:t xml:space="preserve"> de aparato.</w:t>
      </w:r>
    </w:p>
    <w:p w14:paraId="6D61435B" w14:textId="77777777" w:rsidR="00A76E45" w:rsidRDefault="00B36A74">
      <w:r>
        <w:t>Las fijaciones o uniones se definen como técnicas de montaje, fijación o sellado. Los elementos de fijación o conexión no se considerarán piezas.</w:t>
      </w:r>
    </w:p>
    <w:p w14:paraId="5CA41991" w14:textId="77777777" w:rsidR="00A76E45" w:rsidRDefault="00B36A74">
      <w:r>
        <w:t xml:space="preserve">3. </w:t>
      </w:r>
      <w:r>
        <w:t>«Tipos de fijaciones»: una fijación puede caracterizarse por su capacidad o no de ser reutilizable o extraíble.</w:t>
      </w:r>
    </w:p>
    <w:p w14:paraId="4ECFD14E" w14:textId="77777777" w:rsidR="00A76E45" w:rsidRDefault="00B36A74">
      <w:r>
        <w:t>4. «Fijación extraíble y reutilizable»: un sistema de fijaciones originales que pueden extraerse por completo sin causar daños al aparato ni dej</w:t>
      </w:r>
      <w:r>
        <w:t>ar residuos y que pueden reutilizarse.</w:t>
      </w:r>
    </w:p>
    <w:p w14:paraId="4CC0E66B" w14:textId="77777777" w:rsidR="00945D67" w:rsidRDefault="00B36A74">
      <w:r>
        <w:t>5. «Fijación extraíble y no reutilizable»: un sistema de fijaciones originales que pueden extraerse por completo sin causar daños ni dejar residuos, pero que no pueden reutilizarse.</w:t>
      </w:r>
    </w:p>
    <w:p w14:paraId="6FD014CA" w14:textId="77777777" w:rsidR="00945D67" w:rsidRDefault="00B36A74">
      <w:r>
        <w:t>6. «Fijación no extraíble y no reut</w:t>
      </w:r>
      <w:r>
        <w:t>ilizable»: un sistema de fijaciones originales que no pueden extraerse por completo sin causar daños al aparato o dejar residuos y que tampoco pueden reutilizarse.</w:t>
      </w:r>
    </w:p>
    <w:p w14:paraId="71BEA38C" w14:textId="77777777" w:rsidR="00945D67" w:rsidRDefault="00B36A74">
      <w:r>
        <w:t>7. «Tipos de herramientas»: una herramienta puede ser común, específica o propietaria.</w:t>
      </w:r>
    </w:p>
    <w:p w14:paraId="2ADFE86E" w14:textId="77777777" w:rsidR="00945D67" w:rsidRDefault="00B36A74">
      <w:r>
        <w:t>8. «H</w:t>
      </w:r>
      <w:r>
        <w:t>erramienta común»: una herramienta disponible comercialmente de la lista establecida en la norma técnica EN 45554.</w:t>
      </w:r>
    </w:p>
    <w:p w14:paraId="6AD08869" w14:textId="77777777" w:rsidR="00945D67" w:rsidRDefault="00B36A74">
      <w:r>
        <w:t>9. «Herramienta específica»: una herramienta que no está incluida en la lista de herramientas comunes, sin ser una herramienta propietaria.</w:t>
      </w:r>
    </w:p>
    <w:p w14:paraId="3E36756A" w14:textId="77777777" w:rsidR="00945D67" w:rsidRDefault="00B36A74">
      <w:r>
        <w:t>1</w:t>
      </w:r>
      <w:r>
        <w:t>0. «Herramienta propietaria»: una herramienta cuya propiedad intelectual es propiedad del productor o de un actor específico.</w:t>
      </w:r>
    </w:p>
    <w:p w14:paraId="41C5ADF1" w14:textId="015BEA41" w:rsidR="006749F3" w:rsidRDefault="00B36A74">
      <w:r>
        <w:lastRenderedPageBreak/>
        <w:t>11. «Medidor de uso»: un dispositivo que registra de forma acumulativa el uso del aparato en número de unidades. El medidor de uso</w:t>
      </w:r>
      <w:r>
        <w:t xml:space="preserve"> podrá estar directamente a la vista del consumidor cada vez que se inicie el dispositivo o bien puede ser necesaria una operación voluntaria por parte del usuario para conocer el valor que muestra.</w:t>
      </w:r>
    </w:p>
    <w:p w14:paraId="57AEDD6D" w14:textId="77777777" w:rsidR="006749F3" w:rsidRDefault="00B36A74">
      <w:pPr>
        <w:rPr>
          <w:b/>
          <w:bCs/>
        </w:rPr>
      </w:pPr>
      <w:r>
        <w:rPr>
          <w:b/>
        </w:rPr>
        <w:t>Anexo</w:t>
      </w:r>
    </w:p>
    <w:p w14:paraId="1F05E330" w14:textId="77777777" w:rsidR="00945D67" w:rsidRDefault="00B36A74">
      <w:r>
        <w:t xml:space="preserve">Anexo II </w:t>
      </w:r>
      <w:r>
        <w:br/>
      </w:r>
      <w:r>
        <w:br/>
        <w:t xml:space="preserve">Familia de criterios A – </w:t>
      </w:r>
      <w:proofErr w:type="spellStart"/>
      <w:r>
        <w:t>Reparabilidad</w:t>
      </w:r>
      <w:proofErr w:type="spellEnd"/>
    </w:p>
    <w:p w14:paraId="51568988" w14:textId="5C491F53" w:rsidR="00945D67" w:rsidRDefault="00945D67"/>
    <w:p w14:paraId="289328CF" w14:textId="77777777" w:rsidR="00945D67" w:rsidRDefault="00B36A74">
      <w:r>
        <w:t xml:space="preserve">La puntuación de la familia de los criterios relativos a la </w:t>
      </w:r>
      <w:proofErr w:type="spellStart"/>
      <w:r>
        <w:t>reparabilidad</w:t>
      </w:r>
      <w:proofErr w:type="spellEnd"/>
      <w:r>
        <w:t xml:space="preserve"> se determinará de acuerdo con los criterios que se indican a continuación.</w:t>
      </w:r>
    </w:p>
    <w:p w14:paraId="7AFD69F6" w14:textId="5F570622" w:rsidR="00945D67" w:rsidRDefault="00B36A74">
      <w:r>
        <w:t>Las listas de piezas de recambio y los subcriterios se especifican para cada categoría de que se trate.</w:t>
      </w:r>
    </w:p>
    <w:p w14:paraId="20604D66" w14:textId="1684AD6A" w:rsidR="00945D67" w:rsidRDefault="00B36A74">
      <w:r>
        <w:t>Cri</w:t>
      </w:r>
      <w:r>
        <w:t>terio n.º 1. - Documentación:</w:t>
      </w:r>
    </w:p>
    <w:p w14:paraId="61DE2BE0" w14:textId="77777777" w:rsidR="00945D67" w:rsidRDefault="00B36A74">
      <w:r>
        <w:t>Subcriterio 1.1. - Duración de la disponibilidad de la documentación técnica:</w:t>
      </w:r>
    </w:p>
    <w:p w14:paraId="64A9FF46" w14:textId="77777777" w:rsidR="00945D67" w:rsidRDefault="00B36A74">
      <w:r>
        <w:t>Determinado por el compromiso del productor de poner a disposición gratuitamente, en número de años, documentos técnicos a los talleres de reparació</w:t>
      </w:r>
      <w:r>
        <w:t>n autorizados e independientes y a los consumidores.</w:t>
      </w:r>
    </w:p>
    <w:p w14:paraId="3C204ECB" w14:textId="277F95FE" w:rsidR="00945D67" w:rsidRDefault="00B36A74">
      <w:r>
        <w:t>Subcriterio 1.2. - Apoyo al consumidor para el diagnóstico y la reparación:</w:t>
      </w:r>
    </w:p>
    <w:p w14:paraId="21FB9B22" w14:textId="77777777" w:rsidR="00945D67" w:rsidRDefault="00B36A74">
      <w:r>
        <w:t xml:space="preserve">Determinado por el compromiso del productor de poner a disposición gratuitamente documentos específicos para que el consumidor </w:t>
      </w:r>
      <w:r>
        <w:t>pueda reparar el aparato por sí mismo, así como de prestar asistencia a distancia gratuita.</w:t>
      </w:r>
    </w:p>
    <w:p w14:paraId="14B815AD" w14:textId="77777777" w:rsidR="00945D67" w:rsidRDefault="00B36A74">
      <w:r>
        <w:t>Criterio n.º 2. - Desmontaje y acceso, herramientas y fijaciones:</w:t>
      </w:r>
    </w:p>
    <w:p w14:paraId="6F15C6CB" w14:textId="77777777" w:rsidR="00945D67" w:rsidRDefault="00B36A74">
      <w:r>
        <w:t>Subcriterio 2.1. - Facilidad para desmontar las piezas de la lista 2:</w:t>
      </w:r>
    </w:p>
    <w:p w14:paraId="1280A9CE" w14:textId="77777777" w:rsidR="00945D67" w:rsidRDefault="00B36A74">
      <w:r>
        <w:t>Determinado por el número de</w:t>
      </w:r>
      <w:r>
        <w:t xml:space="preserve"> pasos de desmontaje que permitan, para cada pieza de la lista 2, acceder a esa pieza individualmente y separarla del aparato, con vistas a su sustitución. Existe, por tanto, un vínculo entre la puntuación de este subcriterio y la del subcriterio 3.1, en c</w:t>
      </w:r>
      <w:r>
        <w:t>aso de que una parte no pueda desmontarse; una puntuación de cero para uno de estos subcriterios tendrá repercusiones en el otro.</w:t>
      </w:r>
    </w:p>
    <w:p w14:paraId="5A358049" w14:textId="77777777" w:rsidR="00945D67" w:rsidRDefault="00B36A74">
      <w:r>
        <w:t>Subcriterio 2.2. - Herramientas necesarias:</w:t>
      </w:r>
    </w:p>
    <w:p w14:paraId="4EB4F629" w14:textId="77777777" w:rsidR="00945D67" w:rsidRDefault="00B36A74">
      <w:r>
        <w:t>Determinado por el tipo de herramientas necesarias para desmontar cada pieza de la</w:t>
      </w:r>
      <w:r>
        <w:t xml:space="preserve"> lista 2, de acuerdo con la tipología que distingue entre herramientas «comunes», «específicas» o «propietarias».</w:t>
      </w:r>
    </w:p>
    <w:p w14:paraId="5038E0E8" w14:textId="2952207C" w:rsidR="00945D67" w:rsidRDefault="00B36A74">
      <w:r>
        <w:t>Subcriterio 2.3. - Características de las fijaciones:</w:t>
      </w:r>
    </w:p>
    <w:p w14:paraId="7C117B1E" w14:textId="77777777" w:rsidR="00945D67" w:rsidRDefault="00B36A74">
      <w:r>
        <w:t>Determinado, para cada pieza de las listas 1 y 2, por el tipo de fijaciones utilizadas p</w:t>
      </w:r>
      <w:r>
        <w:t>ara su fijación a las demás partes del aparato, con las fijaciones clasificadas como «extraíbles y reutilizables», «extraíbles y no reutilizables» o «no extraíbles y no reutilizables».</w:t>
      </w:r>
    </w:p>
    <w:p w14:paraId="6ECC1950" w14:textId="77777777" w:rsidR="00945D67" w:rsidRDefault="00B36A74">
      <w:r>
        <w:t xml:space="preserve">Criterio n.º 3. - </w:t>
      </w:r>
      <w:r>
        <w:t>Disponibilidad de piezas de repuesto:</w:t>
      </w:r>
    </w:p>
    <w:p w14:paraId="607BD27B" w14:textId="77777777" w:rsidR="00945D67" w:rsidRDefault="00B36A74">
      <w:r>
        <w:lastRenderedPageBreak/>
        <w:t>Subcriterio 3.1. - Período de disponibilidad de las piezas de la lista 2:</w:t>
      </w:r>
    </w:p>
    <w:p w14:paraId="512F072C" w14:textId="77777777" w:rsidR="00945D67" w:rsidRDefault="00B36A74">
      <w:r>
        <w:t>Determinado por el compromiso del productor de poner las piezas de la lista 2 a disposición de los distribuidores de piezas de repuesto, de los talleres de reparación autorizados e independientes y de los consumidores. Se mide a partir de la fecha de comer</w:t>
      </w:r>
      <w:r>
        <w:t>cialización de la última unidad, en número de años.</w:t>
      </w:r>
    </w:p>
    <w:p w14:paraId="612981AD" w14:textId="77777777" w:rsidR="00945D67" w:rsidRDefault="00B36A74">
      <w:r>
        <w:t>Subcriterio 3.2. - Período de disponibilidad de las piezas de la lista 1:</w:t>
      </w:r>
    </w:p>
    <w:p w14:paraId="2FAAB1A9" w14:textId="77777777" w:rsidR="00945D67" w:rsidRDefault="00B36A74">
      <w:r>
        <w:t>Determinado por el compromiso del productor de poner las piezas de la lista 1 a disposición de los distribuidores de piezas de rep</w:t>
      </w:r>
      <w:r>
        <w:t>uesto, de los talleres de reparación autorizados e independientes y de los consumidores. Se mide a partir de la fecha de comercialización de la última unidad, en número de años.</w:t>
      </w:r>
    </w:p>
    <w:p w14:paraId="2D5C0E98" w14:textId="77777777" w:rsidR="00945D67" w:rsidRDefault="00B36A74">
      <w:r>
        <w:t>Subcriterio 3.3. - Tiempo de entrega para las piezas de la lista 2:</w:t>
      </w:r>
    </w:p>
    <w:p w14:paraId="6D348CB9" w14:textId="77777777" w:rsidR="00945D67" w:rsidRDefault="00B36A74">
      <w:r>
        <w:t>Determinad</w:t>
      </w:r>
      <w:r>
        <w:t>o por el compromiso del productor de cumplir un plazo de entrega para el suministro de las piezas de la lista 2 a los distribuidores de piezas de repuesto, a los talleres de reparación autorizados e independientes y a los consumidores. Se mide en número de</w:t>
      </w:r>
      <w:r>
        <w:t xml:space="preserve"> días laborables a partir del día del pedido.</w:t>
      </w:r>
    </w:p>
    <w:p w14:paraId="5B78E684" w14:textId="77777777" w:rsidR="00945D67" w:rsidRDefault="00B36A74">
      <w:r>
        <w:t>Subcriterio 3.4. - Tiempo de entrega para las piezas de la lista 1:</w:t>
      </w:r>
    </w:p>
    <w:p w14:paraId="501A6FF2" w14:textId="77777777" w:rsidR="00945D67" w:rsidRDefault="00B36A74">
      <w:r>
        <w:t>Determinado por el compromiso del productor de cumplir un plazo de entrega para el suministro de las piezas de la lista 1 a los distribuidores</w:t>
      </w:r>
      <w:r>
        <w:t xml:space="preserve"> de piezas de repuesto, a los talleres de reparación autorizados e independientes y a los consumidores. Se mide en número de días laborables a partir del día del pedido.</w:t>
      </w:r>
    </w:p>
    <w:p w14:paraId="558C1AB1" w14:textId="77777777" w:rsidR="00945D67" w:rsidRDefault="00B36A74">
      <w:r>
        <w:t>Criterio n.º 4. - Precio de las piezas de repuesto:</w:t>
      </w:r>
    </w:p>
    <w:p w14:paraId="067E7CE1" w14:textId="77777777" w:rsidR="00945D67" w:rsidRDefault="00B36A74">
      <w:r>
        <w:t xml:space="preserve">Subcriterio 4.1. - Relación entre </w:t>
      </w:r>
      <w:r>
        <w:t>el precio de venta de las piezas por el productor o el importador y el precio de venta del aparato por el productor o el importador:</w:t>
      </w:r>
    </w:p>
    <w:p w14:paraId="543BD5DA" w14:textId="77777777" w:rsidR="00945D67" w:rsidRDefault="00B36A74">
      <w:r>
        <w:t>El criterio se establece calculando la relación entre el «</w:t>
      </w:r>
      <w:proofErr w:type="spellStart"/>
      <w:r>
        <w:t>precio_piezas</w:t>
      </w:r>
      <w:proofErr w:type="spellEnd"/>
      <w:r>
        <w:t>» y el «</w:t>
      </w:r>
      <w:proofErr w:type="spellStart"/>
      <w:r>
        <w:t>precio_aparato</w:t>
      </w:r>
      <w:proofErr w:type="spellEnd"/>
      <w:r>
        <w:t>».</w:t>
      </w:r>
    </w:p>
    <w:p w14:paraId="4A61DCE2" w14:textId="77777777" w:rsidR="00945D67" w:rsidRDefault="00B36A74">
      <w:r>
        <w:t>El «</w:t>
      </w:r>
      <w:proofErr w:type="spellStart"/>
      <w:r>
        <w:t>precio_piezas</w:t>
      </w:r>
      <w:proofErr w:type="spellEnd"/>
      <w:r>
        <w:t>» se deter</w:t>
      </w:r>
      <w:r>
        <w:t>minará mediante el siguiente cálculo: el precio antes de impuestos de la pieza más cara de la lista 2 se suma a la media de los precios antes de impuestos de las demás piezas de la lista 2. El total se divide por 2.</w:t>
      </w:r>
    </w:p>
    <w:p w14:paraId="1C3EFC9F" w14:textId="77777777" w:rsidR="00945D67" w:rsidRDefault="00B36A74">
      <w:r>
        <w:t>El «</w:t>
      </w:r>
      <w:proofErr w:type="spellStart"/>
      <w:r>
        <w:t>precio_aparato</w:t>
      </w:r>
      <w:proofErr w:type="spellEnd"/>
      <w:r>
        <w:t>» se determinará por e</w:t>
      </w:r>
      <w:r>
        <w:t>l precio antes de impuestos del modelo del aparato de que se trate.</w:t>
      </w:r>
    </w:p>
    <w:p w14:paraId="5D83E064" w14:textId="77777777" w:rsidR="00945D67" w:rsidRDefault="00B36A74">
      <w:r>
        <w:t>Cada precio se entenderá como el precio antes de impuestos de la lista de tarifas vigente en el momento del cálculo del índice e incluido en las condiciones generales de venta del producto</w:t>
      </w:r>
      <w:r>
        <w:t>r o del importador o, en su defecto, en cualquier documento contractual pertinente.</w:t>
      </w:r>
    </w:p>
    <w:p w14:paraId="59104CA3" w14:textId="77777777" w:rsidR="00945D67" w:rsidRDefault="00B36A74">
      <w:r>
        <w:t>En caso de que un fabricante o importador tenga varias listas de precios para las piezas o los aparatos en cuestión según sus diferentes categorías de clientes de distribui</w:t>
      </w:r>
      <w:r>
        <w:t>dores o de vendedores, los precios utilizados para calcular el índice serán los de la lista que representa la mayor parte del volumen de negocios del fabricante o del importador en relación con las piezas o los aparatos en cuestión durante el último ejerci</w:t>
      </w:r>
      <w:r>
        <w:t>cio financiero. En el caso de los aparatos y las piezas de nueva comercialización, cuando haya más de un baremo, se utilizarán los precios del baremo en el que sean más bajos.</w:t>
      </w:r>
    </w:p>
    <w:p w14:paraId="135AD2B8" w14:textId="77777777" w:rsidR="00945D67" w:rsidRDefault="00B36A74">
      <w:r>
        <w:lastRenderedPageBreak/>
        <w:t>En caso de que algunas de estas piezas sean inseparables o en caso de que la pie</w:t>
      </w:r>
      <w:r>
        <w:t>za en cuestión esté integrada en un módulo, que es el único disponible, el precio que deberá tenerse cuenta será el precio acumulado de las piezas o el precio del módulo.</w:t>
      </w:r>
    </w:p>
    <w:p w14:paraId="1737D370" w14:textId="77777777" w:rsidR="00945D67" w:rsidRDefault="00B36A74">
      <w:r>
        <w:t>Normas de cálculo aplicables:</w:t>
      </w:r>
    </w:p>
    <w:p w14:paraId="14A062AC" w14:textId="77777777" w:rsidR="00945D67" w:rsidRDefault="00B36A74">
      <w:r>
        <w:t>Existe una relación entre la puntuación del subcriterio</w:t>
      </w:r>
      <w:r>
        <w:t xml:space="preserve"> 2.1. y la del subcriterio 3.1.; en caso de que una parte no pueda desmontarse, una puntuación de cero para uno de estos subcriterios tendrá repercusiones en el otro.</w:t>
      </w:r>
    </w:p>
    <w:p w14:paraId="6FDFFE78" w14:textId="77777777" w:rsidR="00945D67" w:rsidRDefault="00B36A74">
      <w:r>
        <w:t>También existe un vínculo entre la puntuación del subcriterio 2.1. y la de los subcriteri</w:t>
      </w:r>
      <w:r>
        <w:t>os 2.2. y 2.3., en caso de que una pieza no pueda desmontarse, una puntuación de cero para el subcriterio 2.1. tendrá repercusiones en el otro.</w:t>
      </w:r>
    </w:p>
    <w:p w14:paraId="19C3E9EC" w14:textId="77777777" w:rsidR="00945D67" w:rsidRDefault="00B36A74">
      <w:r>
        <w:t>Existe una relación entre la puntuación del subcriterio 3.1. y la del subcriterio 3.3.; cuando una pieza no esté</w:t>
      </w:r>
      <w:r>
        <w:t xml:space="preserve"> disponible, se asignará al subcriterio 3.1. una puntuación de cero. Esta puntuación repercutirá en otros criterios. Este vínculo también se aplicará entre los subcriterios 3.2. y 3.4.</w:t>
      </w:r>
    </w:p>
    <w:p w14:paraId="2067F85E" w14:textId="42CBA69F" w:rsidR="006749F3" w:rsidRDefault="00B36A74">
      <w:r>
        <w:t>Si una pieza de la lista 2 se considera no extraíble en el criterio 2.1</w:t>
      </w:r>
      <w:r>
        <w:t xml:space="preserve">., la puntuación obtenida en el criterio 4 será de cero. En el supuesto de que la pieza no extraíble de la lista 2 del subcriterio 2.1. forme parte de un subconjunto de piezas no extraíbles disponibles para la venta, el cálculo del criterio 4 se efectuará </w:t>
      </w:r>
      <w:r>
        <w:t>tomando el precio de dicho subconjunto como precio de la pieza de que se trate.</w:t>
      </w:r>
    </w:p>
    <w:p w14:paraId="4FAFF0D6" w14:textId="77777777" w:rsidR="006749F3" w:rsidRDefault="00B36A74">
      <w:pPr>
        <w:rPr>
          <w:b/>
          <w:bCs/>
        </w:rPr>
      </w:pPr>
      <w:r>
        <w:rPr>
          <w:b/>
        </w:rPr>
        <w:t>Anexo</w:t>
      </w:r>
    </w:p>
    <w:p w14:paraId="17892258" w14:textId="77777777" w:rsidR="00945D67" w:rsidRDefault="00B36A74">
      <w:r>
        <w:t>Anexo III</w:t>
      </w:r>
    </w:p>
    <w:p w14:paraId="2BB70E8C" w14:textId="012585C2" w:rsidR="006749F3" w:rsidRDefault="00B36A74">
      <w:r>
        <w:t>Familia de criterios B – Fiabilidad</w:t>
      </w:r>
    </w:p>
    <w:p w14:paraId="46B4AD2C" w14:textId="77777777" w:rsidR="00945D67" w:rsidRDefault="00B36A74">
      <w:r>
        <w:t>Por «fiabilidad» se entenderá la probabilidad de que el aparato funcione, de acuerdo con el uso previsto y la descripción de</w:t>
      </w:r>
      <w:r>
        <w:t>l vendedor, en las condiciones especificadas durante un período de tiempo determinado, sin que se rompa ni se dañe.</w:t>
      </w:r>
    </w:p>
    <w:p w14:paraId="70100327" w14:textId="77777777" w:rsidR="00945D67" w:rsidRDefault="00B36A74">
      <w:r>
        <w:t>La puntuación de la familia de criterios de fiabilidad se determinará deberá determinarse con arreglo a los criterios que se indican a conti</w:t>
      </w:r>
      <w:r>
        <w:t>nuación.</w:t>
      </w:r>
    </w:p>
    <w:p w14:paraId="51C22C05" w14:textId="54021C99" w:rsidR="00945D67" w:rsidRDefault="00B36A74">
      <w:r>
        <w:t>Criterio n.º 1. - Resistencia a la tensión o al desgaste:</w:t>
      </w:r>
    </w:p>
    <w:p w14:paraId="6347274A" w14:textId="77777777" w:rsidR="00945D67" w:rsidRDefault="00B36A74">
      <w:r>
        <w:t>Determinado por la capacidad del aparato o las subpartes principales del aparato para ser robustos y duraderos. En función de las categorías de aparatos, el criterio podrá referirse a una o</w:t>
      </w:r>
      <w:r>
        <w:t xml:space="preserve"> varias pruebas de envejecimiento a nivel del aparato o de subpartes principales del aparato, o a subcriterios relativos a la resistencia a las tensiones externas, o a subcriterios relativos a la resistencia al desgaste del aparato o de las piezas principa</w:t>
      </w:r>
      <w:r>
        <w:t>les del aparato.</w:t>
      </w:r>
    </w:p>
    <w:p w14:paraId="114B2E3B" w14:textId="77777777" w:rsidR="00945D67" w:rsidRDefault="00B36A74">
      <w:r>
        <w:t>Criterio n.º 2. - Mantenimiento y cuidado:</w:t>
      </w:r>
    </w:p>
    <w:p w14:paraId="5B620C3F" w14:textId="77777777" w:rsidR="00945D67" w:rsidRDefault="00B36A74">
      <w:r>
        <w:t xml:space="preserve">Subcriterio 2.1. - Mantenimiento (incluido el </w:t>
      </w:r>
      <w:r>
        <w:rPr>
          <w:i/>
          <w:iCs/>
        </w:rPr>
        <w:t>software</w:t>
      </w:r>
      <w:r>
        <w:t>):</w:t>
      </w:r>
    </w:p>
    <w:p w14:paraId="3A77AAFA" w14:textId="77777777" w:rsidR="00945D67" w:rsidRDefault="00B36A74">
      <w:r>
        <w:t>Determinado por la posibilidad de que el aparato o las subpartes principales del aparato sean objeto de mantenimiento en condiciones funcionales que estén de acuerdo con el uso previsto y la descripción del vendedor.</w:t>
      </w:r>
    </w:p>
    <w:p w14:paraId="55004FD5" w14:textId="77777777" w:rsidR="00945D67" w:rsidRDefault="00B36A74">
      <w:r>
        <w:t>Subcriterio 2.2. - Revisión</w:t>
      </w:r>
    </w:p>
    <w:p w14:paraId="0DD6E020" w14:textId="77777777" w:rsidR="00945D67" w:rsidRDefault="00B36A74">
      <w:r>
        <w:lastRenderedPageBreak/>
        <w:t>Determinado</w:t>
      </w:r>
      <w:r>
        <w:t xml:space="preserve"> por la posibilidad de que el aparato o las subpartes principales del aparato sean objeto de cuidado en condiciones funcionales que estén de acuerdo con el uso previsto y la descripción del vendedor. En función de las categorías de aparatos, esto incluye l</w:t>
      </w:r>
      <w:r>
        <w:t>a facilidad de acceso a la información sobre las acciones de reparación, la calidad y el nivel de detalle de la información sobre las acciones de reparación o la facilidad de llevar a cabo las acciones de reparación.</w:t>
      </w:r>
    </w:p>
    <w:p w14:paraId="46EF89A8" w14:textId="77777777" w:rsidR="00945D67" w:rsidRDefault="00B36A74">
      <w:r>
        <w:t>Criterio n.º 3. - Garantía de durabilid</w:t>
      </w:r>
      <w:r>
        <w:t>ad y procesos de calidad:</w:t>
      </w:r>
    </w:p>
    <w:p w14:paraId="1E3DB1DC" w14:textId="77777777" w:rsidR="00945D67" w:rsidRDefault="00B36A74">
      <w:r>
        <w:t>Subcriterio 3.1. - Duración de la garantía comercial de durabilidad:</w:t>
      </w:r>
    </w:p>
    <w:p w14:paraId="3DF57455" w14:textId="77777777" w:rsidR="00945D67" w:rsidRDefault="00B36A74">
      <w:r>
        <w:t>Determinada por el consentimiento del productor, u otro comercializador, al consumidor de una garantía comercial de durabilidad definida en el artículo L. 217-23</w:t>
      </w:r>
      <w:r>
        <w:t xml:space="preserve"> del Código de Consumo, durante un período determinado y sin ningún gasto.</w:t>
      </w:r>
    </w:p>
    <w:p w14:paraId="3C7E6118" w14:textId="77777777" w:rsidR="00945D67" w:rsidRDefault="00B36A74">
      <w:r>
        <w:t>Podrán definirse condiciones adicionales para la asignación de puntos en este subcriterio para cada categoría de aparato.</w:t>
      </w:r>
    </w:p>
    <w:p w14:paraId="209FC2D9" w14:textId="77777777" w:rsidR="00945D67" w:rsidRDefault="00B36A74">
      <w:r>
        <w:t>Subcriterio 3.2. - Implementación de un proceso de mejora c</w:t>
      </w:r>
      <w:r>
        <w:t>ontinua:</w:t>
      </w:r>
    </w:p>
    <w:p w14:paraId="32311561" w14:textId="77777777" w:rsidR="00945D67" w:rsidRDefault="00B36A74">
      <w:r>
        <w:t xml:space="preserve">Determinado por el compromiso del productor u otro comercializador de implementar un proceso de mejora </w:t>
      </w:r>
      <w:proofErr w:type="gramStart"/>
      <w:r>
        <w:t>continua</w:t>
      </w:r>
      <w:proofErr w:type="gramEnd"/>
      <w:r>
        <w:t xml:space="preserve"> documentado y demostrable durante el período de comercialización del modelo de aparato de que se trate para aumentar la sostenibilidad </w:t>
      </w:r>
      <w:r>
        <w:t>de los aparatos en cuestión.</w:t>
      </w:r>
    </w:p>
    <w:p w14:paraId="28B5CB4E" w14:textId="00CF77BC" w:rsidR="006749F3" w:rsidRDefault="00B36A74">
      <w:r>
        <w:t xml:space="preserve">El proceso de mejora deberá implicar al menos la identificación, el seguimiento y el tratamiento de cualquier avería de funcionamiento que vaya </w:t>
      </w:r>
      <w:proofErr w:type="gramStart"/>
      <w:r>
        <w:t>contra  el</w:t>
      </w:r>
      <w:proofErr w:type="gramEnd"/>
      <w:r>
        <w:t xml:space="preserve"> uso previsto y la descripción del vendedor del aparato del modelo en cue</w:t>
      </w:r>
      <w:r>
        <w:t>stión.</w:t>
      </w:r>
    </w:p>
    <w:p w14:paraId="61453CE3" w14:textId="77777777" w:rsidR="006749F3" w:rsidRDefault="00B36A74">
      <w:pPr>
        <w:rPr>
          <w:b/>
          <w:bCs/>
        </w:rPr>
      </w:pPr>
      <w:r>
        <w:rPr>
          <w:b/>
        </w:rPr>
        <w:t>Anexo</w:t>
      </w:r>
    </w:p>
    <w:p w14:paraId="69ECBFF5" w14:textId="77777777" w:rsidR="00945D67" w:rsidRDefault="00B36A74">
      <w:r>
        <w:t>Anexo IV</w:t>
      </w:r>
    </w:p>
    <w:p w14:paraId="383DAA3B" w14:textId="1B821F05" w:rsidR="006749F3" w:rsidRDefault="00B36A74">
      <w:r>
        <w:t>Familia de criterios C – Mejora</w:t>
      </w:r>
    </w:p>
    <w:p w14:paraId="25D9D588" w14:textId="77777777" w:rsidR="00945D67" w:rsidRDefault="00B36A74">
      <w:r>
        <w:t>La familia de criterios para mejorar los aparatos se refiere a determinadas categorías de productos.</w:t>
      </w:r>
    </w:p>
    <w:p w14:paraId="120269A4" w14:textId="77777777" w:rsidR="00945D67" w:rsidRDefault="00B36A74">
      <w:r>
        <w:t>Por «mejora» se entenderá la capacidad de un aparato para estar sujeto a mejoras en términos de capac</w:t>
      </w:r>
      <w:r>
        <w:t>idades o rendimiento del aparato, sus funcionalidades, o el desarrollo de nuevas funcionalidades de conformidad con el uso previsto y la descripción del proveedor de aparatos del modelo en cuestión.</w:t>
      </w:r>
    </w:p>
    <w:p w14:paraId="1A2B1A65" w14:textId="77777777" w:rsidR="00945D67" w:rsidRDefault="00B36A74">
      <w:r>
        <w:t>Cuando proceda, la puntuación de la familia de criterios de mejora/evolución deberá determinarse con arreglo a los criterios que se indican a continuación.</w:t>
      </w:r>
    </w:p>
    <w:p w14:paraId="4A457471" w14:textId="77777777" w:rsidR="00945D67" w:rsidRDefault="00B36A74">
      <w:r>
        <w:t xml:space="preserve">Criterio n.º 1. - Mejora del </w:t>
      </w:r>
      <w:r>
        <w:rPr>
          <w:i/>
          <w:iCs/>
        </w:rPr>
        <w:t>software</w:t>
      </w:r>
    </w:p>
    <w:p w14:paraId="06EFA93F" w14:textId="77777777" w:rsidR="00945D67" w:rsidRDefault="00B36A74">
      <w:r>
        <w:t>Determinado por el compromiso del productor, u otro comerciali</w:t>
      </w:r>
      <w:r>
        <w:t xml:space="preserve">zador, de proporcionar mejoras de </w:t>
      </w:r>
      <w:r>
        <w:rPr>
          <w:i/>
          <w:iCs/>
        </w:rPr>
        <w:t>software</w:t>
      </w:r>
      <w:r>
        <w:t xml:space="preserve"> con el fin de incrementar las capacidades y el rendimiento del aparato y una funcionalidad existente o desarrollar otra funcionalidad, al tiempo que se garantiza la funcionalidad que cumple el uso previsto y la de</w:t>
      </w:r>
      <w:r>
        <w:t>scripción del vendedor del aparato del modelo en cuestión.</w:t>
      </w:r>
    </w:p>
    <w:p w14:paraId="2E348DF7" w14:textId="77777777" w:rsidR="00945D67" w:rsidRDefault="00B36A74">
      <w:r>
        <w:t xml:space="preserve">Criterio n.º 2. - Mejora del </w:t>
      </w:r>
      <w:r>
        <w:rPr>
          <w:i/>
          <w:iCs/>
        </w:rPr>
        <w:t>hardware</w:t>
      </w:r>
    </w:p>
    <w:p w14:paraId="1790F2FD" w14:textId="77777777" w:rsidR="00945D67" w:rsidRDefault="00B36A74">
      <w:r>
        <w:t xml:space="preserve">Determinado por el compromiso del productor, u otro comercializador, de proporcionar mejoras de </w:t>
      </w:r>
      <w:r>
        <w:rPr>
          <w:i/>
          <w:iCs/>
        </w:rPr>
        <w:t>hardware</w:t>
      </w:r>
      <w:r>
        <w:t xml:space="preserve"> con el fin de incrementar las capacidades y el rendimi</w:t>
      </w:r>
      <w:r>
        <w:t>ento del aparato y una funcionalidad existente o desarrollar otra funcionalidad, al tiempo que se garantiza la funcionalidad que cumple el uso previsto y la descripción del vendedor del aparato del modelo en cuestión.</w:t>
      </w:r>
    </w:p>
    <w:p w14:paraId="30B86423" w14:textId="29FADA2E" w:rsidR="006749F3" w:rsidRDefault="00B36A74">
      <w:r>
        <w:lastRenderedPageBreak/>
        <w:t xml:space="preserve">Cuando sea necesario, la mejora del </w:t>
      </w:r>
      <w:r>
        <w:rPr>
          <w:i/>
          <w:iCs/>
        </w:rPr>
        <w:t>ha</w:t>
      </w:r>
      <w:r>
        <w:rPr>
          <w:i/>
          <w:iCs/>
        </w:rPr>
        <w:t>rdware</w:t>
      </w:r>
      <w:r>
        <w:t xml:space="preserve"> también incluirá una o varias mejoras de </w:t>
      </w:r>
      <w:r>
        <w:rPr>
          <w:i/>
          <w:iCs/>
        </w:rPr>
        <w:t>software</w:t>
      </w:r>
      <w:r>
        <w:t xml:space="preserve"> específicas para su integración.</w:t>
      </w:r>
    </w:p>
    <w:p w14:paraId="2CE6703A" w14:textId="2EC68EB1" w:rsidR="006749F3" w:rsidRDefault="00B36A74">
      <w:r>
        <w:t>A 5 de abril de 2024.</w:t>
      </w:r>
    </w:p>
    <w:p w14:paraId="312EA0AE" w14:textId="77777777" w:rsidR="00ED3428" w:rsidRDefault="00B36A74">
      <w:r>
        <w:t xml:space="preserve">El </w:t>
      </w:r>
      <w:proofErr w:type="gramStart"/>
      <w:r>
        <w:t>Ministro</w:t>
      </w:r>
      <w:proofErr w:type="gramEnd"/>
      <w:r>
        <w:t xml:space="preserve"> de Transición Ecológica y Cohesión Territorial,</w:t>
      </w:r>
    </w:p>
    <w:p w14:paraId="7297600B" w14:textId="77777777" w:rsidR="00ED3428" w:rsidRDefault="00B36A74">
      <w:r>
        <w:t xml:space="preserve">En nombre del </w:t>
      </w:r>
      <w:proofErr w:type="gramStart"/>
      <w:r>
        <w:t>Ministro</w:t>
      </w:r>
      <w:proofErr w:type="gramEnd"/>
      <w:r>
        <w:t xml:space="preserve"> y por delegación:</w:t>
      </w:r>
    </w:p>
    <w:p w14:paraId="4D5722B7" w14:textId="77777777" w:rsidR="00ED3428" w:rsidRDefault="00B36A74">
      <w:r>
        <w:t>El Comisario General para el Desarrollo Sos</w:t>
      </w:r>
      <w:r>
        <w:t>tenible</w:t>
      </w:r>
    </w:p>
    <w:p w14:paraId="1F6C2EEC" w14:textId="7435C1C2" w:rsidR="006749F3" w:rsidRDefault="00B36A74">
      <w:r>
        <w:t xml:space="preserve">T. </w:t>
      </w:r>
      <w:proofErr w:type="spellStart"/>
      <w:r>
        <w:t>Lesueur</w:t>
      </w:r>
      <w:proofErr w:type="spellEnd"/>
    </w:p>
    <w:p w14:paraId="0C85BAB4" w14:textId="77777777" w:rsidR="00ED3428" w:rsidRDefault="00B36A74">
      <w:r>
        <w:t xml:space="preserve">El </w:t>
      </w:r>
      <w:proofErr w:type="gramStart"/>
      <w:r>
        <w:t>Ministro</w:t>
      </w:r>
      <w:proofErr w:type="gramEnd"/>
      <w:r>
        <w:t xml:space="preserve"> de Economía, Hacienda y Soberanía Industrial y Digital,</w:t>
      </w:r>
    </w:p>
    <w:p w14:paraId="6140BB54" w14:textId="77777777" w:rsidR="00ED3428" w:rsidRDefault="00B36A74">
      <w:r>
        <w:t xml:space="preserve">En nombre del </w:t>
      </w:r>
      <w:proofErr w:type="gramStart"/>
      <w:r>
        <w:t>Ministro</w:t>
      </w:r>
      <w:proofErr w:type="gramEnd"/>
      <w:r>
        <w:t xml:space="preserve"> y por delegación:</w:t>
      </w:r>
    </w:p>
    <w:p w14:paraId="57647823" w14:textId="77777777" w:rsidR="00ED3428" w:rsidRDefault="00B36A74">
      <w:r>
        <w:t xml:space="preserve">La </w:t>
      </w:r>
      <w:proofErr w:type="gramStart"/>
      <w:r>
        <w:t>Directora General</w:t>
      </w:r>
      <w:proofErr w:type="gramEnd"/>
      <w:r>
        <w:br/>
        <w:t>de Competencia, Consumo</w:t>
      </w:r>
      <w:r>
        <w:br/>
        <w:t>y Control del Fraude,</w:t>
      </w:r>
    </w:p>
    <w:p w14:paraId="1450E303" w14:textId="68A9DBDC" w:rsidR="006749F3" w:rsidRDefault="00B36A74">
      <w:r>
        <w:t xml:space="preserve">S. </w:t>
      </w:r>
      <w:proofErr w:type="spellStart"/>
      <w:r>
        <w:t>Lacoche</w:t>
      </w:r>
      <w:proofErr w:type="spellEnd"/>
    </w:p>
    <w:p w14:paraId="7E21A44E" w14:textId="77777777" w:rsidR="006749F3" w:rsidRDefault="006749F3"/>
    <w:sectPr w:rsidR="00674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9BA"/>
    <w:multiLevelType w:val="multilevel"/>
    <w:tmpl w:val="B5BA3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9F3"/>
    <w:rsid w:val="003303DB"/>
    <w:rsid w:val="006749F3"/>
    <w:rsid w:val="00945D67"/>
    <w:rsid w:val="00A76E45"/>
    <w:rsid w:val="00B36A74"/>
    <w:rsid w:val="00ED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5C9C1"/>
  <w15:chartTrackingRefBased/>
  <w15:docId w15:val="{74DA2222-FF13-4919-8F2C-8E72CDE0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03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03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3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4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9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0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egifrance.gouv.fr/eli/arrete/2024/4/5/TRED2335002A/jo/tex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3406</Words>
  <Characters>17610</Characters>
  <Application>Microsoft Office Word</Application>
  <DocSecurity>0</DocSecurity>
  <Lines>489</Lines>
  <Paragraphs>272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PORTOU-DUPIN Josiane</dc:creator>
  <cp:keywords>class='Internal'</cp:keywords>
  <dc:description/>
  <cp:lastModifiedBy>Ragnhild Efraimsson</cp:lastModifiedBy>
  <cp:revision>2</cp:revision>
  <dcterms:created xsi:type="dcterms:W3CDTF">2024-05-02T11:18:00Z</dcterms:created>
  <dcterms:modified xsi:type="dcterms:W3CDTF">2024-05-02T11:18:00Z</dcterms:modified>
</cp:coreProperties>
</file>