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Dekreter, bekendtgørelser, cirkulærer</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GENERELLE TEKSTER</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MINISTERIET FOR LANDBRUG OG FØDEVARESUVERÆNITET</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Dekret nr. 2024-144 af 26. februar 2024 om anvendelse af visse navne som betegnelse for levnedsmidler, der indeholder vegetabilske proteiner</w:t>
      </w:r>
    </w:p>
    <w:p w14:paraId="1DD09DDF" w14:textId="77777777" w:rsidR="009827E1" w:rsidRPr="009827E1" w:rsidRDefault="009827E1" w:rsidP="00FF49BD">
      <w:pPr>
        <w:spacing w:before="149"/>
        <w:ind w:right="-138"/>
        <w:jc w:val="center"/>
        <w:rPr>
          <w:i/>
          <w:sz w:val="16"/>
        </w:rPr>
      </w:pPr>
      <w:r>
        <w:rPr>
          <w:color w:val="1F52A5"/>
          <w:sz w:val="16"/>
        </w:rPr>
        <w:t xml:space="preserve">NOR: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Relevante målgrupper: </w:t>
      </w:r>
      <w:r>
        <w:rPr>
          <w:i/>
          <w:sz w:val="21"/>
        </w:rPr>
        <w:t xml:space="preserve">erhvervsdrivende i </w:t>
      </w:r>
      <w:proofErr w:type="spellStart"/>
      <w:r>
        <w:rPr>
          <w:i/>
          <w:sz w:val="21"/>
        </w:rPr>
        <w:t>agrofødevareindustrien</w:t>
      </w:r>
      <w:proofErr w:type="spellEnd"/>
      <w:r>
        <w:rPr>
          <w:i/>
          <w:sz w:val="21"/>
        </w:rPr>
        <w:t xml:space="preserve"> og forplejning uden for hjemmet, fødevaredistributører, forbrugere.</w:t>
      </w:r>
    </w:p>
    <w:p w14:paraId="58157B03" w14:textId="77777777" w:rsidR="009827E1" w:rsidRPr="009827E1" w:rsidRDefault="009827E1" w:rsidP="00FF49BD">
      <w:pPr>
        <w:spacing w:before="37" w:line="213" w:lineRule="auto"/>
        <w:ind w:left="112" w:right="-138" w:firstLine="215"/>
        <w:jc w:val="both"/>
        <w:rPr>
          <w:i/>
          <w:sz w:val="21"/>
        </w:rPr>
      </w:pPr>
      <w:r>
        <w:rPr>
          <w:b/>
          <w:i/>
          <w:sz w:val="21"/>
        </w:rPr>
        <w:t>Om:</w:t>
      </w:r>
      <w:r>
        <w:rPr>
          <w:i/>
          <w:sz w:val="21"/>
        </w:rPr>
        <w:t xml:space="preserve"> fastsættelse af regler for anvendelse af betegnelser for animalske produkter og levnedsmidler fremstillet heraf med henblik på at beskrive, markedsføre eller reklamere for levnedsmidler, der indeholder vegetabilske proteiner.</w:t>
      </w:r>
    </w:p>
    <w:p w14:paraId="4B1D181A" w14:textId="77777777" w:rsidR="009827E1" w:rsidRPr="009827E1" w:rsidRDefault="009827E1" w:rsidP="00FF49BD">
      <w:pPr>
        <w:spacing w:before="17"/>
        <w:ind w:left="327" w:right="-138"/>
        <w:jc w:val="both"/>
        <w:rPr>
          <w:i/>
          <w:sz w:val="21"/>
        </w:rPr>
      </w:pPr>
      <w:r>
        <w:rPr>
          <w:b/>
          <w:i/>
          <w:sz w:val="21"/>
        </w:rPr>
        <w:t>Ikrafttræden:</w:t>
      </w:r>
      <w:r>
        <w:rPr>
          <w:i/>
          <w:sz w:val="21"/>
        </w:rPr>
        <w:t xml:space="preserve"> teksten træder i kraft tre måneder efter offentliggørelsen.</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Beskrivelse: </w:t>
      </w:r>
      <w:r>
        <w:rPr>
          <w:i/>
          <w:sz w:val="21"/>
        </w:rPr>
        <w:t>teksten indeholder regler for det franske område om anvendelse af betegnelser, der traditionelt betegner levnedsmidler af animalsk oprindelse i forbindelse med beskrivelse, markedsføring eller reklame af levnedsmidler baseret på vegetabilske proteiner. De levnedsmidler, der er omfattet af teksten, er dem, der indeholder vegetabilske proteiner. Den indeholder en liste over udtryk, der ikke må anvendes til at beskrive levnedsmidler, der indeholder vegetabilske proteiner (bilag 1), og listen over udtryk, der kan anvendes til at beskrive levnedsmidler af animalsk oprindelse, der kan indeholde vegetabilske proteiner, samt den maksimale andel af vegetabilske proteiner, som de levnedsmidler, som disse udtryk anvendes til, må indeholde (bilag 2). Den indeholder en bestemmelse om gensidig anerkendelse, der udelukker produkter, der er lovligt fremstillet eller markedsført i en anden EU-medlemsstat eller i et tredjeland, fra dens anvendelsesområde. Desuden fastsætter teksten sanktioner i tilfælde af overtrædelse af dens bestemmelser, en frist for dens ikrafttræden på tre måneder efter offentliggørelsen for at give de erhvervsdrivende tid til at tilpasse mærkningen og muligheden for at markedsføre levnedsmidler, der er fremstillet eller mærket før dens ikrafttræden, indtil lagrene er opbrugt, og senest et år efter offentliggørelsen.</w:t>
      </w:r>
    </w:p>
    <w:p w14:paraId="499297A1" w14:textId="2CD6C433" w:rsidR="009827E1" w:rsidRPr="009827E1" w:rsidRDefault="009827E1" w:rsidP="00FF49BD">
      <w:pPr>
        <w:spacing w:before="43" w:line="213" w:lineRule="auto"/>
        <w:ind w:left="112" w:right="-138" w:firstLine="215"/>
        <w:jc w:val="both"/>
        <w:rPr>
          <w:i/>
          <w:sz w:val="21"/>
        </w:rPr>
      </w:pPr>
      <w:r>
        <w:rPr>
          <w:b/>
          <w:i/>
          <w:sz w:val="21"/>
        </w:rPr>
        <w:t xml:space="preserve">Henvisninger: </w:t>
      </w:r>
      <w:r>
        <w:rPr>
          <w:i/>
          <w:sz w:val="21"/>
        </w:rPr>
        <w:t>dekretet udstedes med henblik på anvendelse af forbrugerlovens artikel L. 412-10 i den affattelse, der følger af artikel 5 i lov nr.</w:t>
      </w:r>
      <w:r>
        <w:rPr>
          <w:i/>
          <w:sz w:val="10"/>
        </w:rPr>
        <w:t xml:space="preserve"> </w:t>
      </w:r>
      <w:r>
        <w:rPr>
          <w:i/>
          <w:sz w:val="21"/>
        </w:rPr>
        <w:t xml:space="preserve">2020-699 af 10. juni 2020 om gennemsigtighed i oplysninger om landbrugsprodukter og levnedsmidler. Teksten findes på webstedet </w:t>
      </w:r>
      <w:proofErr w:type="spellStart"/>
      <w:r>
        <w:rPr>
          <w:i/>
          <w:sz w:val="21"/>
        </w:rPr>
        <w:t>Légifrance</w:t>
      </w:r>
      <w:proofErr w:type="spellEnd"/>
      <w:r>
        <w:rPr>
          <w:i/>
          <w:sz w:val="21"/>
        </w:rPr>
        <w:t xml:space="preserve"> (https://www.legifrance. gouv.fr).</w:t>
      </w:r>
    </w:p>
    <w:p w14:paraId="17CFE37E" w14:textId="77777777" w:rsidR="009827E1" w:rsidRPr="009827E1" w:rsidRDefault="009827E1" w:rsidP="00FF49BD">
      <w:pPr>
        <w:pStyle w:val="BodyText"/>
        <w:spacing w:before="91"/>
        <w:ind w:left="327" w:right="-138"/>
        <w:jc w:val="both"/>
      </w:pPr>
      <w:r>
        <w:t>Premierministeren har —</w:t>
      </w:r>
    </w:p>
    <w:p w14:paraId="1D5710BF" w14:textId="77777777" w:rsidR="009827E1" w:rsidRPr="009827E1" w:rsidRDefault="009827E1" w:rsidP="00FF49BD">
      <w:pPr>
        <w:pStyle w:val="BodyText"/>
        <w:spacing w:before="46"/>
        <w:ind w:left="327" w:right="-138"/>
        <w:jc w:val="both"/>
      </w:pPr>
      <w:r>
        <w:t>på grundlag af rapporten fra ministeren for økonomi, finanser og industriel og digital suverænitet,</w:t>
      </w:r>
    </w:p>
    <w:p w14:paraId="302A3D2A" w14:textId="525FDCA2" w:rsidR="009827E1" w:rsidRPr="009827E1" w:rsidRDefault="009827E1" w:rsidP="00FF49BD">
      <w:pPr>
        <w:pStyle w:val="BodyText"/>
        <w:spacing w:before="69" w:line="213" w:lineRule="auto"/>
        <w:ind w:right="-138" w:firstLine="215"/>
        <w:jc w:val="both"/>
      </w:pPr>
      <w:r>
        <w:t>under henvisning til Europa-Parlamentets og Rådets forordning (EU) nr. 1169/2011 af 25. oktober 2011 om fødevareinformation til forbrugerne, om ændring af Europa-Parlamentets og Rådets forordning (EF) nr. 1924/2006 og (EF) nr. 1925/2006 og om ophævelse af Kommissionens direktiv 87/250/EØF, Rådets direktiv 90/496/EØF, Kommissionens direktiv 1999/10/EF, Europa-Parlamentets og Rådets direktiv 2000/13/EF, Kommissionens direktiv 2002/67/EF og 2008/5/EF og Kommissionens forordning (EF) nr. 608/2004, og især artikel 38 deri,</w:t>
      </w:r>
    </w:p>
    <w:p w14:paraId="5F793C90" w14:textId="44A80F1E" w:rsidR="009827E1" w:rsidRPr="009827E1" w:rsidRDefault="009827E1" w:rsidP="00FF49BD">
      <w:pPr>
        <w:pStyle w:val="BodyText"/>
        <w:spacing w:before="40" w:line="213" w:lineRule="auto"/>
        <w:ind w:right="-138" w:firstLine="215"/>
        <w:jc w:val="both"/>
      </w:pPr>
      <w:r>
        <w:t>under henvisning til Europa-Parlamentets og Rådets direktiv (EU) 2015/1535 af 9. september 2015 om en informationsprocedure med hensyn til tekniske forskrifter samt forskrifter for informationssamfundets tjenester,</w:t>
      </w:r>
    </w:p>
    <w:p w14:paraId="49154504" w14:textId="77777777" w:rsidR="009827E1" w:rsidRPr="009827E1" w:rsidRDefault="009827E1" w:rsidP="00FF49BD">
      <w:pPr>
        <w:pStyle w:val="BodyText"/>
        <w:spacing w:before="16"/>
        <w:ind w:left="327" w:right="-138"/>
        <w:jc w:val="both"/>
      </w:pPr>
      <w:r>
        <w:t>under henvisning til forbrugerloven, særlig artikel L 412-10,</w:t>
      </w:r>
    </w:p>
    <w:p w14:paraId="50058916" w14:textId="2DAFB8CD" w:rsidR="009827E1" w:rsidRPr="009827E1" w:rsidRDefault="009827E1" w:rsidP="00FF49BD">
      <w:pPr>
        <w:pStyle w:val="BodyText"/>
        <w:spacing w:before="33" w:line="213" w:lineRule="auto"/>
        <w:ind w:right="-138" w:firstLine="215"/>
        <w:jc w:val="both"/>
      </w:pPr>
      <w:r>
        <w:t>under henvisning til notifikation nr. 2023/510/F af 23. august 2023 til Europa-Kommissionen og dennes svar af 22. november 2023,</w:t>
      </w:r>
    </w:p>
    <w:p w14:paraId="7F68FAA3" w14:textId="77777777" w:rsidR="009827E1" w:rsidRPr="009827E1" w:rsidRDefault="009827E1" w:rsidP="00FF49BD">
      <w:pPr>
        <w:pStyle w:val="BodyText"/>
        <w:spacing w:before="162"/>
        <w:ind w:left="1189" w:right="-138"/>
      </w:pPr>
      <w:r>
        <w:t>udstedt følgende dekret:</w:t>
      </w:r>
    </w:p>
    <w:p w14:paraId="796443C3" w14:textId="77777777" w:rsidR="009827E1" w:rsidRPr="009827E1" w:rsidRDefault="009827E1" w:rsidP="00FF49BD">
      <w:pPr>
        <w:pStyle w:val="BodyText"/>
        <w:spacing w:before="87" w:line="213" w:lineRule="auto"/>
        <w:ind w:right="-138" w:firstLine="204"/>
      </w:pPr>
      <w:r>
        <w:rPr>
          <w:b/>
          <w:sz w:val="20"/>
        </w:rPr>
        <w:t xml:space="preserve">Artikel 1 – </w:t>
      </w:r>
      <w:r>
        <w:t>Bestemmelserne i dette dekret finder anvendelse på levnedsmidler, der indeholder planteproteiner.</w:t>
      </w:r>
    </w:p>
    <w:p w14:paraId="1688761F" w14:textId="77777777" w:rsidR="009827E1" w:rsidRPr="009827E1" w:rsidRDefault="009827E1" w:rsidP="00FF49BD">
      <w:pPr>
        <w:pStyle w:val="BodyText"/>
        <w:spacing w:before="89"/>
        <w:ind w:left="327" w:right="-138"/>
      </w:pPr>
      <w:r>
        <w:t>I dette dekret forstås ved:</w:t>
      </w:r>
    </w:p>
    <w:p w14:paraId="0C28347E" w14:textId="52759B21" w:rsidR="009827E1" w:rsidRPr="00AF623F" w:rsidRDefault="009827E1" w:rsidP="00FF49BD">
      <w:pPr>
        <w:pStyle w:val="BodyText"/>
        <w:spacing w:before="69" w:line="213" w:lineRule="auto"/>
        <w:ind w:right="-138" w:firstLine="215"/>
      </w:pPr>
      <w:r>
        <w:t>1) "planteproteiner": proteiner, der er frembragt af eller afledt af organismer, der tilhører alle riger bortset fra dyreriget;</w:t>
      </w:r>
    </w:p>
    <w:p w14:paraId="3F1F9B0C" w14:textId="20D52559" w:rsidR="00396C43" w:rsidRPr="00AF623F" w:rsidRDefault="009827E1" w:rsidP="00AF623F">
      <w:pPr>
        <w:pStyle w:val="BodyText"/>
        <w:spacing w:before="69" w:line="213" w:lineRule="auto"/>
        <w:ind w:right="-138" w:firstLine="215"/>
      </w:pPr>
      <w:r>
        <w:t>2) "levnedsmidler af animalsk oprindelse": produkter af animalsk oprindelse og levnedsmidler fremstillet heraf</w:t>
      </w:r>
    </w:p>
    <w:p w14:paraId="2A5E9082" w14:textId="34E66B06" w:rsidR="009827E1" w:rsidRPr="00AF623F" w:rsidRDefault="009827E1" w:rsidP="00FF49BD">
      <w:pPr>
        <w:pStyle w:val="BodyText"/>
        <w:spacing w:before="0" w:line="213" w:lineRule="auto"/>
        <w:ind w:right="-138" w:firstLine="215"/>
        <w:jc w:val="both"/>
      </w:pPr>
      <w:r>
        <w:t>3) "forskriftsmæssig betegnelse": for et levnedsmiddel, den betegnelse, der er foreskrevet i de love eller administrative bestemmelser, der gælder for den</w:t>
      </w:r>
    </w:p>
    <w:p w14:paraId="08DA9123" w14:textId="30054FC7" w:rsidR="009827E1" w:rsidRPr="00AF623F" w:rsidRDefault="009827E1" w:rsidP="00FF49BD">
      <w:pPr>
        <w:pStyle w:val="BodyText"/>
        <w:spacing w:before="56" w:line="213" w:lineRule="auto"/>
        <w:ind w:right="-138" w:firstLine="215"/>
        <w:jc w:val="both"/>
      </w:pPr>
      <w:r>
        <w:t xml:space="preserve">4) "forarbejdning": handlinger, der i væsentlig grad ændrer det oprindelige produkt, herunder opvarmning, rygning, saltning, </w:t>
      </w:r>
      <w:r>
        <w:lastRenderedPageBreak/>
        <w:t xml:space="preserve">modning, tørring, marinering, ekstraktion, </w:t>
      </w:r>
      <w:proofErr w:type="spellStart"/>
      <w:r>
        <w:t>ekstrudering</w:t>
      </w:r>
      <w:proofErr w:type="spellEnd"/>
      <w:r>
        <w:t xml:space="preserve"> eller disse processer i kombination</w:t>
      </w:r>
    </w:p>
    <w:p w14:paraId="43FEB140" w14:textId="0DA7A2EE" w:rsidR="009827E1" w:rsidRPr="00AF623F" w:rsidRDefault="009827E1" w:rsidP="00FF49BD">
      <w:pPr>
        <w:pStyle w:val="BodyText"/>
        <w:spacing w:before="57" w:line="213" w:lineRule="auto"/>
        <w:ind w:right="-138" w:firstLine="215"/>
        <w:jc w:val="both"/>
      </w:pPr>
      <w:r>
        <w:t>5) "forarbejdede produkter": levnedsmidler fremstillet ved forarbejdning af uforarbejdede produkter. Disse produkter kan indeholde stoffer, der er nødvendige for deres fremstilling eller for at give dem særlige egenskaber</w:t>
      </w:r>
    </w:p>
    <w:p w14:paraId="1CE2AD4F" w14:textId="4FD01B24" w:rsidR="009827E1" w:rsidRPr="00AF623F" w:rsidRDefault="009827E1" w:rsidP="00FF49BD">
      <w:pPr>
        <w:pStyle w:val="BodyText"/>
        <w:spacing w:before="56" w:line="213" w:lineRule="auto"/>
        <w:ind w:right="-138" w:firstLine="215"/>
        <w:jc w:val="both"/>
      </w:pPr>
      <w:r>
        <w:t>6) "ingrediens": et stof eller produkt, herunder aromaer, fødevaretilsætningsstoffer og fødevareenzymer, eller en bestanddel af en sammensat ingrediens, der anvendes ved fremstilling eller tilberedning af et levnedsmiddel, og som stadig findes i færdigvaren, eventuelt i ændret form. Restkoncentrationer betragtes ikke som ingredienser.</w:t>
      </w:r>
    </w:p>
    <w:p w14:paraId="3F1F66FF" w14:textId="77777777" w:rsidR="009827E1" w:rsidRPr="009827E1" w:rsidRDefault="009827E1" w:rsidP="00FF49BD">
      <w:pPr>
        <w:pStyle w:val="BodyText"/>
        <w:spacing w:before="142" w:line="213" w:lineRule="auto"/>
        <w:ind w:right="-138" w:firstLine="204"/>
        <w:jc w:val="both"/>
      </w:pPr>
      <w:r>
        <w:rPr>
          <w:b/>
          <w:sz w:val="20"/>
        </w:rPr>
        <w:t xml:space="preserve">Artikel 2 – </w:t>
      </w:r>
      <w:r>
        <w:t>Med forbehold af bestemmelserne i artikel 3 og 4 er det forbudt at anvende følgende til at betegne, markedsføre eller salgsfremme et forarbejdet produkt, der indeholder vegetabilske proteiner:</w:t>
      </w:r>
    </w:p>
    <w:p w14:paraId="32BF206D" w14:textId="2C4A0094" w:rsidR="009827E1" w:rsidRPr="009827E1" w:rsidRDefault="009827E1" w:rsidP="00FF49BD">
      <w:pPr>
        <w:pStyle w:val="BodyText"/>
        <w:spacing w:before="111" w:line="213" w:lineRule="auto"/>
        <w:ind w:right="-138" w:firstLine="215"/>
        <w:jc w:val="both"/>
      </w:pPr>
      <w:r>
        <w:t>(1) En forskriftsmæssig betegnelse, for hvilken der ikke er fastsat forskrifter om tilsætning af planteprotein i forskrifterne for det pågældende levnedsmiddels sammensætning</w:t>
      </w:r>
    </w:p>
    <w:p w14:paraId="694BBCA1" w14:textId="6B49F726" w:rsidR="009827E1" w:rsidRPr="009827E1" w:rsidRDefault="009827E1" w:rsidP="00FF49BD">
      <w:pPr>
        <w:pStyle w:val="BodyText"/>
        <w:spacing w:before="57" w:line="213" w:lineRule="auto"/>
        <w:ind w:right="-138" w:firstLine="215"/>
        <w:jc w:val="both"/>
      </w:pPr>
      <w:r>
        <w:t>(2) En betegnelse, der henviser til navne på dyrearter eller grupper af arter eller til dyrs morfologi eller anatomi</w:t>
      </w:r>
    </w:p>
    <w:p w14:paraId="19904DD3" w14:textId="21156C1B" w:rsidR="009827E1" w:rsidRPr="009827E1" w:rsidRDefault="009827E1" w:rsidP="00FF49BD">
      <w:pPr>
        <w:pStyle w:val="BodyText"/>
        <w:spacing w:before="35"/>
        <w:ind w:left="327" w:right="-138"/>
        <w:jc w:val="both"/>
      </w:pPr>
      <w:r>
        <w:t>(3) En betegnelse, der indeholder de termer, der er anført i bilag I.</w:t>
      </w:r>
    </w:p>
    <w:p w14:paraId="50064941" w14:textId="77777777" w:rsidR="009827E1" w:rsidRPr="009827E1" w:rsidRDefault="009827E1" w:rsidP="00FF49BD">
      <w:pPr>
        <w:pStyle w:val="BodyText"/>
        <w:spacing w:before="112"/>
        <w:ind w:left="316" w:right="-138"/>
        <w:jc w:val="both"/>
      </w:pPr>
      <w:r>
        <w:rPr>
          <w:b/>
          <w:sz w:val="20"/>
        </w:rPr>
        <w:t xml:space="preserve">Artikel 3 – </w:t>
      </w:r>
      <w:r>
        <w:t>Betegnelsen for et levnedsmiddel af animalsk oprindelse kan anvendes:</w:t>
      </w:r>
    </w:p>
    <w:p w14:paraId="1C3525E5" w14:textId="3891CAB9" w:rsidR="009827E1" w:rsidRPr="009827E1" w:rsidRDefault="009827E1" w:rsidP="00FF49BD">
      <w:pPr>
        <w:pStyle w:val="BodyText"/>
        <w:spacing w:before="105" w:line="213" w:lineRule="auto"/>
        <w:ind w:right="-138" w:firstLine="215"/>
        <w:jc w:val="both"/>
      </w:pPr>
      <w:r>
        <w:t>(1) For levnedsmidler af animalsk oprindelse, der indeholder vegetabilske proteiner i et bestemt forhold, hvis en sådan forekomst er fastsat ved forskrift eller i listen i bilag II til dette dekret</w:t>
      </w:r>
    </w:p>
    <w:p w14:paraId="3DFB8F85" w14:textId="20810A37" w:rsidR="009827E1" w:rsidRPr="009827E1" w:rsidRDefault="009827E1" w:rsidP="00FF49BD">
      <w:pPr>
        <w:pStyle w:val="BodyText"/>
        <w:spacing w:before="58" w:line="213" w:lineRule="auto"/>
        <w:ind w:right="-138" w:firstLine="215"/>
        <w:jc w:val="both"/>
      </w:pPr>
      <w:r>
        <w:t>(2) Til at betegne aromaer eller aromagivende fødevareingredienser, der anvendes i levnedsmidler.</w:t>
      </w:r>
    </w:p>
    <w:p w14:paraId="76BDA62C" w14:textId="77777777" w:rsidR="009827E1" w:rsidRPr="009827E1" w:rsidRDefault="009827E1" w:rsidP="00FF49BD">
      <w:pPr>
        <w:pStyle w:val="BodyText"/>
        <w:spacing w:before="139" w:line="213" w:lineRule="auto"/>
        <w:ind w:right="-138" w:firstLine="204"/>
        <w:jc w:val="both"/>
      </w:pPr>
      <w:r>
        <w:rPr>
          <w:b/>
          <w:sz w:val="20"/>
        </w:rPr>
        <w:t xml:space="preserve">Artikel 4 – </w:t>
      </w:r>
      <w:r>
        <w:t>De betegnelser, der er nævnt i artikel 2, kan anvendes i de beskrivende betegnelser for kombinationer af animalske levnedsmidler med andre typer levnedsmidler, som ikke erstatter disse levnedsmidler af animalsk oprindelse, men tilsættes til dem i forbindelse med sådanne kombinationer.</w:t>
      </w:r>
    </w:p>
    <w:p w14:paraId="649CE36A" w14:textId="77777777" w:rsidR="009827E1" w:rsidRPr="009827E1" w:rsidRDefault="009827E1" w:rsidP="00FF49BD">
      <w:pPr>
        <w:pStyle w:val="BodyText"/>
        <w:spacing w:before="140" w:line="213" w:lineRule="auto"/>
        <w:ind w:right="-138" w:firstLine="204"/>
        <w:jc w:val="both"/>
      </w:pPr>
      <w:r>
        <w:rPr>
          <w:b/>
          <w:sz w:val="20"/>
        </w:rPr>
        <w:t xml:space="preserve">Artikel 5 – </w:t>
      </w:r>
      <w:r>
        <w:t>Produkter, der lovligt fremstilles eller markedsføres i en anden EU-medlemsstat eller i et tredjeland, er ikke omfattet af kravene i dette dekret.</w:t>
      </w:r>
    </w:p>
    <w:p w14:paraId="71CD360B" w14:textId="77777777" w:rsidR="009827E1" w:rsidRPr="009827E1" w:rsidRDefault="009827E1" w:rsidP="00FF49BD">
      <w:pPr>
        <w:pStyle w:val="BodyText"/>
        <w:spacing w:before="139" w:line="213" w:lineRule="auto"/>
        <w:ind w:right="-138" w:firstLine="204"/>
        <w:jc w:val="both"/>
      </w:pPr>
      <w:r>
        <w:rPr>
          <w:b/>
          <w:sz w:val="20"/>
        </w:rPr>
        <w:t xml:space="preserve">Artikel 6 – </w:t>
      </w:r>
      <w:r>
        <w:t>Det er forbudt at sælge eller gratis uddele levnedsmidler, der ikke er i overensstemmelse med bestemmelserne i dette dekret.</w:t>
      </w:r>
    </w:p>
    <w:p w14:paraId="689F2A59" w14:textId="77777777" w:rsidR="009827E1" w:rsidRPr="009827E1" w:rsidRDefault="009827E1" w:rsidP="00FF49BD">
      <w:pPr>
        <w:pStyle w:val="BodyText"/>
        <w:spacing w:before="141" w:line="213" w:lineRule="auto"/>
        <w:ind w:right="-138" w:firstLine="204"/>
        <w:jc w:val="both"/>
      </w:pPr>
      <w:r>
        <w:rPr>
          <w:b/>
          <w:sz w:val="20"/>
        </w:rPr>
        <w:t xml:space="preserve">Artikel 7 – </w:t>
      </w:r>
      <w:r>
        <w:t>Manglende overholdelse af bestemmelserne i artikel 6 i dette dekret kan medføre en administrativ bøde på højst 1 500 EUR for en fysisk person og 7 500 EUR for en juridisk person.</w:t>
      </w:r>
    </w:p>
    <w:p w14:paraId="3D2876F8" w14:textId="77777777" w:rsidR="009827E1" w:rsidRPr="009827E1" w:rsidRDefault="009827E1" w:rsidP="00FF49BD">
      <w:pPr>
        <w:pStyle w:val="BodyText"/>
        <w:spacing w:before="56" w:line="213" w:lineRule="auto"/>
        <w:ind w:right="-138" w:firstLine="215"/>
        <w:jc w:val="both"/>
      </w:pPr>
      <w:r>
        <w:t>Denne bøde pålægges i overensstemmelse med forbrugerlovens bog V, afsnit II, kapitel II.</w:t>
      </w:r>
    </w:p>
    <w:p w14:paraId="5468CB61" w14:textId="77777777" w:rsidR="009827E1" w:rsidRPr="009827E1" w:rsidRDefault="009827E1" w:rsidP="00FF49BD">
      <w:pPr>
        <w:pStyle w:val="BodyText"/>
        <w:spacing w:before="139" w:line="213" w:lineRule="auto"/>
        <w:ind w:right="-138" w:firstLine="204"/>
        <w:jc w:val="both"/>
      </w:pPr>
      <w:r>
        <w:rPr>
          <w:b/>
          <w:sz w:val="20"/>
        </w:rPr>
        <w:t xml:space="preserve">Artikel 8 – </w:t>
      </w:r>
      <w:r>
        <w:t>Bestemmelserne i dette dekret træder i kraft den første dag i den tredje måned efter offentliggørelsen.</w:t>
      </w:r>
    </w:p>
    <w:p w14:paraId="534F266C" w14:textId="77777777" w:rsidR="009827E1" w:rsidRPr="009827E1" w:rsidRDefault="009827E1" w:rsidP="00FF49BD">
      <w:pPr>
        <w:pStyle w:val="BodyText"/>
        <w:spacing w:before="57" w:line="213" w:lineRule="auto"/>
        <w:ind w:right="-138" w:firstLine="215"/>
        <w:jc w:val="both"/>
      </w:pPr>
      <w:r>
        <w:t>Levnedsmidler, der er fremstillet eller mærket inden den første dag i den tredje måned efter offentliggørelsen af dette dekret, og som er i overensstemmelse med de bestemmelser, der var gældende på denne dato, kan markedsføres, indtil lagrene er opbrugt, og under alle omstændigheder højst et år efter offentliggørelsen af dette dekret.</w:t>
      </w:r>
    </w:p>
    <w:p w14:paraId="1E81E370" w14:textId="1055FC83" w:rsidR="009827E1" w:rsidRPr="009827E1" w:rsidRDefault="009827E1" w:rsidP="00FF49BD">
      <w:pPr>
        <w:pStyle w:val="BodyText"/>
        <w:spacing w:before="139" w:line="213" w:lineRule="auto"/>
        <w:ind w:right="-138" w:firstLine="204"/>
        <w:jc w:val="both"/>
      </w:pPr>
      <w:r>
        <w:rPr>
          <w:b/>
          <w:sz w:val="20"/>
        </w:rPr>
        <w:t xml:space="preserve">Artikel 9 – </w:t>
      </w:r>
      <w:r>
        <w:t>Dekret nr. 2022-947 af 29. juni 2022 om anvendelse af visse navne som betegnelse for levnedsmidler, der indeholder vegetabilske proteiner, ophæves.</w:t>
      </w:r>
    </w:p>
    <w:p w14:paraId="77FF103B" w14:textId="77777777" w:rsidR="009827E1" w:rsidRPr="009827E1" w:rsidRDefault="009827E1" w:rsidP="00FF49BD">
      <w:pPr>
        <w:pStyle w:val="BodyText"/>
        <w:spacing w:before="140" w:line="213" w:lineRule="auto"/>
        <w:ind w:right="-138" w:firstLine="204"/>
        <w:jc w:val="both"/>
      </w:pPr>
      <w:r>
        <w:rPr>
          <w:b/>
          <w:sz w:val="20"/>
        </w:rPr>
        <w:t xml:space="preserve">Artikel 10 – </w:t>
      </w:r>
      <w:r>
        <w:t>Ministeren for økonomi, finans, industri og digital suverænitet og landbrugs- og fødevareministeren er, for så vidt angår deres område, ansvarlige for gennemførelsen af dette dekret, som offentliggøres i Den Franske Republiks Officielle Tidende.</w:t>
      </w:r>
    </w:p>
    <w:p w14:paraId="0F1EB1C1" w14:textId="77777777" w:rsidR="009827E1" w:rsidRPr="009827E1" w:rsidRDefault="009827E1" w:rsidP="00FF49BD">
      <w:pPr>
        <w:pStyle w:val="BodyText"/>
        <w:spacing w:before="118"/>
        <w:ind w:left="327" w:right="-138"/>
        <w:jc w:val="both"/>
      </w:pPr>
      <w:r>
        <w:t>Udfærdiget den 26. februar 2024.</w:t>
      </w:r>
    </w:p>
    <w:p w14:paraId="2795F894" w14:textId="77777777" w:rsidR="009827E1" w:rsidRPr="009827E1" w:rsidRDefault="009827E1" w:rsidP="00FF49BD">
      <w:pPr>
        <w:pStyle w:val="BodyText"/>
        <w:spacing w:before="2"/>
        <w:ind w:left="0" w:right="-138"/>
        <w:jc w:val="right"/>
      </w:pPr>
      <w:r>
        <w:rPr>
          <w:smallCaps/>
        </w:rPr>
        <w:t xml:space="preserve">Gabriel </w:t>
      </w:r>
      <w:proofErr w:type="spellStart"/>
      <w:r>
        <w:rPr>
          <w:smallCaps/>
        </w:rPr>
        <w:t>Attal</w:t>
      </w:r>
      <w:proofErr w:type="spellEnd"/>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Af premierministeren:</w:t>
      </w:r>
    </w:p>
    <w:p w14:paraId="0272B1D5" w14:textId="49A176C2" w:rsidR="009827E1" w:rsidRPr="009827E1" w:rsidRDefault="009827E1" w:rsidP="00FF49BD">
      <w:pPr>
        <w:spacing w:before="94" w:line="228" w:lineRule="exact"/>
        <w:ind w:left="72" w:right="6710"/>
        <w:jc w:val="center"/>
        <w:rPr>
          <w:i/>
          <w:sz w:val="21"/>
        </w:rPr>
      </w:pPr>
      <w:r>
        <w:rPr>
          <w:i/>
          <w:sz w:val="21"/>
        </w:rPr>
        <w:t>Minister for landbrug og fødevaresuverænitet,</w:t>
      </w:r>
    </w:p>
    <w:p w14:paraId="051CEBDC" w14:textId="77777777" w:rsidR="009827E1" w:rsidRPr="009827E1" w:rsidRDefault="009827E1" w:rsidP="00FF49BD">
      <w:pPr>
        <w:pStyle w:val="BodyText"/>
        <w:spacing w:before="2"/>
        <w:ind w:left="72" w:right="6710"/>
        <w:jc w:val="center"/>
      </w:pPr>
      <w:r>
        <w:rPr>
          <w:smallCaps/>
        </w:rPr>
        <w:t xml:space="preserve">Marc </w:t>
      </w:r>
      <w:proofErr w:type="spellStart"/>
      <w:r>
        <w:rPr>
          <w:smallCaps/>
        </w:rPr>
        <w:t>Fesneau</w:t>
      </w:r>
      <w:proofErr w:type="spellEnd"/>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t>Ministeren for økonomi, finanser og industriel og digital suverænitet,</w:t>
      </w:r>
    </w:p>
    <w:p w14:paraId="045DC5F1" w14:textId="4DD5B156" w:rsidR="009827E1" w:rsidRPr="009827E1" w:rsidRDefault="009827E1" w:rsidP="00FF49BD">
      <w:pPr>
        <w:ind w:left="7230" w:right="-138"/>
        <w:rPr>
          <w:smallCaps/>
        </w:rPr>
      </w:pPr>
      <w:r>
        <w:rPr>
          <w:smallCaps/>
        </w:rPr>
        <w:t xml:space="preserve">Bruno Le </w:t>
      </w:r>
      <w:proofErr w:type="spellStart"/>
      <w:r>
        <w:rPr>
          <w:smallCaps/>
        </w:rPr>
        <w:t>Maire</w:t>
      </w:r>
      <w:proofErr w:type="spellEnd"/>
      <w:r>
        <w:rPr>
          <w:smallCaps/>
        </w:rPr>
        <w:br w:type="page"/>
      </w:r>
    </w:p>
    <w:p w14:paraId="4C46A894" w14:textId="77777777" w:rsidR="009827E1" w:rsidRPr="009827E1" w:rsidRDefault="009827E1" w:rsidP="00FF49BD">
      <w:pPr>
        <w:ind w:right="-138"/>
        <w:jc w:val="center"/>
        <w:rPr>
          <w:sz w:val="21"/>
          <w:szCs w:val="21"/>
        </w:rPr>
      </w:pPr>
      <w:r>
        <w:rPr>
          <w:sz w:val="21"/>
        </w:rPr>
        <w:lastRenderedPageBreak/>
        <w:t>BILAG I</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Termer, hvis anvendelse er forbudt for betegnelsen af</w:t>
      </w:r>
      <w:r>
        <w:rPr>
          <w:b/>
          <w:sz w:val="21"/>
        </w:rPr>
        <w:br/>
        <w:t>levnedsmidler, der indeholder vegetabilske proteiner</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Filet</w:t>
      </w:r>
    </w:p>
    <w:p w14:paraId="590E1D20" w14:textId="77777777" w:rsidR="009827E1" w:rsidRPr="009827E1" w:rsidRDefault="009827E1" w:rsidP="00FF49BD">
      <w:pPr>
        <w:numPr>
          <w:ilvl w:val="0"/>
          <w:numId w:val="1"/>
        </w:numPr>
        <w:tabs>
          <w:tab w:val="left" w:pos="541"/>
        </w:tabs>
        <w:spacing w:before="9"/>
        <w:ind w:left="541" w:right="-138" w:hanging="214"/>
        <w:rPr>
          <w:sz w:val="21"/>
        </w:rPr>
      </w:pPr>
      <w:proofErr w:type="spellStart"/>
      <w:r>
        <w:rPr>
          <w:sz w:val="21"/>
        </w:rPr>
        <w:t>Striploin</w:t>
      </w:r>
      <w:proofErr w:type="spellEnd"/>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Tyksteg</w:t>
      </w:r>
    </w:p>
    <w:p w14:paraId="08EDE3A2" w14:textId="77777777" w:rsidR="009827E1" w:rsidRPr="009827E1" w:rsidRDefault="009827E1" w:rsidP="00FF49BD">
      <w:pPr>
        <w:numPr>
          <w:ilvl w:val="0"/>
          <w:numId w:val="1"/>
        </w:numPr>
        <w:tabs>
          <w:tab w:val="left" w:pos="541"/>
        </w:tabs>
        <w:spacing w:before="8"/>
        <w:ind w:left="541" w:right="-138" w:hanging="214"/>
        <w:rPr>
          <w:sz w:val="21"/>
        </w:rPr>
      </w:pPr>
      <w:proofErr w:type="spellStart"/>
      <w:r>
        <w:rPr>
          <w:sz w:val="21"/>
        </w:rPr>
        <w:t>Entrecôte</w:t>
      </w:r>
      <w:proofErr w:type="spellEnd"/>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Slag</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Højreb</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Nyretapper</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Mellemgulv</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Bøf</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Tykkam</w:t>
      </w:r>
    </w:p>
    <w:p w14:paraId="33A907FB" w14:textId="77777777" w:rsidR="009827E1" w:rsidRPr="009827E1" w:rsidRDefault="009827E1" w:rsidP="00FF49BD">
      <w:pPr>
        <w:numPr>
          <w:ilvl w:val="0"/>
          <w:numId w:val="1"/>
        </w:numPr>
        <w:tabs>
          <w:tab w:val="left" w:pos="541"/>
        </w:tabs>
        <w:spacing w:before="8"/>
        <w:ind w:left="541" w:right="-138" w:hanging="214"/>
        <w:rPr>
          <w:sz w:val="21"/>
        </w:rPr>
      </w:pPr>
      <w:proofErr w:type="spellStart"/>
      <w:r>
        <w:rPr>
          <w:sz w:val="21"/>
        </w:rPr>
        <w:t>Paleron</w:t>
      </w:r>
      <w:proofErr w:type="spellEnd"/>
    </w:p>
    <w:p w14:paraId="76A3FB6D" w14:textId="77777777" w:rsidR="009827E1" w:rsidRPr="009827E1" w:rsidRDefault="009827E1" w:rsidP="00FF49BD">
      <w:pPr>
        <w:numPr>
          <w:ilvl w:val="0"/>
          <w:numId w:val="1"/>
        </w:numPr>
        <w:tabs>
          <w:tab w:val="left" w:pos="541"/>
        </w:tabs>
        <w:spacing w:before="9"/>
        <w:ind w:left="541" w:right="-138" w:hanging="214"/>
        <w:rPr>
          <w:sz w:val="21"/>
        </w:rPr>
      </w:pPr>
      <w:proofErr w:type="spellStart"/>
      <w:r>
        <w:rPr>
          <w:sz w:val="21"/>
        </w:rPr>
        <w:t>Flanchet</w:t>
      </w:r>
      <w:proofErr w:type="spellEnd"/>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Steak</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Escalope</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Mellembryst</w:t>
      </w:r>
    </w:p>
    <w:p w14:paraId="620D2AE7" w14:textId="77777777" w:rsidR="009827E1" w:rsidRPr="009827E1" w:rsidRDefault="009827E1" w:rsidP="00FF49BD">
      <w:pPr>
        <w:numPr>
          <w:ilvl w:val="0"/>
          <w:numId w:val="1"/>
        </w:numPr>
        <w:tabs>
          <w:tab w:val="left" w:pos="541"/>
        </w:tabs>
        <w:spacing w:before="9"/>
        <w:ind w:left="541" w:right="-138" w:hanging="214"/>
        <w:rPr>
          <w:sz w:val="21"/>
        </w:rPr>
      </w:pPr>
      <w:proofErr w:type="spellStart"/>
      <w:r>
        <w:rPr>
          <w:sz w:val="21"/>
        </w:rPr>
        <w:t>Grillade</w:t>
      </w:r>
      <w:proofErr w:type="spellEnd"/>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Kam</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Spareribs</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Skinke</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Slagter</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Producent af kødprodukter</w:t>
      </w:r>
    </w:p>
    <w:p w14:paraId="5BA0E258" w14:textId="77777777" w:rsidR="009827E1" w:rsidRPr="009827E1" w:rsidRDefault="009827E1" w:rsidP="00FF49BD">
      <w:pPr>
        <w:pStyle w:val="BodyText"/>
        <w:spacing w:before="231"/>
        <w:ind w:left="0" w:right="-138"/>
        <w:jc w:val="center"/>
      </w:pPr>
      <w:r>
        <w:t>BILAG II</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Termer, der er godkendt til at betegne levnedsmidler af animalsk oprindelse, som kan indeholde vegetabilske proteiner, og den maksimale andel af vegetabilske proteiner, der må være indeholdt i levnedsmidler, for hvilke disse termer anvendes</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Term eller betegnelse</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Maksimalt planteproteinindhold (udtrykt som tørstof)</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Andouillepølse</w:t>
            </w:r>
            <w:proofErr w:type="spellEnd"/>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Andouillettepølse</w:t>
            </w:r>
            <w:proofErr w:type="spellEnd"/>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Bacon</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Ballotine</w:t>
            </w:r>
            <w:proofErr w:type="spellEnd"/>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Hvidt (fjerkræ*)</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3,00 %</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Blodpølse</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Cervelatpølse</w:t>
            </w:r>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2,00 %</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Pølseblanding</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Pølseblanding af fjerkræ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Chipolatapølse</w:t>
            </w:r>
            <w:proofErr w:type="spellEnd"/>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 af fjerkræ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1,5 %</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Leverpostej af (art, undtagen fjerkræ)</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Coppa</w:t>
            </w:r>
            <w:proofErr w:type="spellEnd"/>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Cordon</w:t>
            </w:r>
            <w:proofErr w:type="spellEnd"/>
            <w:r>
              <w:rPr>
                <w:rFonts w:ascii="Times New Roman" w:hAnsi="Times New Roman"/>
                <w:sz w:val="16"/>
              </w:rPr>
              <w:t xml:space="preserve"> </w:t>
            </w:r>
            <w:proofErr w:type="spellStart"/>
            <w:r>
              <w:rPr>
                <w:rFonts w:ascii="Times New Roman" w:hAnsi="Times New Roman"/>
                <w:sz w:val="16"/>
              </w:rPr>
              <w:t>bleu</w:t>
            </w:r>
            <w:proofErr w:type="spellEnd"/>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3,50 %</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Corned</w:t>
            </w:r>
            <w:proofErr w:type="spellEnd"/>
            <w:r>
              <w:rPr>
                <w:rFonts w:ascii="Times New Roman" w:hAnsi="Times New Roman"/>
                <w:sz w:val="16"/>
              </w:rPr>
              <w:t xml:space="preserve"> beef</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Kogt svineribben</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Krebinet</w:t>
            </w:r>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Krebinet af fjerkræ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Kogt svinekam</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Kogt bov</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Mellemsaltet bov</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Tørret bov</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Escalope (af fjerkræ)</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Wienerschnitzel af (fjerkræart)</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Tilberedt mørbrad</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Tilberedt filet </w:t>
            </w:r>
            <w:proofErr w:type="spellStart"/>
            <w:r>
              <w:rPr>
                <w:rFonts w:ascii="Times New Roman" w:hAnsi="Times New Roman"/>
                <w:sz w:val="16"/>
              </w:rPr>
              <w:t>mignon</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Tør filet </w:t>
            </w:r>
            <w:proofErr w:type="spellStart"/>
            <w:r>
              <w:rPr>
                <w:rFonts w:ascii="Times New Roman" w:hAnsi="Times New Roman"/>
                <w:sz w:val="16"/>
              </w:rPr>
              <w:t>mignon</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Røget filet </w:t>
            </w:r>
            <w:proofErr w:type="spellStart"/>
            <w:r>
              <w:rPr>
                <w:rFonts w:ascii="Times New Roman" w:hAnsi="Times New Roman"/>
                <w:sz w:val="16"/>
              </w:rPr>
              <w:t>mignon</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Fuseau</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Galantine</w:t>
            </w:r>
            <w:proofErr w:type="spellEnd"/>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Lår</w:t>
            </w:r>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Kølle</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Kogt skinke</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Rå skinke</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Tørret skinke</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Reims</w:t>
            </w:r>
            <w:proofErr w:type="spellEnd"/>
            <w:r>
              <w:rPr>
                <w:rFonts w:ascii="Times New Roman" w:hAnsi="Times New Roman"/>
                <w:sz w:val="16"/>
              </w:rPr>
              <w:t>-skinke</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Bourgogne-skinke</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Marmoreret skinke</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Skinke af fjerkræ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Skank</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Tilberedt kølle</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Knackpølse</w:t>
            </w:r>
            <w:proofErr w:type="spellEnd"/>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Knackpølse</w:t>
            </w:r>
            <w:proofErr w:type="spellEnd"/>
            <w:r>
              <w:rPr>
                <w:rFonts w:ascii="Times New Roman" w:hAnsi="Times New Roman"/>
                <w:sz w:val="16"/>
              </w:rPr>
              <w:t xml:space="preserve"> af fjerkræ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Fed bacon</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Skinkebacon</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Landbacon</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Flæskestrimler</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Flæskestrimler af fjerkræ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Longaniza</w:t>
            </w:r>
            <w:proofErr w:type="spellEnd"/>
            <w:r>
              <w:rPr>
                <w:rFonts w:ascii="Times New Roman" w:hAnsi="Times New Roman"/>
                <w:sz w:val="16"/>
              </w:rPr>
              <w:t>-pølse</w:t>
            </w:r>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Saltet svinekam (</w:t>
            </w:r>
            <w:proofErr w:type="spellStart"/>
            <w:r>
              <w:rPr>
                <w:rFonts w:ascii="Times New Roman" w:hAnsi="Times New Roman"/>
                <w:sz w:val="16"/>
              </w:rPr>
              <w:t>lonzo</w:t>
            </w:r>
            <w:proofErr w:type="spellEnd"/>
            <w:r>
              <w:rPr>
                <w:rFonts w:ascii="Times New Roman" w:hAnsi="Times New Roman"/>
                <w:sz w:val="16"/>
              </w:rPr>
              <w:t>)</w:t>
            </w:r>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Merguès</w:t>
            </w:r>
            <w:proofErr w:type="spellEnd"/>
            <w:r>
              <w:rPr>
                <w:rFonts w:ascii="Times New Roman" w:hAnsi="Times New Roman"/>
                <w:sz w:val="16"/>
              </w:rPr>
              <w:t>/</w:t>
            </w:r>
            <w:proofErr w:type="spellStart"/>
            <w:r>
              <w:rPr>
                <w:rFonts w:ascii="Times New Roman" w:hAnsi="Times New Roman"/>
                <w:sz w:val="16"/>
              </w:rPr>
              <w:t>Merguez</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Skårne stykker af fjerkræ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Mortadella</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4,00 %</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Bov</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Noix</w:t>
            </w:r>
            <w:proofErr w:type="spellEnd"/>
            <w:r>
              <w:rPr>
                <w:rFonts w:ascii="Times New Roman" w:hAnsi="Times New Roman"/>
                <w:sz w:val="16"/>
              </w:rPr>
              <w:t xml:space="preserve"> de </w:t>
            </w:r>
            <w:proofErr w:type="spellStart"/>
            <w:r>
              <w:rPr>
                <w:rFonts w:ascii="Times New Roman" w:hAnsi="Times New Roman"/>
                <w:sz w:val="16"/>
              </w:rPr>
              <w:t>jambon</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Nuggets (+fjerkræart)</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Kølle</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Mellemsaltet kølle</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Kølle à la </w:t>
            </w:r>
            <w:proofErr w:type="spellStart"/>
            <w:r>
              <w:rPr>
                <w:rFonts w:ascii="Times New Roman" w:hAnsi="Times New Roman"/>
                <w:sz w:val="16"/>
              </w:rPr>
              <w:t>diable</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Pancetta</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Pastrami</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Paté</w:t>
            </w:r>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Paupiette</w:t>
            </w:r>
            <w:proofErr w:type="spellEnd"/>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af (+ art) (undtagen fjerkræ)</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øvre del af (+ art)</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traditionel</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af fjerkræ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6,00 %</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Saltet svinekød</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Spareribs, mellemsaltet</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Kogt bryst</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Røget bryst</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Tørt bryst</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Rillettes</w:t>
            </w:r>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Rosette</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Tilberedt steg</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Saltet steg</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Salami</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Pølse</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Kogepølse</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Stegepølse</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Grillpølse</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Røget Alsace-pølse</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Lorraine-pølse</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Toulouse-pølse</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Tør pølse</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Cocktailpølse</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Kogt pølse</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Alsace-pølse</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Alsacisk pølse</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Lyon-pølse</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Wienerpølse</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Frankfurter</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Strasbourg-pølse</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Pølse af fjerkræ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Saucisson</w:t>
            </w:r>
            <w:proofErr w:type="spellEnd"/>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Kogt </w:t>
            </w:r>
            <w:proofErr w:type="spellStart"/>
            <w:r>
              <w:rPr>
                <w:rFonts w:ascii="Times New Roman" w:hAnsi="Times New Roman"/>
                <w:sz w:val="16"/>
              </w:rPr>
              <w:t>saucisson</w:t>
            </w:r>
            <w:proofErr w:type="spellEnd"/>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Stegt </w:t>
            </w:r>
            <w:proofErr w:type="spellStart"/>
            <w:r>
              <w:rPr>
                <w:rFonts w:ascii="Times New Roman" w:hAnsi="Times New Roman"/>
                <w:sz w:val="16"/>
              </w:rPr>
              <w:t>saucisson</w:t>
            </w:r>
            <w:proofErr w:type="spellEnd"/>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Grillsaucisson</w:t>
            </w:r>
            <w:proofErr w:type="spellEnd"/>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Tør </w:t>
            </w:r>
            <w:proofErr w:type="spellStart"/>
            <w:r>
              <w:rPr>
                <w:rFonts w:ascii="Times New Roman" w:hAnsi="Times New Roman"/>
                <w:sz w:val="16"/>
              </w:rPr>
              <w:t>saucisson</w:t>
            </w:r>
            <w:proofErr w:type="spellEnd"/>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w:t>
            </w:r>
            <w:proofErr w:type="spellStart"/>
            <w:r>
              <w:rPr>
                <w:rFonts w:ascii="Times New Roman" w:hAnsi="Times New Roman"/>
                <w:sz w:val="16"/>
              </w:rPr>
              <w:t>saucisson</w:t>
            </w:r>
            <w:proofErr w:type="spellEnd"/>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Briochesaucisson</w:t>
            </w:r>
            <w:proofErr w:type="spellEnd"/>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Kogt </w:t>
            </w:r>
            <w:proofErr w:type="spellStart"/>
            <w:r>
              <w:rPr>
                <w:rFonts w:ascii="Times New Roman" w:hAnsi="Times New Roman"/>
                <w:sz w:val="16"/>
              </w:rPr>
              <w:t>saucisson</w:t>
            </w:r>
            <w:proofErr w:type="spellEnd"/>
            <w:r>
              <w:rPr>
                <w:rFonts w:ascii="Times New Roman" w:hAnsi="Times New Roman"/>
                <w:sz w:val="16"/>
              </w:rPr>
              <w:t xml:space="preserve"> af fjerkræ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Tør </w:t>
            </w:r>
            <w:proofErr w:type="spellStart"/>
            <w:r>
              <w:rPr>
                <w:rFonts w:ascii="Times New Roman" w:hAnsi="Times New Roman"/>
                <w:sz w:val="16"/>
              </w:rPr>
              <w:t>saucisson</w:t>
            </w:r>
            <w:proofErr w:type="spellEnd"/>
            <w:r>
              <w:rPr>
                <w:rFonts w:ascii="Times New Roman" w:hAnsi="Times New Roman"/>
                <w:sz w:val="16"/>
              </w:rPr>
              <w:t xml:space="preserve"> af fjerkræ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Landterrine</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Breton</w:t>
            </w:r>
            <w:proofErr w:type="spellEnd"/>
            <w:r>
              <w:rPr>
                <w:rFonts w:ascii="Times New Roman" w:hAnsi="Times New Roman"/>
                <w:sz w:val="16"/>
              </w:rPr>
              <w:t>-terrine</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Ardenner-terrine</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Leverterrine</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Skinketerrine</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Jura-terrine</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Bedstemors terrine</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X-terrine (hvor X er artens navn)</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X-terrine (hvor X er artens navn)</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Tournedos (af fjerkræ)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Brystflæsk</w:t>
            </w:r>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Marineret (+ </w:t>
            </w:r>
            <w:proofErr w:type="gramStart"/>
            <w:r>
              <w:rPr>
                <w:rFonts w:ascii="Times New Roman" w:hAnsi="Times New Roman"/>
                <w:sz w:val="16"/>
              </w:rPr>
              <w:t>art)-</w:t>
            </w:r>
            <w:proofErr w:type="gramEnd"/>
            <w:r>
              <w:rPr>
                <w:rFonts w:ascii="Times New Roman" w:hAnsi="Times New Roman"/>
                <w:sz w:val="16"/>
              </w:rPr>
              <w:t>kød</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Marineret (+ </w:t>
            </w:r>
            <w:proofErr w:type="gramStart"/>
            <w:r>
              <w:rPr>
                <w:rFonts w:ascii="Times New Roman" w:hAnsi="Times New Roman"/>
                <w:sz w:val="16"/>
              </w:rPr>
              <w:t>art)-</w:t>
            </w:r>
            <w:proofErr w:type="gramEnd"/>
            <w:r>
              <w:rPr>
                <w:rFonts w:ascii="Times New Roman" w:hAnsi="Times New Roman"/>
                <w:sz w:val="16"/>
              </w:rPr>
              <w:t>indmad</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Wienerschnitzel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Flydende hele æg/tørrede hele æg</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Flydende æggeblomme/tørret æggeblomme</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Flydende æggehvide/tørret æggehvide</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0,10 %</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Omelet</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bl>
    <w:p w14:paraId="0F8E542A" w14:textId="77777777" w:rsidR="00FB1DEC" w:rsidRDefault="009827E1" w:rsidP="00FB1DEC">
      <w:pPr>
        <w:pStyle w:val="BodyText"/>
        <w:spacing w:before="59" w:line="247" w:lineRule="auto"/>
        <w:ind w:left="327" w:right="473"/>
      </w:pPr>
      <w:r>
        <w:t>(*) Planteproteinindhold, der kun stammer fra de krydderier og aromaer, der er indeholdt i produktet.</w:t>
      </w:r>
    </w:p>
    <w:p w14:paraId="2CD4B5A4" w14:textId="6F078BE2" w:rsidR="009827E1" w:rsidRPr="009827E1" w:rsidRDefault="009827E1" w:rsidP="00FB1DEC">
      <w:pPr>
        <w:pStyle w:val="BodyText"/>
        <w:spacing w:before="0" w:line="247" w:lineRule="auto"/>
        <w:ind w:left="329" w:right="473"/>
      </w:pPr>
      <w:r>
        <w:t>(**) Hvoraf 1 % kun må stamme fra de krydderier og aromaer, der er indeholdt i produktet.</w:t>
      </w:r>
    </w:p>
    <w:p w14:paraId="7749292B" w14:textId="77777777" w:rsidR="009827E1" w:rsidRPr="009827E1" w:rsidRDefault="009827E1" w:rsidP="00FB1DEC">
      <w:pPr>
        <w:pStyle w:val="BodyText"/>
        <w:spacing w:before="1"/>
        <w:ind w:left="327" w:right="473"/>
      </w:pPr>
      <w:r>
        <w:t>(***) Hvoraf 1,5 % kun må stamme fra de krydderier og aromaer, der er indeholdt i produktet.</w:t>
      </w:r>
    </w:p>
    <w:p w14:paraId="4CBD5998" w14:textId="77777777" w:rsidR="009827E1" w:rsidRPr="009827E1" w:rsidRDefault="009827E1" w:rsidP="00FB1DEC">
      <w:pPr>
        <w:pStyle w:val="BodyText"/>
        <w:spacing w:before="30" w:line="213" w:lineRule="auto"/>
        <w:ind w:right="473" w:firstLine="215"/>
      </w:pPr>
      <w:r>
        <w:t>**** "Fjerkræ": fjerkræ og alle fjerkræarter (kalkun, kylling, ænder, perlehøns, vagtler, duer.)</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 xml:space="preserve">Yderligere 2 % planteprotein kan tilsættes for produkter, der indgår i en </w:t>
      </w:r>
      <w:proofErr w:type="spellStart"/>
      <w:r>
        <w:rPr>
          <w:sz w:val="21"/>
        </w:rPr>
        <w:t>dåseret</w:t>
      </w:r>
      <w:proofErr w:type="spellEnd"/>
      <w:r>
        <w:rPr>
          <w:sz w:val="21"/>
        </w:rPr>
        <w:t>.</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 xml:space="preserve">Tilsætning af planteprotein op til en samlet grænse på 7 % (eksklusive proteiner fra krydderier og aromaer) er tilladt for produkter, der indgår i en </w:t>
      </w:r>
      <w:proofErr w:type="spellStart"/>
      <w:r>
        <w:rPr>
          <w:sz w:val="21"/>
        </w:rPr>
        <w:t>dåseret</w:t>
      </w:r>
      <w:proofErr w:type="spellEnd"/>
      <w:r>
        <w:rPr>
          <w:sz w:val="21"/>
        </w:rPr>
        <w:t>.</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535A" w14:textId="77777777" w:rsidR="004963B8" w:rsidRDefault="004963B8" w:rsidP="009827E1">
      <w:r>
        <w:separator/>
      </w:r>
    </w:p>
  </w:endnote>
  <w:endnote w:type="continuationSeparator" w:id="0">
    <w:p w14:paraId="7EB91A7E" w14:textId="77777777" w:rsidR="004963B8" w:rsidRDefault="004963B8"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B7A5" w14:textId="77777777" w:rsidR="004963B8" w:rsidRDefault="004963B8" w:rsidP="009827E1">
      <w:r>
        <w:separator/>
      </w:r>
    </w:p>
  </w:footnote>
  <w:footnote w:type="continuationSeparator" w:id="0">
    <w:p w14:paraId="2D9C98E3" w14:textId="77777777" w:rsidR="004963B8" w:rsidRDefault="004963B8"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27. februar 2024</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DEN FRANSKE REPUBLIKS OFFICIELLE TIDENDE</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Tekst 15 af 89</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024FA8"/>
    <w:rsid w:val="00396C43"/>
    <w:rsid w:val="004963B8"/>
    <w:rsid w:val="008A357E"/>
    <w:rsid w:val="0097575C"/>
    <w:rsid w:val="009827E1"/>
    <w:rsid w:val="009D0DC6"/>
    <w:rsid w:val="00A71994"/>
    <w:rsid w:val="00AF623F"/>
    <w:rsid w:val="00B203B6"/>
    <w:rsid w:val="00D85D4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da-DK"/>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10214</Characters>
  <Application>Microsoft Office Word</Application>
  <DocSecurity>0</DocSecurity>
  <Lines>392</Lines>
  <Paragraphs>373</Paragraphs>
  <ScaleCrop>false</ScaleCrop>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3</cp:revision>
  <dcterms:created xsi:type="dcterms:W3CDTF">2024-05-08T06:30:00Z</dcterms:created>
  <dcterms:modified xsi:type="dcterms:W3CDTF">2024-05-08T06:42:00Z</dcterms:modified>
</cp:coreProperties>
</file>