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LOV</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om ændring af lov om begrænsning af brugen af tobak og relaterede produkter</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1 i lov om begrænsning af brugen af tobak og relaterede produkter (Republikken Sloveniens lovtidende nr. 9/17 og 29/17) erstattes ordene</w:t>
      </w:r>
      <w:r>
        <w:t xml:space="preserve"> "</w:t>
      </w:r>
      <w:hyperlink r:id="rId4" w:tgtFrame="_blank" w:tooltip="to EUR-Lex" w:history="1">
        <w:r>
          <w:rPr>
            <w:rFonts w:ascii="Arial" w:hAnsi="Arial"/>
            <w:color w:val="0000EE"/>
            <w:sz w:val="21"/>
            <w:u w:val="single" w:color="0000EE"/>
          </w:rPr>
          <w:t>Kommissionens delegerede direktiv 2014/109/EU</w:t>
        </w:r>
      </w:hyperlink>
      <w:r>
        <w:rPr>
          <w:rFonts w:ascii="Arial" w:hAnsi="Arial"/>
          <w:sz w:val="21"/>
        </w:rPr>
        <w:t xml:space="preserve"> af 10. oktober 2014 om ændring af </w:t>
      </w:r>
      <w:hyperlink r:id="rId5" w:tgtFrame="_blank" w:tooltip="to EUR-Lex" w:history="1">
        <w:r>
          <w:rPr>
            <w:rFonts w:ascii="Arial" w:hAnsi="Arial"/>
            <w:color w:val="0000EE"/>
            <w:sz w:val="21"/>
            <w:u w:val="single" w:color="0000EE"/>
          </w:rPr>
          <w:t>bilag II til Europa-Parlamentets og Rådets direktiv 2014/40/EU</w:t>
        </w:r>
      </w:hyperlink>
      <w:r>
        <w:rPr>
          <w:rFonts w:ascii="Arial" w:hAnsi="Arial"/>
          <w:sz w:val="21"/>
        </w:rPr>
        <w:t xml:space="preserve"> ved at oprette en samling af billedadvarsler, som skal anvendes på tobaksvarer (EUT L 360 af  12. 2014, s. 22)" af ordene "</w:t>
      </w:r>
      <w:hyperlink r:id="rId6" w:tgtFrame="_blank" w:tooltip="to EUR-Lex" w:history="1">
        <w:r>
          <w:rPr>
            <w:rFonts w:ascii="Arial" w:hAnsi="Arial"/>
            <w:color w:val="0000EE"/>
            <w:sz w:val="21"/>
            <w:u w:val="single" w:color="0000EE"/>
          </w:rPr>
          <w:t>Kommissionens delegerede direktiv (EU) 2022/2100</w:t>
        </w:r>
      </w:hyperlink>
      <w:r>
        <w:rPr>
          <w:rFonts w:ascii="Arial" w:hAnsi="Arial"/>
          <w:sz w:val="21"/>
        </w:rPr>
        <w:t xml:space="preserve"> af 29. juni 2022 om ændring af</w:t>
      </w:r>
      <w:hyperlink r:id="rId7" w:tgtFrame="_blank" w:tooltip="to EUR-Lex" w:history="1">
        <w:r>
          <w:rPr>
            <w:rFonts w:ascii="Arial" w:hAnsi="Arial"/>
            <w:color w:val="0000EE"/>
            <w:sz w:val="21"/>
            <w:u w:val="single" w:color="0000EE"/>
          </w:rPr>
          <w:t xml:space="preserve"> Europa-Parlamentets og Rådets direktiv 2014/40/EU</w:t>
        </w:r>
      </w:hyperlink>
      <w:r>
        <w:rPr>
          <w:rFonts w:ascii="Arial" w:hAnsi="Arial"/>
          <w:sz w:val="21"/>
        </w:rPr>
        <w:t xml:space="preserve"> for så vidt angår tilbagetrækning af visse undtagelser vedrørende opvarmede tobaksvarer (EUT L 283 af 3. 11. 2022, s.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3, punkt 12, affattes således:</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En elektronisk cigaret er et produkt, der kan anvendes til at indånde nikotinholdig damp gennem et mundstykke eller dele af det pågældende produkt, herunder en patron, en tank og en anordning uden patron eller tank. Elektroniske cigaretter kan være til engangsforbrug eller genopfyldelige ved hjælp af en genopfyldningsbeholder og en tank eller genlades med engangspatroner." En elektronisk cigaret betragtes også som en elektronisk cigaret, hvis den genpåfyldes med en nikotinfri genopfyldningsbeholder og -tank eller genpåfyldes med en nikotinfri genpåfyldning til indånding af nikotinfrie dampe."</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Der indsættes et nyt punkt 12a efter punkt 12 med følgende ordlyd:</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"12a. En nikotinfri elektronisk cigaret er et engangsprodukt, der indeholder en tank med en ikke-nikotinholdig væske og anvendes til at indånde dampe, der ikke indeholder nikotin gennem mundstykket eller én af produktets bestanddele."</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17 udgår.</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Der indsættes et nyt punkt 19.a efter punkt 19 med følgende ordlyd:</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"19.a. Et nyt nikotinprodukt er et produkt, der ikke tilhører nogen af følgende kategorier af produkter, der indeholder nikotin, men som ikke indeholder tobak: elektroniske cigaretter, genopfyldningsbeholdere og registrerede nikotinprodukter til rygeafvænning."</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Der indsættes et nyt punkt 22.a efter punkt 22, der har følgende ordlyd:</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"22.a. En opvarmet tobaksvare er en ny kategori af tobaksvarer, der opvarmes for at frembringe en emission indeholdende nikotin og andre kemikalier, som derefter inhaleres af brugeren/brugerne, og som afhængigt af deres karakteristika er røgfrie tobaksvarer eller røgtobak."</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Der indsættes et nyt punkt 23a efter punkt 23, der har følgende ordlyd:</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"23a. En nikotinfri genopfyldningsbeholder er en beholder, der indeholder en væske uden nikotin, som kan anvendes til genopfyldning af en elektronisk cigaret."</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punkt 25 foretages følgende ændringer:</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Relaterede produkter i henhold til </w:t>
      </w:r>
      <w:hyperlink r:id="rId8" w:tgtFrame="_blank" w:tooltip="to EUR-Lex" w:history="1">
        <w:r>
          <w:rPr>
            <w:rFonts w:ascii="Arial" w:hAnsi="Arial"/>
            <w:color w:val="0000EE"/>
            <w:sz w:val="21"/>
            <w:u w:val="single" w:color="0000EE"/>
          </w:rPr>
          <w:t>Direktiv 2014/40/EU</w:t>
        </w:r>
      </w:hyperlink>
      <w:r>
        <w:rPr>
          <w:rFonts w:ascii="Arial" w:hAnsi="Arial"/>
          <w:sz w:val="21"/>
        </w:rPr>
        <w:t xml:space="preserve"> er elektroniske cigaretter og genopfyldningsbeholdere samt urtebaserede rygeprodukter. I medfør af nærværende lov omfatter relaterede produkter også nikotinfrie elektroniske cigaretter og nikotinfrie genopfyldningsbeholdere, opvarmede urtebaserede produkter, nye kategorier af tobaksvarer og nye nikotinprodukter. I medfør af nærværende lov omfatter relaterede produkter også tilbehør eller udstyr til anvendelse af de relaterede produkter angivet i første sætning og den foregående sætning i dette punkt, uden hvilket de relaterede produkter ikke kan anvendes."</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punkt 40 foretages følgende ændringer:</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Rulletobak er tobak, der kan anvendes til fremstilling af cigaretter af forbrugeren eller detailsalgssteder."</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Der indsættes et nyt punkt 50a efter punkt 50 med følgende ordlyd:</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"50a. Et opvarmet urteprodukt er et produkt baseret på planter, urter eller frugter, som ikke indeholder tobak, og som bliver opvarmet i løbet af dets anvendelse."</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3</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11, stk. 1, affattes således:</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Markedsføring af cigaretter, rulletobak og opvarmede tobaksvarer med en kendetegnende aroma er forbudt."</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4</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12, stk. 2, affattes således:</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Markedsføring af cigaretter, rulletobak og opvarmede tobaksvarer, der indeholder aromastoffer i en hvilken som helst af bestanddelene, såsom filtre, papir, indpakning og kapsler, eller som har tekniske egenskaber, der gør det muligt at ændre tobaksvarens duft eller smag eller røgintensiteten, er forbudt. Filtre, papir og kapsler må ikke indeholde tobak eller nikotin."</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Artikel 5</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13 tilføjes et nyt stk. 7 efter stk. 6, der har følgende ordlyd:</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Billeder af enkeltpakninger og eventuel ydre emballage til tobaksvarer, der er rettet mod forbrugerne, skal være i overensstemmelse med bestemmelserne i afsnit 2. (Mærkning og emballering) i kapitel II i denne lov."</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6</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14, stk. 1, affattes indledningen således: Hver enkeltpakning og ydre emballage til røgtobak, herunder opvarmede tobaksvarer i forbindelse med røgtobak, skal være forsynet med følgende generelle advarsel:".</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stk. 2 ændres indledningen som følger: Hver enkeltpakning og ydre emballage om røgtobak, herunder opvarmede tobaksvarer, hvis der er tale om røgtobak, skal være forsynet med følgende informationsmeddelelse:".</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stk. 3 ændres første punktum som følger: "For enkeltpakninger indeholdende cigaretter, enkeltpakninger med opvarmede tobaksvarer, hvis der er tale om røgtobak, og kvadratiske enkeltpakninger med rulletobak skal den generelle advarsel vises nederst på den ene side af enkeltpakningen, mens informationsmeddelelsen skal vises nederst på den anden side."</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7</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15, stk. 1, første punktum, affattes således: "Hver enkeltpakning og ydre emballage om røgtobak, herunder opvarmede tobaksvarer i forbindelse med røgtobak, skal være forsynet med kombinerede sundhedsadvarsler."</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8</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22 ændres stk. 9 således:</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Den økonomiske enhed, der er involveret i handel med tobaksvarer, må ikke ændre eller slette de registrerede data."</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9</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I artikel 25, stk. 2, første punktum, slettes kommaet efter ordet "stk." og ordene "når NLZOH anser dette for nødvendigt på grund af ændrede betingelser".</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Efter stk. 2 indsættes et nyt stk. 3, der har følgende ordlyd:</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opkræver gebyrer fra fabrikanter og importører for modtagelse, lagring, håndtering og analyse af de data, der indgives i henhold til denne artikel."</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Det eksisterende stk. 3, der bliver stk. 4, affattes således:</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Ministeren fastsætter form og metode for underretning og størrelsen af de gebyrer, der er nævnt i denne artikel."</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10</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26, stk. 3, indledningen i det tredje punktum, affattes således: "Elektroniske cigaretter, nikotinfrie elektroniske cigaretter, genopfyldningsbeholdere og nikotinfrie genopfyldningsbeholdere skal opfylde følgende betingelser:".</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1 affattes således:</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En væske med eller uden nikotin skal markedsføres i særlige genopfyldningsbeholdere med et volumen på højst 10 ml, i elektroniske engangscigaretter, nikotinfrie elektroniske cigaretter eller i patroner til engangsbrug med eller uden nikotin, hvor patronens eller tankens volumen ikke må overstige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3 affattes således:</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en væske med eller uden nikotin må ikke indeholde de tilsætningsstoffer, der er omhandlet i denne lovs artikel 12, stk. 1."</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4 affattes således:</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Kun rene ingredienser må anvendes til fremstilling af en væske med eller uden nikotin. I væsken må stoffer, bortset fra de ingredienser, der er omhandlet i stk. 2, punkt 2, i denne artikel, kun være til stede i spormængder, hvis sådanne spormængder er teknisk uundgåelige under fremstillingen".</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7 affattes således:</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De må ikke anvendes af børn, skal være beskyttet mod uautoriserede indgreb, brud og utæthed og være forsynet med en mekanisme, der sikrer genpåfyldning uden utæthed."</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Der indsættes et nyt punkt 8 efter punkt 7 med følgende ordlyd:</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En væske med eller uden nikotin må ikke indeholde andre aromaer end smagen eller lugten af tobak eller mentol."</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Stk. 5 affattes den indledende sætning således: "Emballager og ydre emballage til elektroniske cigaretter, nikotinfrie elektroniske cigaretter, genopfyldningsbeholdere og nikotinfrie genopfyldningsbeholdere:".</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2 affattes således:</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Uanset det foregående punkt indeholder de ikke elementer eller egenskaber som omhandlet i artikel 17 i denne lov, undtagen i stk. 1, første led, vedrørende oplysninger om nikotinindhold og oplysninger om smag eller lugt af tobak og for så vidt angår nikotinindhold, undtagen nikotinfrie elektroniske cigaretter og nikotinfrie genopfyldningsbeholdere, anføres følgende sundhedsadvarsel, der opfylder kravene i lovens artikel 16, stk. 2 og 3: "Dette produkt indeholder nikotin, som er et yderst afhængighedsskabende stof." Det anbefales ikke til brug for ikkerygere."</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slutningen af stk. 8 tilføjes følgende ord: "NZOH og Republikken Sloveniens sundhedsinspektorat stiller på anmodning alle oplysninger, der modtages i overensstemmelse med denne artikel, til rådighed for Europa-Kommissionen og andre EU-medlemsstater og sikrer, at forretningshemmeligheder og andre fortrolige oplysninger behandles fortroligt."</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Der indsættes et nyt stk. 15 efter stk. 14 med følgende ordlyd:</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Bestemmelser om indgivelse af den i stk. 1 omhandlede officielle notifikation, dens indhold som omhandlet i stk. 2, medtagelse af brugsanvisninger sammen med de data, der er omhandlet i stk. 4, indsendelse af de data, der er omhandlet i stk. 6, overvågning af markedsudviklingen, der er omhandlet i stk. 7, offentliggørelse på internettet, tilrådighedsstillelse af data for offentligheden og tilvejebringelse af de oplysninger, der er omhandlet i stk. 8, oprettelse og vedligeholdelse af dataindsamlingssystemet og overførsel af indsamlede data, der er omhandlet i stk. 9, vedtagelsen af foranstaltninger og underretningen af de myndigheder, der er omhandlet i stk. 10, overførslen af supplerende oplysninger, der er omhandlet i stk. 11, den meddelelse, der er omhandlet i stk. 12, retten til at opkræve gebyrer, der er omhandlet i stk. 13, og fastsættelsen af de mere detaljerede betingelser, der er omhandlet i denne artikels stk. 14, finder også anvendelse på nikotinfrie elektroniske cigaretter og nikotinfrie genopfyldningsbeholdere."</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11</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28 affattes artiklens titel således: "(angivelse af ingredienser i urtebaserede rygeprodukter og opvarmede urteprodukter)".</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Stk. 1 affattes således:</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Producenter og importører af urtebaserede rygeprodukter og opvarmede urteprodukter skal forelægge NLZOH en liste over alle ingredienser og mængder heraf, der er anvendt til fremstilling af disse produkter, særskilt for hvert mærke og for hver type. Den officielle notifikation indgives elektronisk seks måneder før den påtænkte markedsføring af et nyt eller ændret urtebaserede rygeprodukt eller et opvarmet urteprodukt. Producenter eller importører af urtebaserede rygeprodukter og opvarmede urteprodukter skal underrette NLZOH, hvis produktets sammensætning ændres på en sådan måde, at det påvirker de data, der er indgivet i henhold til denne artikel."</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Efter stk. 2 tilføjes et nyt stk. 3 med følgende ordlyd:</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"(3) NLZOH opkræver gebyrer fra fabrikanter og importører for modtagelse, lagring, håndtering, analyse og offentliggørelse af de data, der indgives i henhold til denne artikel."</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Det eksisterende stk. 3, der bliver stk. 4, affattes således:</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Ministeren fastsætter nærmere betingelser for indberetning af ingredienserne i urtebaserede rygeprodukter og opvarmede urteprodukter samt størrelsen af de gebyrer, der er nævnt i denne artikel."</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12</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Overskriften til kapitel V affattes således: "V. REKLAME, SALGSFREMSTØD, SPONSORERING, SALG OG IMPORT".</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13</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30 affattes artiklens titel således: "(forbud mod salg og erhvervelse)".</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Efter stk. 6 tilføjes et nyt stk. 7 og 8 med følgende ordlyd:</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En person må ikke sælge eller markedsføre tobak, tobaksvarer eller relaterede produkter.</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Forbrugeren må ikke købe tobak, tobaksvarer eller relaterede produkter i strid med denne artikel."</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14</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Efter den nuværende artikel 30 tilføjes en ny artikel 30a med følgende ordlyd:</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30.a</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(Importforbud)</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Import af produkter som omhandlet i artikel 11, stk. 1, artikel 12, stk. 1, 2 og 3, og artikel 24 i denne lov er forbudt.</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En person må ikke importere tobak, tobaksvarer eller relaterede produkter med undtagelse af produkter, der er fritaget for at betale importafgifter i passagerens forsendelser eller personlige bagage i overensstemmelse med reglerne om ordningen vedrørende toldfritagelser i EU."</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Artikel 15</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Overskriften til kapitel VII affattes således: "VII. RYGEFORBUD".</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16</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39, stk. 3, erstattes semikolonet sidst i tredje led af et punktum, og fjerde led udgår.</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Stk. 4 udgår.</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Stk. 5 bliver stk. 4.</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17</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40 udgår.</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18</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41 foretages følgende ændringer:</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Kontrollen med gennemførelsen af denne lov varetages af Republikken Sloveniens sundhedsinspektorat, Republikken Sloveniens arbejdsinspektorat, Republikken Sloveniens markedsinspektorat, Republikken Sloveniens finansforvaltning samt politiet og det kommunale politi.</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Republikken Sloveniens sundhedsinspektorat fører tilsyn med</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emissioner af tjære, nikotin og kulilte fra cigaretter som omhandlet i denne lovs artikel 7</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forbud mod markedsføring af tobaksvarer med en kendetegnende aroma som omhandlet i denne lovs artikel 11</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forbud mod markedsføring af tobaksvarer, der indeholder tilsætningsstoffer, som omhandlet i denne lovs artikel 12</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rapportering og underretning til producenter og importører om ingredienser i og emissioner fra tobaksvarer og relaterede produkter i overensstemmelse med artikel 9, artikel 10, artikel 25, artikel 26, stk. 1, 2 og 6, og artikel 28 i denne lov</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de forpligtelser, som producenter, importører og distributører af elektroniske cigaretter, nikotinfrie elektroniske cigaretter, genopfyldningsbeholdere og nikotinfrie genopfyldningsbeholdere som omhandlet i denne lovs artikel 26, stk. 9, 10 og 11, skal opfylde, og de betingelser, der skal opfyldes af elektroniske cigaretter, nikotinfrie elektroniske cigaretter, genopfyldningsbeholdere og nikotinfrie genopfyldningsbeholdere, som omhandlet i denne lovs artikel 26, stk. 3</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6. forbud mod rygning eller brug af tobak, tobaksvarer og relaterede produkter, bortset fra tyggetobak og tobak, der indtages nasalt, på offentlige steder som omhandlet i denne lovs artikel 39</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enkeltpersoner, der ikke overholder forbuddet mod rygning eller brug af tobak, tobaksvarer og relaterede produkter, bortset fra tyggetobak og tobak, der indtages nasalt, på offentlige steder som omhandlet i denne lovs artikel 39.</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På grundlag af dets egne konstateringer eller NLZOH's konstateringer af, at tobak, tobaksvarer og relaterede produkter fremstilles, sælges eller markedsføres i strid med denne lovs artikel 7, 8, 11, 12 og 26, forbyder Republikken Sloveniens sundhedsinspektorat ved en afgørelse produktion og salg af disse produkter og påbyder, at de fjernes fra produktion og salg.</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Republikken Sloveniens sundhedsinspektorat skal på grundlag af NLZOH's konstatering af, at deres producenter og importører ikke opfylder forpligtelsen til at indberette eller oplyse om de produkter, der er omhandlet i denne lovs artikel 9, 10, 25, 26 og 28, ved en afgørelse forbyde salg af disse produkter og påbyde, at de fjernes fra salget, for så vidt angår et bestemt mærke og en bestemt type af tobak, tobaksvarer og relaterede produkter.</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Efter anmodning fra Republikken Sloveniens sundhedsinspektorat eller Republikken Sloveniens finansforvaltning kan NLZOH foretage laboratorieundersøgelser af tobak, tobaksvarer og relaterede produkter. Juridiske og fysiske personer, der markedsfører tobak, tobaksvarer og relaterede produkter, skal vederlagsfrit stille en prøve af dette produkt til rådighed for den kompetente inspektør (i det følgende benævnt "inspektøren"). Hvis det ved laboratorieundersøgelser konstateres, at den prøve, der er udtaget under kontrolproceduren, ikke er i overensstemmelse med bestemmelserne i denne lov, afholdes udgifterne til laboratorieundersøgelser af den juridiske eller fysiske person, som prøven er udtaget af.</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Republikken Sloveniens arbejdsinspektorat fører tilsyn med</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forbuddet mod rygning eller brug af tobak, tobaksvarer og relaterede produkter, bortset fra tyggetobak og tobak, der indtages nasalt, på arbejdspladser som omhandlet i denne lovs artikel 39</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enkeltpersoner, der ikke overholder forbuddet mod rygning eller brug af tobak, tobaksvarer og relaterede produkter, bortset fra tyggetobak og tobak, der indtages nasalt, på arbejdspladser som omhandlet i denne lovs artikel 39.</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Republikken Sloveniens markedsinspektorat fører tilsyn med forretningsenheder, nemlig</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de betingelser, der skal opfyldes af tobak og tobaksvarer, som omhandlet i denne lovs artikel 13-20</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forbuddet mod markedsføring af tobak, der indtages oralt, som omhandlet i denne lovs artikel 24</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de betingelser, der skal opfyldes af elektroniske cigaretter, nikotinfrie elektroniske cigaretter, genopfyldningsbeholdere og nikotinfrie genopfyldningsbeholdere, som omhandlet i denne lovs artikel 26, stk. 4 og 5</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de betingelser, som urtebaserede rygeprodukter skal opfylde, som omhandlet i denne lovs artikel 27</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5. forbuddet mod sponsorering af og reklame for tobak, tobaksvarer og relaterede produkter som omhandlet i denne lovs artikel 29</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det salgsforbud, der er omhandlet i denne lovs artikel 30 og 31</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salget af tobak, tobaksvarer og relaterede produkter uden den tilladelse, der er nævnt i denne lovs artikel 32, og tilladelsens synlighed i de forretningslokaler, der er nævnt i lovens artikel 34, stk. 3.</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Republikken Sloveniens finansforvaltning fører tilsyn med</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betingelserne i denne lovs artikel 22 og 23 for tobak og tobaksvarer</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de betingelser, der skal opfyldes af elektroniske cigaretter, nikotinfrie elektroniske cigaretter, genopfyldningsbeholdere og nikotinfrie genopfyldningsbeholdere, som omhandlet i artikel 26, stk. 3, i denne lov, når de importeres fra tredjelande, med støtte fra Republikken Sloveniens sundhedsinspektorat</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personer, der sælger, markedsfører eller erhverver tobak, tobak eller relaterede produkter i strid med denne lovs artikel 30, stk. 7 og 8</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det importforbud, der er omhandlet i denne lovs artikel 30.a</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salg af tobak, tobaksvarer og relaterede produkter uden tilladelse som omhandlet i denne lovs artikel 32.</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Hvis Republikken Sloveniens markedsinspektorat fastslår, at tobak og tobaksvarer fremstilles, sælges eller markedsføres i strid med denne lovs artikel 13-20, eller at de sælges uden den i denne lovs artikel 32 omhandlede tilladelse, træffer det afgørelse om forbud mod produktion, salg eller markedsføring og påbyder, at de fjernes fra produktion eller salg.</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(10) Hvis Republikken Sloveniens finansforvaltning fastslår, at tobak, tobaksvarer og tobaksrelaterede produkter sælges uden den tilladelse, der er omhandlet i denne lovs artikel 32, træffer den afgørelse om forbud mod salg og påbyder, at de fjernes fra produktion eller salg.</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Republikken Sloveniens sundhedsinspektorat vedtager på grundlag af den notifikation, der er omhandlet i artikel 26, stk. 12, i denne lov, passende midlertidige foranstaltninger til beskyttelse af menneskers sundhed, herunder forbud mod salg af et bestemt produkt eller tilbagetrækning af et bestemt produkt fra markedet.</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(12) Hvis det kompetente kontrolorgan fastslår, at tobak eller relaterede produkter fremstilles, sælges eller markedsføres i strid med denne lovs artikel 26 og 27 eller uden den i denne lovs artikel 32 omhandlede tilladelse, træffer det afgørelse om forbud mod salg, markedsføring eller produktion af disse produkter og påbyder, at de fjernes fra produktion eller salg.</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Hvis Republikken Sloveniens markedsinspektorat fastslår, at tobak, tobaksvarer eller tobaksrelaterede produkter sponsoreres eller reklameres for i strid med denne lovs artikel 29, er sådan sponsorering eller reklame forbudt ved afgørelse. Med henblik på fuldbyrdelsen af afgørelsen påbyder det, at reklamemateriale straks fjernes på bekostning af forretningsenheden.</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Den kompetente inspektør kan samarbejde med en person under 18 år om at føre tilsyn med forbuddet mod salg af tobak, tobaksvarer og tobaksrelaterede produkter til personer under 18 år, jf. lovens artikel 30, stk. 1. Med henblik på mindreåriges deltagelse skal der indhentes forudgående skriftligt samtykke fra deres forældre eller værger.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(15) Politiet og gadepatruljer kontrollerer forbuddet mod rygning i alle køretøjer under tilstedeværelse af personer under 18 år, jf. denne lovs artikel 39, stk. 1."</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19</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42, stk. 1, affattes således:</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En juridisk enhed pålægges en bøde på mellem 4 000 EUR og 33 000 EUR for en overtrædelse</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hvis den fremstiller, sælger eller markedsfører cigaretter, der indeholder et højere indhold af tjære, nikotin og kulilte, jf. denne lovs artikel 7</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hvis den sælger eller markedsfører tobaksvarer, for hvilke forpligtelsen til at indberette ingredienser og emissioner af disse produkter ikke er opfyldt (artikel 9 og 10)</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hvis den producerer, markedsfører eller sælger tobaksvarer med en karakteristisk aroma (artikel 11) eller med tilsætningsstoffer som omhandlet i denne lovs artikel 12, stk. 1 og 3, eller hvis den producerer, sælger eller markedsfører tobaksvarer, der indeholder aromatiske stoffer i en af deres bestanddele (artikel 12, stk. 2)</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hvis den markedsfører eller sælger tobaksvarer og røgfri tobaksvarer, der ikke opfylder betingelserne med hensyn til mærkning, emballering, generelle advarsler, informationsmeddelelser og kombinerede sundhedsadvarsler (artikel 13, 14, 15 og 16)</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hvis den markedsfører eller sælger tobaksvarer, hvis mærkning eller ydre emballage er i strid med bestemmelserne i denne lovs artikel 17</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hvis den markedsfører eller sælger cigaretpakker og ydre emballage af cigaretter, hvis udseende og indhold er i strid med bestemmelserne i denne lovs artikel 18</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hvis den markedsfører eller sælger enkeltpakninger med rulletobak og ydre emballage af rulletobak, hvis udseende og indhold er i strid med bestemmelserne i denne lovs artikel 19</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hvis den markedsfører eller sælger cigaretter, hvis udseende er i strid med bestemmelserne i denne lovs artikel 20</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hvis den ikke gør den entydige identifikator let tilgængelig (artikel 22, stk. 4)</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hvis den ikke registrerer indførslen af alle enkeltpakninger og mellemliggende bevægelser og den endelige mængde enkeltpakninger, som den er i besiddelse af, på en sådan måde, at alle enkeltpakninger kan identificeres og spores klart og utvetydigt (artikel 22, stk. 5)</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hvis den ikke fører fortegnelser over alle afsluttede transaktioner (artikel 22, stk. 6)</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hvis den ikke leverer de erhvervsdrivende, der er involveret i handelen med tobaksvarer, fra producenten til den sidste erhvervsdrivende, før det første salg på salgsstedet, herunder importører, lagre og transportvirksomheder, udstyr til registrering af tobaksvarer, eller hvis det leverede udstyr ikke muliggør elektronisk læsning og entydig identifikation og sporing af alle enkeltpakninger (artikel 22, stk. 7)</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hvis de registrerede oplysninger ændres eller slettes (artikel 22, stk. 9)</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14. hvis den markedsfører eller sælger tobaksvarer uden et identifikationsmærke eller en sikkerhedsfeature, hvis identifikationsmærket er ufuldstændigt, eller hvis sikkerhedsfeaturen ikke opfylder de krævede tekniske standarder (artikel 22, stk. 1, 2 og 3, og artikel 23)</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hvis den markedsfører eller sælger tobak, der indtages oralt (artikel 24)</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hvis den sælger eller markedsfører nye tobaksvarer i strid med denne lovs artikel 25</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17. hvis den fremstiller, sælger eller markedsfører elektroniske cigaretter, nikotinfrie elektroniske cigaretter, genopfyldningsbeholdere og nikotinfrie genopfyldningsbeholdere i strid med denne lovs artikel 26, stk. 3, 4, 5 og 10</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hvis den fremstiller, sælger eller markedsfører elektroniske cigaretter, nikotinfrie elektroniske cigaretter, genopfyldningsbeholdere og nikotinfrie genopfyldningsbeholdere i strid med denne lovs artikel 26, stk. 1, 2, 6 og 11</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hvis den markedsfører eller sælger et urtebaseret rygeprodukt i strid med denne lovs artikel 27</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hvis den ikke indberetter ingredienserne i urtebaserede rygeprodukter og opvarmede urteprodukter i overensstemmelse med artikel 28 i denne lov</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hvis den donerer eller sponsorerer et arrangement, en aktivitet eller en enkeltperson og direkte eller indirekte reklamerer for og promoverer tobaksvarer og relaterede produkter (artikel 29)</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hvis der er tale om fremvisning eller anvendelse af tobak, tobaksvarer og tobaksrelaterede produkter på tv og i forbindelse med offentligt fremmøde (artikel 29, stk. 7)</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hvis den sælger tobak, tobaksvarer eller tobaksrelaterede produkter til personer under 18 år, eller hvis den ikke skilter med salgsforbuddet på et synligt sted, eller hvis den sælger tobak, tobaksvarer eller tobaksrelaterede produkter til en person under 18 år (artikel 30, stk. 1 og 2)</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hvis den sælger eller markedsfører tobak, tobaksvarer eller tobaksrelaterede produkter i strid med denne lovs artikel 30, stk. 3</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hvis den sælger eller markedsfører tobak, tobaksvarer eller tobaksrelaterede produkter uden for producentens originale emballage (artikel 30, stk. 4)</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hvis den markedsfører eller foretager fjernsalg på tværs af grænserne af tobak, tobaksvarer eller tobaksrelaterede produkter via internettet, telekommunikation eller anden teknologi under udvikling (artikel 30, stk. 5)</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hvis den producerer, markedsfører eller foretager fjernsalg på tværs af grænserne af slik, snacks, legetøj eller andre genstande, som har form af tobaksvarer eller tobaksrelaterede produkter, bestemt til personer under 18 år (artikel 30, stk. 6)</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hvis den importerer produkter som omhandlet i artikel 11, stk. 1, artikel 12, stk. 1, 2 og 3, og artikel 24 i denne lov</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hvis den ikke tydeligt viser tilladelsen til salg af tobak, tobaksvarer og tobaksrelaterede produkter i forretningslokalerne (artikel 34, stk. 3)</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30. hvis den ikke sikrer overholdelse af forbuddet mod rygning eller brug af tobak, tobaksvarer og tobaksrelaterede produkter, bortset fra tyggetobak og tobak, der indtages nasalt, i lukkede offentlige rum og arbejdspladser og i rum, der ikke betragtes som lukkede rum i henhold til denne </w:t>
      </w:r>
      <w:r>
        <w:rPr>
          <w:rFonts w:ascii="Arial" w:hAnsi="Arial"/>
          <w:sz w:val="21"/>
        </w:rPr>
        <w:lastRenderedPageBreak/>
        <w:t>lov, hvis de er en del af det funktionelle område, der tilhører de anlæg, hvor opdragelses- eller uddannelsesaktiviteter udføres (artikel 39)."</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Stk. 4, 5 og 6 ændres som følger:</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For de lovovertrædelser, der er omhandlet i stk. 1, punkt 1, 3</w:t>
      </w:r>
      <w:hyperlink r:id="rId9" w:tgtFrame="_blank" w:tooltip="to EUR-Lex" w:history="1">
        <w:r>
          <w:rPr>
            <w:rFonts w:ascii="Arial" w:hAnsi="Arial"/>
            <w:color w:val="0000EE"/>
            <w:sz w:val="21"/>
            <w:u w:val="single" w:color="0000EE"/>
          </w:rPr>
          <w:t>-15, 17, 19</w:t>
        </w:r>
      </w:hyperlink>
      <w:r>
        <w:rPr>
          <w:rFonts w:ascii="Arial" w:hAnsi="Arial"/>
          <w:sz w:val="21"/>
        </w:rPr>
        <w:t>, 25 og 28, pålægges ud over hovedsanktionen konfiskation af tobak, tobaksvarer eller tobaksrelaterede produkter, der er genstand for lovovertrædelsen, og konfiskation af genstande, som lovovertrædelsen er begået med. Der pålægges også en yderligere sanktion, hvis tobak, tobaksvarer eller tobaksrelaterede produkter ikke er lovovertræderens ejendom eller ikke er i den juridiske enheds besiddelse. Der kan gives afkald på konfiskation af genstanden, hvis lovovertræderen godtgør, at tobakken, tobaksvarerne eller tobaksrelaterede produkter har lovlig oprindelse, eller hvis pålæggelsen af en yderligere sanktion i forbindelse med konfiskation af genstandene for lovovertrædelsen klart ville stå i misforhold til handlingens grovhed og konsekvenserne af lovovertrædelsen.</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Der pålægges en bøde på 50 000 EUR til en juridisk enhed, en enkeltmandsvirksomhed eller en person, der udøver en selvstændig aktivitet, der sælger tobak, tobaksvarer eller tobaksrelaterede produkter uden tilladelse (artikel 32).</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Der pålægges en bøde på 5 000 EUR til en ansvarlig person for en juridisk enhed, en ansvarlig person for en enkeltmandsvirksomhed eller en person, der udøver en selvstændig aktivitet, der sælger tobak, tobaksvarer eller tobaksrelaterede produkter uden tilladelse (artikel 32).</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20</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43, stk. 1, affattes således:</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En person pålægges en bøde på mellem 125 EUR og 5 000 EUR for en lovovertrædelse</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hvis den køber tobak, tobaksvarer eller tobaksrelaterede produkter i strid med denne lovs artikel 30</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hvis den indfører produkter i strid med denne lovs artikel 30.a, stk. 1 eller 2</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hvis den ryger eller bruger tobak, tobaksvarer eller tobaksrelaterede produkter på offentlige steder eller på arbejdspladser, hvor dette er forbudt (artikel 39).</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Efter stk. 2 tilføjes nye stk. 3 og 4 med følgende ordlyd:</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En person pålægges en bøde på mellem 3 000 EUR og 5 000 EUR for en lovovertrædelse</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hvis den i reklameøjemed tilbyder tobak, tobaksvarer og tobaksrelaterede produkter gratis på et offentligt sted eller i offentlige lokaler i strid med denne lovs artikel 29, stk. 3</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hvis den sælger eller markedsfører tobak, tobaksvarer eller tobaksrelaterede produkter i strid med lovens artikel 30, stk. 7.</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(4) For de lovovertrædelser, der er omhandlet i denne artikels stk. 1, første og andet led, og for de lovovertrædelser, der er omhandlet i første og andet led i det foregående stykke, pålægges ud over hovedsanktionen også konfiskation af tobak, tobaksvarer eller tobaksrelaterede produkter, der er genstand for den strafbare handling, og konfiskation af genstande, som lovovertrædelsen er begået med. Der pålægges også en yderligere sanktion, hvis tobak, tobaksvarer eller tobaksrelaterede produkter ikke er lovovertræderens ejendom eller ikke er i dennes besiddelse. Der kan gives afkald på konfiskation af genstanden, hvis lovovertræderen godtgør, at tobakken, tobaksvarerne eller tobaksrelaterede produkter har lovlig oprindelse, eller hvis pålæggelsen af en yderligere sanktion i forbindelse med konfiskation af genstandene for lovovertrædelsen klart ville stå i misforhold til handlingens grovhed og konsekvenserne af lovovertrædelsen."</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21</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Efter artikel 43 indsættes en ny artikel 43.a, der har følgende ordlyd:</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43.a</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(Fastsættelse af en bøde i forbindelse med en fremskyndet forseelsesprocedure)</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For lovovertrædelser, der er nævnt i denne lov, kan en bøde pålægges efter en fremskyndet procedure med et beløb, der er højere end den minimumsbøde, der er fastsat i denne lov.</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OVERGANGSBESTEMMELSER OG AFSLUTTENDE BESTEMMELSER</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22</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(Harmonisering af handlinger)</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Elektroniske cigaretter, nikotinfrie elektroniske cigaretter, genopfyldningsbeholdere og nikotinfrie genopfyldningsbeholdere med aromastoffer må markedsføres i højst 12 måneder efter lovens ikrafttræden.</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23</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(Afslutning af procedurer)</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Procedurer vedrørende inspektioner og mindre forseelser, der er indledt inden lovens ikrafttræden, afsluttes efter de hidtil gældende regler.</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Artikel 24</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(Vedtægter)</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Ministeren udsteder forskrifter som omhandlet i lovens ændrede artikel 25, stk. 4, og lovens ændrede artikel 28, stk. 4, senest tre måneder efter lovens ikrafttræden.</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Ministeren bringer bestemmelserne i lovens artikel 26, stk. 14, i overensstemmelse med det nye stk. 3, punkt 8, og lovens artikel 26, stk. 15, senest tre måneder efter denne lovs ikrafttræden.</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25</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(Ophør af gyldigheden og forlængelse af anvendelsen af eksisterende lovgivning)</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Bestemmelserne i punkt 17 i artikel 3, stk. 3, fjerde led, og artikel 39, stk. 4, artikel 40, stk. 2, punkt 8 og 9, stk. 6, punkt 3 og 4, og artikel 41, stk. 14, artikel 42, stk. 1, punkt 30, og artikel 43, stk. 1, tredje led, i lov om begrænsning af brugen af tobak og relaterede produkter (Republikken Sloveniens statstidende nr. 9/17 og 29/17) finder anvendelse på rygerum indtil den 31. oktober 2025.</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Fra datoen for denne lovs ikrafttræden ophører reglerne om de betingelser, der skal opfyldes af et rygerum (Republikken Sloveniens statstidende nr. 52/17), som kan anvendes indtil den 31. december 2025, med at finde anvendelse.</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26</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(Ikrafttrædelse og anvendelse)</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Denne lov træder i kraft på femtendedagen efter offentliggørelsen i Republikken Sloveniens statstidende og anvendes fra den tredivte dag efter dens ikrafttræden.</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Lov om begrænsning af brugen af tobak og relaterede produkter (Republikken Sloveniens statstidende nr. 9/17 og 29/17) finder anvendelse indtil denne lovs ikrafttræden.</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Nr.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Ljubljana, den 28. marts 2024</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t>Republikken Sloveniens</w:t>
      </w:r>
      <w:r>
        <w:rPr>
          <w:rFonts w:ascii="Arial" w:hAnsi="Arial"/>
          <w:sz w:val="21"/>
        </w:rPr>
        <w:br/>
        <w:t>Nationalforsamling</w:t>
      </w:r>
      <w:r>
        <w:rPr>
          <w:rFonts w:ascii="Arial" w:hAnsi="Arial"/>
          <w:sz w:val="21"/>
        </w:rPr>
        <w:br/>
      </w:r>
      <w:r>
        <w:rPr>
          <w:rFonts w:ascii="Arial" w:hAnsi="Arial"/>
          <w:sz w:val="21"/>
        </w:rPr>
        <w:lastRenderedPageBreak/>
        <w:t>næstformand</w:t>
      </w:r>
      <w:r>
        <w:rPr>
          <w:rFonts w:ascii="Arial" w:hAnsi="Arial"/>
          <w:sz w:val="21"/>
        </w:rPr>
        <w:br/>
        <w:t>Danijel Krivec</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6303F7"/>
    <w:rsid w:val="00A167A6"/>
    <w:rsid w:val="00A77B3E"/>
    <w:rsid w:val="00CA2A55"/>
    <w:rsid w:val="00EE59E8"/>
    <w:rsid w:val="00F24DBB"/>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4645</Words>
  <Characters>27421</Characters>
  <Application>Microsoft Office Word</Application>
  <DocSecurity>0</DocSecurity>
  <Lines>450</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2024-08-14T11:51:00Z</dcterms:created>
  <dcterms:modified xsi:type="dcterms:W3CDTF">2024-08-14T11:51:00Z</dcterms:modified>
</cp:coreProperties>
</file>