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Coletânea de Leis e Tratados Internacionais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R</w:t>
      </w:r>
      <w:r>
        <w:rPr>
          <w:rFonts w:ascii="Courier New" w:hAnsi="Courier New"/>
          <w:b w:val="0"/>
          <w:sz w:val="34"/>
        </w:rPr>
        <w:t>EPÚBLICA CHECA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Disponibilizado em 5 de março de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Regulamento do Governo n.º 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Regulamento do Governo que altera o Regulamento do Governo</w:t>
      </w:r>
      <w:r>
        <w:br/>
        <w:t>n.º 463/2013 sobre as listas de substâncias aditivas,</w:t>
      </w:r>
      <w:r>
        <w:br/>
        <w:t>com a última redação que lhe foi dada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52.º</w:t>
      </w:r>
      <w:bookmarkEnd w:id="4"/>
    </w:p>
    <w:p w14:paraId="7F06D81B" w14:textId="77777777" w:rsidR="00CD3059" w:rsidRDefault="009C0046">
      <w:pPr>
        <w:pStyle w:val="Zkladntext20"/>
      </w:pPr>
      <w:r>
        <w:t>REGULAMENTO DO GOVERNO</w:t>
      </w:r>
      <w:r>
        <w:br/>
        <w:t>de 14 de fevereiro de 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que altera o Regulamento do Governo n.º 463/2013 Colet. sobre as listas de substâncias aditivas, com a última redação que lhe foi dada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Nos termos do artigo 44.º-C, n.</w:t>
      </w:r>
      <w:r>
        <w:rPr>
          <w:vertAlign w:val="superscript"/>
        </w:rPr>
        <w:t>os</w:t>
      </w:r>
      <w:r>
        <w:t> 1 e 2, da Lei n.º 167/1998 Colet., relativa às substâncias aditivas e às alterações a determinadas outras leis, com a redação que lhe foi dada pela Lei n.º 273/2013 Colet. e pela Lei n.º 366/2021 Colet., o Governo determina: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Artigo 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O Regulamento do Governo n.º 463/2013 relativo às listas de substâncias que provocam dependência, conforme alterado pelo Regulamento do Governo n.º 243/2015, Regulamento do Governo n.º 46/2017, Regulamento do Governo n.º 30/2018, Regulamento do Governo n.º 242/2018, Regulamento do Governo n.º 184/2021, Regulamento do Governo n.º 159/2022 e Regulamento do Governo n.º 228/2023, é alterado do seguinte modo: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No quadro do anexo 4, é inserida uma nova linha abaixo da linha em que figura o texto «FUB-PB-22» na coluna intitulada «Outra denominação comum internacional (DCI)», que na coluna intitulada «Outra denominação comum internacional (DCI) na língua checa/denominação comum» contém a palavra «hexa-hidrocanabinol», na coluna intitulada «Outra denominação comum internacional ou outra denominação comum» contém o texto «HHC», na coluna intitulada «Denominação química IUPAC» figura o termo «(6aR,10aR)-6,6,9-trimetil-3-pentil-6a,7,8,9,10,10a-hexa-hidrobenzo[c]crono-1-ol» e, na coluna intitulada «Nota», as frases «Exceto para HHC se estiver contido numa planta técnica de cânhamo, cânhamo técnico, extrato de cânhamo e tintura e preparação técnica de cânhamo em quantidades inferiores a 0,3 %. Esta isenção não se aplica aos géneros alimentícios.»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No quadro do anexo 4, é inserida uma nova linha acima da linha em que a coluna intitulada «Denominação comum internacional (DCI) na língua checa/denominação comum» contém a palavra «Hexedrona», que na coluna intitulada «Denominação comum internacional (DCI) na língua checa/denominação comum» contém a palavra «hexa-hidrocanabinol-O-acetato», a coluna intitulada «Outra denominação comum internacional ou outra denominação comum» contém a menção «HHC-acetato, HHC-O», a coluna intitulada «Denominação química IUPAC» contém a palavra «[(6aR,10aR)-6,6,9-trimetil-3-pentil-6a,7,8,9,10,10a-hexa-hidrobenzo[c]crono-1-il]».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No quadro do anexo 4, é inserida uma nova linha acima da linha em que a coluna intitulada «Denominação comum internacional (DCI) na língua checa/denominação comum» contém a palavra «tetra-hidrocanabinol», na qual a coluna intitulada «Denominação comum internacional (DCI) na língua checa/denominação comum» contém a palavra «tetra-hidrocannabiforol», a coluna intitulada «Outra denominação comum internacional (DCI) ou outra denominação comum» contém a palavra «THCP», a coluna intitulada «Denominação química IUPAC» contém a palavra «(6aR,10aR)-3-heptyl-6,6,9-trimetil-6a,7,8,10a-tetra-hidrobenzo[c]crono-1-ol» e a coluna intitulada «Nota» contém as frases «Exceto de THCP se estiver contido numa planta técnica de cânhamo, cânhamo técnico, extrato de cânhamo e tintura e preparação técnica de cânhamo em quantidades inferiores a 0,3 %. Esta isenção não se aplica aos géneros alimentícios.»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No quadro do anexo 4, são suprimidas as linhas que contêm a palavra «Hexa-hidrocanabinol», a palavra «Hexa-hidrocanabinol-O-acetato» e a palavra «Tetra-hidrocanabiforol» na coluna intitulada «Denominação comum internacional (DCI) em língua checa/denominação comum».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lastRenderedPageBreak/>
        <w:t>Artigo 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Regulamentos técnicos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>O presente regulamento foi notificado em conformidade com a Diretiva (UE) 2015/1535 do Parlamento Europeu e do Conselho, de 9 de setembro de 2015, relativa a um procedimento de informação no domínio das regulamentações técnicas e das regras relativas aos serviços da sociedade da informação.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Artigo 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Validade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Este regulamento do Governo entra em vigor no dia seguinte à data da sua promulgação, exceto as disposições do artigo I, ponto 4, que entram em vigor em 1 de janeiro de 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Primeiro-ministro: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Prof. PhDr. Fiala, PhD, LL.M., m. p.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Vice-primeiro-ministro e ministro da Saúde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Prof. Dr. Válek, CSc, MBA, EBIR, m. p.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Pr="00917F04" w:rsidRDefault="009C0046">
      <w:pPr>
        <w:pStyle w:val="Zkladntext0"/>
        <w:spacing w:after="0" w:line="240" w:lineRule="auto"/>
        <w:jc w:val="both"/>
        <w:rPr>
          <w:sz w:val="16"/>
          <w:szCs w:val="16"/>
        </w:rPr>
      </w:pPr>
      <w:r w:rsidRPr="00917F04">
        <w:rPr>
          <w:sz w:val="16"/>
          <w:szCs w:val="16"/>
        </w:rPr>
        <w:t xml:space="preserve">Publicado por: Ministério do Interior, Nad Štolou 3, PO Box 21, 170 34 Praga 7 • </w:t>
      </w:r>
      <w:r w:rsidRPr="00917F04">
        <w:rPr>
          <w:b/>
          <w:sz w:val="16"/>
          <w:szCs w:val="16"/>
        </w:rPr>
        <w:t>Gabinete editorial da Coletânea de Leis e Tratados Internacionais</w:t>
      </w:r>
      <w:r w:rsidRPr="00917F04">
        <w:rPr>
          <w:sz w:val="16"/>
          <w:szCs w:val="16"/>
        </w:rPr>
        <w:t>: Ministério do Interior, nám. Hrdinů 1634/3, PO Box 155/SB, 140 21, Praga 4, telefone: 974 817 289, endereço eletrónico:</w:t>
      </w:r>
      <w:hyperlink r:id="rId10" w:history="1">
        <w:r w:rsidRPr="00917F04">
          <w:rPr>
            <w:sz w:val="16"/>
            <w:szCs w:val="16"/>
          </w:rPr>
          <w:t xml:space="preserve"> sbirka@mvcr.cz</w:t>
        </w:r>
      </w:hyperlink>
      <w:r w:rsidRPr="00917F04">
        <w:rPr>
          <w:sz w:val="16"/>
          <w:szCs w:val="16"/>
        </w:rPr>
        <w:t xml:space="preserve"> • Configuração tipográfica: Tiskárna Ministerstva vnitra [Impressor do Ministério do Interior], Bartyňkova 1159/4, mailbox 10, 149 00 Praga 11-Chodov • </w:t>
      </w:r>
      <w:r w:rsidRPr="00917F04">
        <w:rPr>
          <w:b/>
          <w:sz w:val="16"/>
          <w:szCs w:val="16"/>
        </w:rPr>
        <w:t xml:space="preserve">A versão eletrónica juridicamente vinculativa da Coletânea de Leis e Tratados Internacionais está disponível em </w:t>
      </w:r>
      <w:hyperlink r:id="rId11" w:history="1">
        <w:r w:rsidRPr="00917F04">
          <w:rPr>
            <w:b/>
            <w:sz w:val="16"/>
            <w:szCs w:val="16"/>
          </w:rPr>
          <w:t>www.e-sbirka.cz</w:t>
        </w:r>
      </w:hyperlink>
      <w:r w:rsidRPr="00917F04">
        <w:rPr>
          <w:b/>
          <w:sz w:val="16"/>
          <w:szCs w:val="16"/>
        </w:rPr>
        <w:t xml:space="preserve"> </w:t>
      </w:r>
      <w:r w:rsidRPr="00917F04">
        <w:rPr>
          <w:sz w:val="16"/>
          <w:szCs w:val="16"/>
        </w:rPr>
        <w:t xml:space="preserve">• Uma versão impressa de uma parte da Coletânea de Leis e Acordos Internacionais pode ser encomendada ao impressor do Ministério do Interior, telefone: 974 887 312, endereço eletrónico: </w:t>
      </w:r>
      <w:hyperlink r:id="rId12" w:history="1">
        <w:r w:rsidRPr="00917F04">
          <w:rPr>
            <w:sz w:val="16"/>
            <w:szCs w:val="16"/>
          </w:rPr>
          <w:t>info@tmv.cz</w:t>
        </w:r>
      </w:hyperlink>
      <w:r w:rsidRPr="00917F04">
        <w:rPr>
          <w:sz w:val="16"/>
          <w:szCs w:val="16"/>
        </w:rPr>
        <w:t xml:space="preserve">, </w:t>
      </w:r>
      <w:hyperlink r:id="rId13" w:history="1">
        <w:r w:rsidRPr="00917F04">
          <w:rPr>
            <w:sz w:val="16"/>
            <w:szCs w:val="16"/>
          </w:rPr>
          <w:t>www.tmv.cz</w:t>
        </w:r>
      </w:hyperlink>
      <w:r w:rsidRPr="00917F04">
        <w:rPr>
          <w:sz w:val="16"/>
          <w:szCs w:val="16"/>
        </w:rPr>
        <w:t xml:space="preserve"> • As assinaturas cessam a partir de 1.1.2024.</w:t>
      </w:r>
    </w:p>
    <w:sectPr w:rsidR="00CD3059" w:rsidRPr="00917F04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7507" w14:textId="77777777" w:rsidR="004D6B21" w:rsidRDefault="004D6B21">
      <w:r>
        <w:separator/>
      </w:r>
    </w:p>
  </w:endnote>
  <w:endnote w:type="continuationSeparator" w:id="0">
    <w:p w14:paraId="15D58DD8" w14:textId="77777777" w:rsidR="004D6B21" w:rsidRDefault="004D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B322" w14:textId="77777777" w:rsidR="004D6B21" w:rsidRDefault="004D6B21"/>
  </w:footnote>
  <w:footnote w:type="continuationSeparator" w:id="0">
    <w:p w14:paraId="71CC3AEC" w14:textId="77777777" w:rsidR="004D6B21" w:rsidRDefault="004D6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Lei n.º 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Lei n.º 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Lei </w:t>
                          </w:r>
                          <w:r>
                            <w:rPr>
                              <w:i/>
                            </w:rPr>
                            <w:t>n.º 52/2024 Sb.</w:t>
                          </w:r>
                          <w:r>
                            <w:rPr>
                              <w:i/>
                            </w:rPr>
                            <w:tab/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Lei n.º 52/2024 Sb.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  <w:sz w:val="17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4D6B21"/>
    <w:rsid w:val="00917F04"/>
    <w:rsid w:val="009C0046"/>
    <w:rsid w:val="00A4367D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t-PT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4644</Characters>
  <Application>Microsoft Office Word</Application>
  <DocSecurity>0</DocSecurity>
  <Lines>74</Lines>
  <Paragraphs>32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2024-05-16T11:54:00Z</dcterms:created>
  <dcterms:modified xsi:type="dcterms:W3CDTF">2024-05-16T11:54:00Z</dcterms:modified>
</cp:coreProperties>
</file>