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FB6B" w14:textId="77777777" w:rsidR="00F94C82" w:rsidRDefault="0052303E">
      <w:pPr>
        <w:spacing w:before="6"/>
        <w:ind w:left="105" w:right="225"/>
        <w:jc w:val="center"/>
        <w:rPr>
          <w:sz w:val="46"/>
        </w:rPr>
      </w:pPr>
      <w:r>
        <w:rPr>
          <w:sz w:val="46"/>
        </w:rPr>
        <w:t xml:space="preserve">VERZAMELING </w:t>
      </w:r>
      <w:r>
        <w:rPr>
          <w:noProof/>
        </w:rPr>
        <w:drawing>
          <wp:inline distT="0" distB="0" distL="0" distR="0" wp14:anchorId="12952DF3" wp14:editId="0010800C">
            <wp:extent cx="359968" cy="4351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9968" cy="435152"/>
                    </a:xfrm>
                    <a:prstGeom prst="rect">
                      <a:avLst/>
                    </a:prstGeom>
                  </pic:spPr>
                </pic:pic>
              </a:graphicData>
            </a:graphic>
          </wp:inline>
        </w:drawing>
      </w:r>
      <w:r>
        <w:rPr>
          <w:rFonts w:ascii="Times New Roman" w:hAnsi="Times New Roman"/>
          <w:sz w:val="46"/>
        </w:rPr>
        <w:t xml:space="preserve"> </w:t>
      </w:r>
      <w:r>
        <w:rPr>
          <w:sz w:val="46"/>
        </w:rPr>
        <w:t>VAN WETTEN</w:t>
      </w:r>
    </w:p>
    <w:p w14:paraId="3A081F7F" w14:textId="77777777" w:rsidR="00F94C82" w:rsidRDefault="0052303E">
      <w:pPr>
        <w:spacing w:before="66"/>
        <w:ind w:left="105" w:right="105"/>
        <w:jc w:val="center"/>
        <w:rPr>
          <w:sz w:val="34"/>
        </w:rPr>
      </w:pPr>
      <w:r>
        <w:rPr>
          <w:sz w:val="34"/>
        </w:rPr>
        <w:t>VAN DE SLOWAAKSE REPUBLIEK</w:t>
      </w:r>
    </w:p>
    <w:p w14:paraId="64AD2D11" w14:textId="56331942" w:rsidR="00F94C82" w:rsidRDefault="0052303E">
      <w:pPr>
        <w:spacing w:before="216"/>
        <w:ind w:left="105" w:right="105"/>
        <w:jc w:val="center"/>
        <w:rPr>
          <w:sz w:val="28"/>
        </w:rPr>
      </w:pPr>
      <w:r>
        <w:rPr>
          <w:noProof/>
        </w:rPr>
        <mc:AlternateContent>
          <mc:Choice Requires="wps">
            <w:drawing>
              <wp:anchor distT="0" distB="0" distL="0" distR="0" simplePos="0" relativeHeight="251658240" behindDoc="1" locked="0" layoutInCell="1" allowOverlap="1" wp14:anchorId="140D0BC0" wp14:editId="45151E2A">
                <wp:simplePos x="0" y="0"/>
                <wp:positionH relativeFrom="page">
                  <wp:posOffset>701675</wp:posOffset>
                </wp:positionH>
                <wp:positionV relativeFrom="paragraph">
                  <wp:posOffset>420370</wp:posOffset>
                </wp:positionV>
                <wp:extent cx="615569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2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84A7F" id="Freeform 4" o:spid="_x0000_s1026" style="position:absolute;margin-left:55.25pt;margin-top:33.1pt;width:484.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" path="m,l9694,e" filled="f" strokeweight=".34994mm">
                <v:path arrowok="t" o:connecttype="custom" o:connectlocs="0,0;6155690,0" o:connectangles="0,0"/>
                <w10:wrap type="topAndBottom" anchorx="page"/>
              </v:shape>
            </w:pict>
          </mc:Fallback>
        </mc:AlternateContent>
      </w:r>
      <w:r>
        <w:rPr>
          <w:sz w:val="28"/>
        </w:rPr>
        <w:t>Volume 2024</w:t>
      </w:r>
    </w:p>
    <w:p w14:paraId="62A6CE86" w14:textId="77777777" w:rsidR="00F94C82" w:rsidRDefault="0052303E">
      <w:pPr>
        <w:tabs>
          <w:tab w:val="left" w:pos="3680"/>
        </w:tabs>
        <w:spacing w:before="38" w:line="403" w:lineRule="auto"/>
        <w:ind w:left="105" w:right="103"/>
        <w:jc w:val="center"/>
      </w:pPr>
      <w:r>
        <w:t>Bekendgemaakt: 24. 5. 2024</w:t>
      </w:r>
      <w:r>
        <w:tab/>
        <w:t xml:space="preserve">Afgekondigde versie in de Verzameling van wetten van de Slowaakse Republiek. </w:t>
      </w:r>
      <w:r>
        <w:t>De inhoud van het document is juridisch bindend.</w:t>
      </w:r>
    </w:p>
    <w:p w14:paraId="344DD35B" w14:textId="77777777" w:rsidR="00F94C82" w:rsidRDefault="0052303E">
      <w:pPr>
        <w:pStyle w:val="BodyText"/>
        <w:spacing w:before="171"/>
        <w:ind w:left="105" w:right="105"/>
        <w:jc w:val="center"/>
        <w:rPr>
          <w:b/>
        </w:rPr>
      </w:pPr>
      <w:r>
        <w:rPr>
          <w:b/>
        </w:rPr>
        <w:t>114</w:t>
      </w:r>
    </w:p>
    <w:p w14:paraId="28B21A62" w14:textId="77777777" w:rsidR="00F94C82" w:rsidRDefault="0052303E">
      <w:pPr>
        <w:pStyle w:val="BodyText"/>
        <w:spacing w:before="129"/>
        <w:ind w:left="105" w:right="15"/>
        <w:jc w:val="center"/>
        <w:rPr>
          <w:b/>
        </w:rPr>
      </w:pPr>
      <w:r>
        <w:rPr>
          <w:b/>
        </w:rPr>
        <w:t>UITVOERINGSBESLUIT</w:t>
      </w:r>
    </w:p>
    <w:p w14:paraId="53AAF0A6" w14:textId="77777777" w:rsidR="00F94C82" w:rsidRDefault="0052303E">
      <w:pPr>
        <w:pStyle w:val="BodyText"/>
        <w:spacing w:before="62"/>
        <w:ind w:left="105" w:right="105"/>
        <w:jc w:val="center"/>
        <w:rPr>
          <w:b/>
        </w:rPr>
      </w:pPr>
      <w:r>
        <w:rPr>
          <w:b/>
        </w:rPr>
        <w:t>van het ministerie van Financiën van de Slowaakse Republiek</w:t>
      </w:r>
    </w:p>
    <w:p w14:paraId="5FDF0258" w14:textId="77777777" w:rsidR="00F94C82" w:rsidRDefault="0052303E">
      <w:pPr>
        <w:pStyle w:val="BodyText"/>
        <w:spacing w:before="88"/>
        <w:ind w:left="105" w:right="105"/>
        <w:jc w:val="center"/>
      </w:pPr>
      <w:r>
        <w:t>van 20 mei 2024</w:t>
      </w:r>
    </w:p>
    <w:p w14:paraId="0969D558" w14:textId="77777777" w:rsidR="00F94C82" w:rsidRDefault="0052303E">
      <w:pPr>
        <w:pStyle w:val="BodyText"/>
        <w:spacing w:before="93" w:line="244" w:lineRule="auto"/>
        <w:ind w:left="1409" w:right="1407"/>
        <w:jc w:val="center"/>
        <w:rPr>
          <w:b/>
        </w:rPr>
      </w:pPr>
      <w:r>
        <w:rPr>
          <w:b/>
        </w:rPr>
        <w:t>tot wijziging van besluit nr. 252/2014 van het ministerie van Financiën van de Slowaakse Republiek tot vasts</w:t>
      </w:r>
      <w:r>
        <w:rPr>
          <w:b/>
        </w:rPr>
        <w:t>telling van de details, de uitvoering en de prijs van accijnszegels die bestemd zijn voor het merken van consumentenverpakkingen van gedistilleerde dranken</w:t>
      </w:r>
    </w:p>
    <w:p w14:paraId="3C2A4F9C" w14:textId="77777777" w:rsidR="00F94C82" w:rsidRDefault="00F94C82">
      <w:pPr>
        <w:pStyle w:val="BodyText"/>
        <w:spacing w:before="1" w:line="244" w:lineRule="auto"/>
        <w:ind w:left="1409" w:right="1407"/>
        <w:jc w:val="center"/>
        <w:rPr>
          <w:b/>
        </w:rPr>
      </w:pPr>
    </w:p>
    <w:p w14:paraId="3E3CE7D1" w14:textId="77777777" w:rsidR="00F94C82" w:rsidRDefault="00F94C82">
      <w:pPr>
        <w:pStyle w:val="BodyText"/>
        <w:rPr>
          <w:b/>
          <w:sz w:val="28"/>
        </w:rPr>
      </w:pPr>
    </w:p>
    <w:p w14:paraId="41961617" w14:textId="77777777" w:rsidR="00F94C82" w:rsidRDefault="00F94C82">
      <w:pPr>
        <w:pStyle w:val="BodyText"/>
        <w:spacing w:before="6"/>
        <w:rPr>
          <w:b/>
          <w:sz w:val="31"/>
        </w:rPr>
      </w:pPr>
    </w:p>
    <w:p w14:paraId="35DA500A" w14:textId="77777777" w:rsidR="00F94C82" w:rsidRDefault="0052303E">
      <w:pPr>
        <w:pStyle w:val="BodyText"/>
        <w:ind w:left="332"/>
        <w:jc w:val="both"/>
      </w:pPr>
      <w:r>
        <w:t>Uit hoofde van § 51, lid 10, van wet nr. 530/2011 inzake de accijns op alcoholhoudende dranken, zoals gewijzigd bij wet nr. 362/2013, bepaalt het ministerie van Financiën van de Slowaakse Republiek:</w:t>
      </w:r>
    </w:p>
    <w:p w14:paraId="133D67C0" w14:textId="77777777" w:rsidR="00F94C82" w:rsidRDefault="00F94C82">
      <w:pPr>
        <w:pStyle w:val="BodyText"/>
        <w:spacing w:before="5"/>
        <w:ind w:left="105"/>
        <w:jc w:val="both"/>
      </w:pPr>
    </w:p>
    <w:p w14:paraId="35C1FB9B" w14:textId="77777777" w:rsidR="00F94C82" w:rsidRDefault="0052303E">
      <w:pPr>
        <w:pStyle w:val="BodyText"/>
        <w:spacing w:before="208"/>
        <w:ind w:left="105" w:right="105"/>
        <w:jc w:val="center"/>
        <w:rPr>
          <w:b/>
        </w:rPr>
      </w:pPr>
      <w:r>
        <w:rPr>
          <w:b/>
        </w:rPr>
        <w:t>Artikel I</w:t>
      </w:r>
    </w:p>
    <w:p w14:paraId="6DDE2E64" w14:textId="77777777" w:rsidR="00F94C82" w:rsidRDefault="0052303E">
      <w:pPr>
        <w:pStyle w:val="BodyText"/>
        <w:spacing w:before="218" w:line="276" w:lineRule="auto"/>
        <w:ind w:left="105" w:right="103" w:firstLine="226"/>
        <w:jc w:val="both"/>
      </w:pPr>
      <w:r>
        <w:t>Besluit nr. 252/2014 van het ministerie van Fi</w:t>
      </w:r>
      <w:r>
        <w:t>nanciën van de Slowaakse Republiek tot vaststelling van de details, de uitvoering en de prijs van accijnszegels die bestemd zijn voor het merken van consumentenverpakkingen van gedistilleerde dranken, wordt als volgt gewijzigd:</w:t>
      </w:r>
    </w:p>
    <w:p w14:paraId="7FA69E4C" w14:textId="77777777" w:rsidR="00F94C82" w:rsidRDefault="0052303E">
      <w:pPr>
        <w:pStyle w:val="ListParagraph"/>
        <w:numPr>
          <w:ilvl w:val="0"/>
          <w:numId w:val="1"/>
        </w:numPr>
        <w:tabs>
          <w:tab w:val="left" w:pos="389"/>
        </w:tabs>
        <w:jc w:val="both"/>
        <w:rPr>
          <w:sz w:val="20"/>
        </w:rPr>
      </w:pPr>
      <w:r>
        <w:rPr>
          <w:sz w:val="20"/>
        </w:rPr>
        <w:t xml:space="preserve">§ 1, lid 2, wordt als volgt </w:t>
      </w:r>
      <w:r>
        <w:rPr>
          <w:sz w:val="20"/>
        </w:rPr>
        <w:t>geformuleerd:</w:t>
      </w:r>
    </w:p>
    <w:p w14:paraId="3613C012" w14:textId="77777777" w:rsidR="00F94C82" w:rsidRDefault="0052303E">
      <w:pPr>
        <w:pStyle w:val="BodyText"/>
        <w:spacing w:before="220" w:line="276" w:lineRule="auto"/>
        <w:ind w:left="388" w:right="103" w:firstLine="226"/>
        <w:jc w:val="both"/>
      </w:pPr>
      <w:r>
        <w:t>“(2) Een accijnszegel is bedoeld voor het merken van consumentenverpakkingen van gedistilleerde dranken</w:t>
      </w:r>
      <w:r>
        <w:rPr>
          <w:sz w:val="10"/>
        </w:rPr>
        <w:t>1</w:t>
      </w:r>
      <w:r>
        <w:t>) en heeft afmetingen van 16 x 55, 16 x 90, 16 x 150 of 16 x 210 millimeter.”.</w:t>
      </w:r>
    </w:p>
    <w:p w14:paraId="2EBC531F" w14:textId="77777777" w:rsidR="00F94C82" w:rsidRDefault="0052303E">
      <w:pPr>
        <w:pStyle w:val="ListParagraph"/>
        <w:numPr>
          <w:ilvl w:val="0"/>
          <w:numId w:val="1"/>
        </w:numPr>
        <w:tabs>
          <w:tab w:val="left" w:pos="389"/>
        </w:tabs>
        <w:jc w:val="both"/>
        <w:rPr>
          <w:sz w:val="20"/>
        </w:rPr>
      </w:pPr>
      <w:r>
        <w:rPr>
          <w:sz w:val="20"/>
        </w:rPr>
        <w:t>Voetnoot 2 wordt als volgt geformuleerd:</w:t>
      </w:r>
    </w:p>
    <w:p w14:paraId="09CDAB46" w14:textId="77777777" w:rsidR="00F94C82" w:rsidRDefault="0052303E">
      <w:pPr>
        <w:spacing w:before="104" w:line="244" w:lineRule="auto"/>
        <w:ind w:left="388" w:right="103"/>
        <w:jc w:val="both"/>
        <w:rPr>
          <w:sz w:val="18"/>
        </w:rPr>
      </w:pPr>
      <w:r>
        <w:rPr>
          <w:sz w:val="18"/>
        </w:rPr>
        <w:t>“</w:t>
      </w:r>
      <w:r>
        <w:rPr>
          <w:sz w:val="10"/>
        </w:rPr>
        <w:t>2</w:t>
      </w:r>
      <w:r>
        <w:rPr>
          <w:sz w:val="18"/>
        </w:rPr>
        <w:t>) Richtlijn (EU)</w:t>
      </w:r>
      <w:r>
        <w:rPr>
          <w:sz w:val="18"/>
        </w:rPr>
        <w:t xml:space="preserve"> 2015/1535 van het Europees Parlement en de Raad van 9 september 2015 betreffende een informatieprocedure op het gebied van technische voorschriften en regels betreffende de diensten van de informatiemaatschappij (PB L 241 van 17.9.2015).”  </w:t>
      </w:r>
    </w:p>
    <w:p w14:paraId="32305C32" w14:textId="77777777" w:rsidR="00F94C82" w:rsidRDefault="0052303E">
      <w:pPr>
        <w:pStyle w:val="BodyText"/>
        <w:spacing w:before="205"/>
        <w:ind w:left="105" w:right="105"/>
        <w:jc w:val="center"/>
        <w:rPr>
          <w:b/>
        </w:rPr>
      </w:pPr>
      <w:r>
        <w:rPr>
          <w:b/>
        </w:rPr>
        <w:t>Artikel II</w:t>
      </w:r>
    </w:p>
    <w:p w14:paraId="044DB3BF" w14:textId="77777777" w:rsidR="00F94C82" w:rsidRDefault="0052303E">
      <w:pPr>
        <w:pStyle w:val="BodyText"/>
        <w:spacing w:before="218"/>
        <w:ind w:left="332"/>
        <w:jc w:val="both"/>
      </w:pPr>
      <w:r>
        <w:t>Dit</w:t>
      </w:r>
      <w:r>
        <w:t xml:space="preserve"> besluit treedt in werking op 1 juni 2024.</w:t>
      </w:r>
    </w:p>
    <w:p w14:paraId="33F5681A" w14:textId="77777777" w:rsidR="00F94C82" w:rsidRDefault="00F94C82">
      <w:pPr>
        <w:pStyle w:val="BodyText"/>
        <w:rPr>
          <w:sz w:val="26"/>
        </w:rPr>
      </w:pPr>
    </w:p>
    <w:p w14:paraId="68A76C62" w14:textId="77777777" w:rsidR="00F94C82" w:rsidRDefault="00F94C82">
      <w:pPr>
        <w:pStyle w:val="BodyText"/>
        <w:spacing w:before="3"/>
        <w:rPr>
          <w:sz w:val="24"/>
        </w:rPr>
      </w:pPr>
    </w:p>
    <w:p w14:paraId="79F5DB9E" w14:textId="77777777" w:rsidR="00F94C82" w:rsidRDefault="0052303E">
      <w:pPr>
        <w:pStyle w:val="BodyText"/>
        <w:ind w:left="105" w:right="169"/>
        <w:jc w:val="center"/>
        <w:rPr>
          <w:b/>
        </w:rPr>
      </w:pPr>
      <w:r>
        <w:rPr>
          <w:b/>
        </w:rPr>
        <w:t>Ladislav Kamenický m. p.</w:t>
      </w:r>
    </w:p>
    <w:p w14:paraId="67F72B71" w14:textId="77777777" w:rsidR="00F94C82" w:rsidRDefault="00F94C82">
      <w:pPr>
        <w:jc w:val="center"/>
        <w:sectPr w:rsidR="00F94C82">
          <w:type w:val="continuous"/>
          <w:pgSz w:w="11910" w:h="16840"/>
          <w:pgMar w:top="820" w:right="1000" w:bottom="280" w:left="1000" w:header="720" w:footer="720" w:gutter="0"/>
          <w:cols w:space="720"/>
        </w:sectPr>
      </w:pPr>
    </w:p>
    <w:p w14:paraId="104A6F63" w14:textId="4862DA7F" w:rsidR="00F94C82" w:rsidRDefault="0052303E">
      <w:pPr>
        <w:pStyle w:val="BodyText"/>
        <w:tabs>
          <w:tab w:val="left" w:pos="3075"/>
          <w:tab w:val="left" w:pos="8244"/>
        </w:tabs>
        <w:spacing w:before="117"/>
        <w:ind w:left="105"/>
        <w:rPr>
          <w:b/>
        </w:rPr>
      </w:pPr>
      <w:r>
        <w:rPr>
          <w:noProof/>
        </w:rPr>
        <w:lastRenderedPageBreak/>
        <mc:AlternateContent>
          <mc:Choice Requires="wps">
            <w:drawing>
              <wp:anchor distT="0" distB="0" distL="0" distR="0" simplePos="0" relativeHeight="251659264" behindDoc="1" locked="0" layoutInCell="1" allowOverlap="1" wp14:anchorId="538891DA" wp14:editId="0321F28E">
                <wp:simplePos x="0" y="0"/>
                <wp:positionH relativeFrom="page">
                  <wp:posOffset>701675</wp:posOffset>
                </wp:positionH>
                <wp:positionV relativeFrom="paragraph">
                  <wp:posOffset>275590</wp:posOffset>
                </wp:positionV>
                <wp:extent cx="615569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D91CB" id="Freeform 3" o:spid="_x0000_s1026" style="position:absolute;margin-left:55.25pt;margin-top:21.7pt;width:484.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" path="m,l9694,e" filled="f" strokeweight=".39969mm">
                <v:path arrowok="t" o:connecttype="custom" o:connectlocs="0,0;6155690,0" o:connectangles="0,0"/>
                <w10:wrap type="topAndBottom" anchorx="page"/>
              </v:shape>
            </w:pict>
          </mc:Fallback>
        </mc:AlternateContent>
      </w:r>
      <w:r>
        <w:t>Bladzijde 2</w:t>
      </w:r>
      <w:r>
        <w:tab/>
        <w:t>De verzameling van wetten van de Slowaakse Republiek</w:t>
      </w:r>
      <w:r>
        <w:tab/>
      </w:r>
      <w:r>
        <w:rPr>
          <w:b/>
        </w:rPr>
        <w:t>114/2024</w:t>
      </w:r>
    </w:p>
    <w:p w14:paraId="129FDA92" w14:textId="77777777" w:rsidR="00F94C82" w:rsidRDefault="00F94C82">
      <w:pPr>
        <w:pStyle w:val="BodyText"/>
        <w:rPr>
          <w:b/>
        </w:rPr>
      </w:pPr>
    </w:p>
    <w:p w14:paraId="1990CFF5" w14:textId="77777777" w:rsidR="00F94C82" w:rsidRDefault="00F94C82">
      <w:pPr>
        <w:pStyle w:val="BodyText"/>
        <w:rPr>
          <w:b/>
        </w:rPr>
      </w:pPr>
    </w:p>
    <w:p w14:paraId="6386B754" w14:textId="77777777" w:rsidR="00F94C82" w:rsidRDefault="00F94C82">
      <w:pPr>
        <w:pStyle w:val="BodyText"/>
        <w:rPr>
          <w:b/>
        </w:rPr>
      </w:pPr>
    </w:p>
    <w:p w14:paraId="4233FCBD" w14:textId="77777777" w:rsidR="00F94C82" w:rsidRDefault="00F94C82">
      <w:pPr>
        <w:pStyle w:val="BodyText"/>
        <w:rPr>
          <w:b/>
        </w:rPr>
      </w:pPr>
    </w:p>
    <w:p w14:paraId="5F73B5BA" w14:textId="77777777" w:rsidR="00F94C82" w:rsidRDefault="00F94C82">
      <w:pPr>
        <w:pStyle w:val="BodyText"/>
        <w:rPr>
          <w:b/>
        </w:rPr>
      </w:pPr>
    </w:p>
    <w:p w14:paraId="750F7CF4" w14:textId="77777777" w:rsidR="00F94C82" w:rsidRDefault="00F94C82">
      <w:pPr>
        <w:pStyle w:val="BodyText"/>
        <w:rPr>
          <w:b/>
        </w:rPr>
      </w:pPr>
    </w:p>
    <w:p w14:paraId="6E399B6B" w14:textId="77777777" w:rsidR="00F94C82" w:rsidRDefault="00F94C82">
      <w:pPr>
        <w:pStyle w:val="BodyText"/>
        <w:rPr>
          <w:b/>
        </w:rPr>
      </w:pPr>
    </w:p>
    <w:p w14:paraId="330C3E99" w14:textId="77777777" w:rsidR="00F94C82" w:rsidRDefault="00F94C82">
      <w:pPr>
        <w:pStyle w:val="BodyText"/>
        <w:rPr>
          <w:b/>
        </w:rPr>
      </w:pPr>
    </w:p>
    <w:p w14:paraId="77CA4E9E" w14:textId="77777777" w:rsidR="00F94C82" w:rsidRDefault="00F94C82">
      <w:pPr>
        <w:pStyle w:val="BodyText"/>
        <w:rPr>
          <w:b/>
        </w:rPr>
      </w:pPr>
    </w:p>
    <w:p w14:paraId="2736F7D7" w14:textId="77777777" w:rsidR="00F94C82" w:rsidRDefault="00F94C82">
      <w:pPr>
        <w:pStyle w:val="BodyText"/>
        <w:rPr>
          <w:b/>
        </w:rPr>
      </w:pPr>
    </w:p>
    <w:p w14:paraId="02CEB113" w14:textId="77777777" w:rsidR="00F94C82" w:rsidRDefault="00F94C82">
      <w:pPr>
        <w:pStyle w:val="BodyText"/>
        <w:rPr>
          <w:b/>
        </w:rPr>
      </w:pPr>
    </w:p>
    <w:p w14:paraId="4E6BE1B2" w14:textId="77777777" w:rsidR="00F94C82" w:rsidRDefault="00F94C82">
      <w:pPr>
        <w:pStyle w:val="BodyText"/>
        <w:rPr>
          <w:b/>
        </w:rPr>
      </w:pPr>
    </w:p>
    <w:p w14:paraId="1BBE418F" w14:textId="77777777" w:rsidR="00F94C82" w:rsidRDefault="00F94C82">
      <w:pPr>
        <w:pStyle w:val="BodyText"/>
        <w:rPr>
          <w:b/>
        </w:rPr>
      </w:pPr>
    </w:p>
    <w:p w14:paraId="6CE5D7E6" w14:textId="77777777" w:rsidR="00F94C82" w:rsidRDefault="00F94C82">
      <w:pPr>
        <w:pStyle w:val="BodyText"/>
        <w:rPr>
          <w:b/>
        </w:rPr>
      </w:pPr>
    </w:p>
    <w:p w14:paraId="4898814C" w14:textId="77777777" w:rsidR="00F94C82" w:rsidRDefault="00F94C82">
      <w:pPr>
        <w:pStyle w:val="BodyText"/>
        <w:rPr>
          <w:b/>
        </w:rPr>
      </w:pPr>
    </w:p>
    <w:p w14:paraId="1DA52C6F" w14:textId="77777777" w:rsidR="00F94C82" w:rsidRDefault="00F94C82">
      <w:pPr>
        <w:pStyle w:val="BodyText"/>
        <w:rPr>
          <w:b/>
        </w:rPr>
      </w:pPr>
    </w:p>
    <w:p w14:paraId="64A66069" w14:textId="77777777" w:rsidR="00F94C82" w:rsidRDefault="00F94C82">
      <w:pPr>
        <w:pStyle w:val="BodyText"/>
        <w:rPr>
          <w:b/>
        </w:rPr>
      </w:pPr>
    </w:p>
    <w:p w14:paraId="5DCD7DED" w14:textId="77777777" w:rsidR="00F94C82" w:rsidRDefault="00F94C82">
      <w:pPr>
        <w:pStyle w:val="BodyText"/>
        <w:rPr>
          <w:b/>
        </w:rPr>
      </w:pPr>
    </w:p>
    <w:p w14:paraId="2F64C883" w14:textId="77777777" w:rsidR="00F94C82" w:rsidRDefault="00F94C82">
      <w:pPr>
        <w:pStyle w:val="BodyText"/>
        <w:rPr>
          <w:b/>
        </w:rPr>
      </w:pPr>
    </w:p>
    <w:p w14:paraId="486D1425" w14:textId="77777777" w:rsidR="00F94C82" w:rsidRDefault="00F94C82">
      <w:pPr>
        <w:pStyle w:val="BodyText"/>
        <w:rPr>
          <w:b/>
        </w:rPr>
      </w:pPr>
    </w:p>
    <w:p w14:paraId="1BAA9F05" w14:textId="77777777" w:rsidR="00F94C82" w:rsidRDefault="00F94C82">
      <w:pPr>
        <w:pStyle w:val="BodyText"/>
        <w:rPr>
          <w:b/>
        </w:rPr>
      </w:pPr>
    </w:p>
    <w:p w14:paraId="7BA3328B" w14:textId="77777777" w:rsidR="00F94C82" w:rsidRDefault="00F94C82">
      <w:pPr>
        <w:pStyle w:val="BodyText"/>
        <w:rPr>
          <w:b/>
        </w:rPr>
      </w:pPr>
    </w:p>
    <w:p w14:paraId="3ED6F362" w14:textId="77777777" w:rsidR="00F94C82" w:rsidRDefault="00F94C82">
      <w:pPr>
        <w:pStyle w:val="BodyText"/>
        <w:rPr>
          <w:b/>
        </w:rPr>
      </w:pPr>
    </w:p>
    <w:p w14:paraId="5743DE3A" w14:textId="77777777" w:rsidR="00F94C82" w:rsidRDefault="00F94C82">
      <w:pPr>
        <w:pStyle w:val="BodyText"/>
        <w:rPr>
          <w:b/>
        </w:rPr>
      </w:pPr>
    </w:p>
    <w:p w14:paraId="61B138ED" w14:textId="77777777" w:rsidR="00F94C82" w:rsidRDefault="00F94C82">
      <w:pPr>
        <w:pStyle w:val="BodyText"/>
        <w:rPr>
          <w:b/>
        </w:rPr>
      </w:pPr>
    </w:p>
    <w:p w14:paraId="66E1BE7A" w14:textId="77777777" w:rsidR="00F94C82" w:rsidRDefault="00F94C82">
      <w:pPr>
        <w:pStyle w:val="BodyText"/>
        <w:rPr>
          <w:b/>
        </w:rPr>
      </w:pPr>
    </w:p>
    <w:p w14:paraId="7D553B1D" w14:textId="77777777" w:rsidR="00F94C82" w:rsidRDefault="00F94C82">
      <w:pPr>
        <w:pStyle w:val="BodyText"/>
        <w:rPr>
          <w:b/>
        </w:rPr>
      </w:pPr>
    </w:p>
    <w:p w14:paraId="49C9BDD9" w14:textId="77777777" w:rsidR="00F94C82" w:rsidRDefault="00F94C82">
      <w:pPr>
        <w:pStyle w:val="BodyText"/>
        <w:rPr>
          <w:b/>
        </w:rPr>
      </w:pPr>
    </w:p>
    <w:p w14:paraId="5B85007A" w14:textId="77777777" w:rsidR="00F94C82" w:rsidRDefault="00F94C82">
      <w:pPr>
        <w:pStyle w:val="BodyText"/>
        <w:rPr>
          <w:b/>
        </w:rPr>
      </w:pPr>
    </w:p>
    <w:p w14:paraId="18702F93" w14:textId="77777777" w:rsidR="00F94C82" w:rsidRDefault="00F94C82">
      <w:pPr>
        <w:pStyle w:val="BodyText"/>
        <w:rPr>
          <w:b/>
        </w:rPr>
      </w:pPr>
    </w:p>
    <w:p w14:paraId="22DDD96B" w14:textId="77777777" w:rsidR="00F94C82" w:rsidRDefault="00F94C82">
      <w:pPr>
        <w:pStyle w:val="BodyText"/>
        <w:rPr>
          <w:b/>
        </w:rPr>
      </w:pPr>
    </w:p>
    <w:p w14:paraId="33EAAE7F" w14:textId="77777777" w:rsidR="00F94C82" w:rsidRDefault="00F94C82">
      <w:pPr>
        <w:pStyle w:val="BodyText"/>
        <w:rPr>
          <w:b/>
        </w:rPr>
      </w:pPr>
    </w:p>
    <w:p w14:paraId="4D3502B2" w14:textId="77777777" w:rsidR="00F94C82" w:rsidRDefault="00F94C82">
      <w:pPr>
        <w:pStyle w:val="BodyText"/>
        <w:rPr>
          <w:b/>
        </w:rPr>
      </w:pPr>
    </w:p>
    <w:p w14:paraId="05B54839" w14:textId="77777777" w:rsidR="00F94C82" w:rsidRDefault="00F94C82">
      <w:pPr>
        <w:pStyle w:val="BodyText"/>
        <w:rPr>
          <w:b/>
        </w:rPr>
      </w:pPr>
    </w:p>
    <w:p w14:paraId="16A07938" w14:textId="77777777" w:rsidR="00F94C82" w:rsidRDefault="00F94C82">
      <w:pPr>
        <w:pStyle w:val="BodyText"/>
        <w:rPr>
          <w:b/>
        </w:rPr>
      </w:pPr>
    </w:p>
    <w:p w14:paraId="255709E6" w14:textId="77777777" w:rsidR="00F94C82" w:rsidRDefault="00F94C82">
      <w:pPr>
        <w:pStyle w:val="BodyText"/>
        <w:rPr>
          <w:b/>
        </w:rPr>
      </w:pPr>
    </w:p>
    <w:p w14:paraId="17238B02" w14:textId="77777777" w:rsidR="00F94C82" w:rsidRDefault="00F94C82">
      <w:pPr>
        <w:pStyle w:val="BodyText"/>
        <w:rPr>
          <w:b/>
        </w:rPr>
      </w:pPr>
    </w:p>
    <w:p w14:paraId="49988605" w14:textId="77777777" w:rsidR="00F94C82" w:rsidRDefault="00F94C82">
      <w:pPr>
        <w:pStyle w:val="BodyText"/>
        <w:rPr>
          <w:b/>
        </w:rPr>
      </w:pPr>
    </w:p>
    <w:p w14:paraId="7B5A53CA" w14:textId="77777777" w:rsidR="00F94C82" w:rsidRDefault="00F94C82">
      <w:pPr>
        <w:pStyle w:val="BodyText"/>
        <w:rPr>
          <w:b/>
        </w:rPr>
      </w:pPr>
    </w:p>
    <w:p w14:paraId="534D74C0" w14:textId="77777777" w:rsidR="00F94C82" w:rsidRDefault="00F94C82">
      <w:pPr>
        <w:pStyle w:val="BodyText"/>
        <w:rPr>
          <w:b/>
        </w:rPr>
      </w:pPr>
    </w:p>
    <w:p w14:paraId="5D84DA11" w14:textId="77777777" w:rsidR="00F94C82" w:rsidRDefault="00F94C82">
      <w:pPr>
        <w:pStyle w:val="BodyText"/>
        <w:rPr>
          <w:b/>
        </w:rPr>
      </w:pPr>
    </w:p>
    <w:p w14:paraId="4CAEA2BB" w14:textId="77777777" w:rsidR="00F94C82" w:rsidRDefault="00F94C82">
      <w:pPr>
        <w:pStyle w:val="BodyText"/>
        <w:rPr>
          <w:b/>
        </w:rPr>
      </w:pPr>
    </w:p>
    <w:p w14:paraId="62A5B0A1" w14:textId="77777777" w:rsidR="00F94C82" w:rsidRDefault="00F94C82">
      <w:pPr>
        <w:pStyle w:val="BodyText"/>
        <w:rPr>
          <w:b/>
        </w:rPr>
      </w:pPr>
    </w:p>
    <w:p w14:paraId="09760262" w14:textId="77777777" w:rsidR="00F94C82" w:rsidRDefault="00F94C82">
      <w:pPr>
        <w:pStyle w:val="BodyText"/>
        <w:rPr>
          <w:b/>
        </w:rPr>
      </w:pPr>
    </w:p>
    <w:p w14:paraId="0F4620AD" w14:textId="77777777" w:rsidR="00F94C82" w:rsidRDefault="00F94C82">
      <w:pPr>
        <w:pStyle w:val="BodyText"/>
        <w:rPr>
          <w:b/>
        </w:rPr>
      </w:pPr>
    </w:p>
    <w:p w14:paraId="106053BC" w14:textId="77777777" w:rsidR="00F94C82" w:rsidRDefault="00F94C82">
      <w:pPr>
        <w:pStyle w:val="BodyText"/>
        <w:rPr>
          <w:b/>
        </w:rPr>
      </w:pPr>
    </w:p>
    <w:p w14:paraId="5A790054" w14:textId="77777777" w:rsidR="00F94C82" w:rsidRDefault="00F94C82">
      <w:pPr>
        <w:pStyle w:val="BodyText"/>
        <w:rPr>
          <w:b/>
        </w:rPr>
      </w:pPr>
    </w:p>
    <w:p w14:paraId="6F0E76B9" w14:textId="77777777" w:rsidR="00F94C82" w:rsidRDefault="00F94C82">
      <w:pPr>
        <w:pStyle w:val="BodyText"/>
        <w:rPr>
          <w:b/>
        </w:rPr>
      </w:pPr>
    </w:p>
    <w:p w14:paraId="18ED79BE" w14:textId="77777777" w:rsidR="00F94C82" w:rsidRDefault="00F94C82">
      <w:pPr>
        <w:pStyle w:val="BodyText"/>
        <w:rPr>
          <w:b/>
        </w:rPr>
      </w:pPr>
    </w:p>
    <w:p w14:paraId="69641C1A" w14:textId="77777777" w:rsidR="00F94C82" w:rsidRDefault="00F94C82">
      <w:pPr>
        <w:pStyle w:val="BodyText"/>
        <w:rPr>
          <w:b/>
        </w:rPr>
      </w:pPr>
    </w:p>
    <w:p w14:paraId="4097067C" w14:textId="77777777" w:rsidR="00F94C82" w:rsidRDefault="00F94C82">
      <w:pPr>
        <w:pStyle w:val="BodyText"/>
        <w:rPr>
          <w:b/>
        </w:rPr>
      </w:pPr>
    </w:p>
    <w:p w14:paraId="7CE0923E" w14:textId="77777777" w:rsidR="00F94C82" w:rsidRDefault="00F94C82">
      <w:pPr>
        <w:pStyle w:val="BodyText"/>
        <w:rPr>
          <w:b/>
        </w:rPr>
      </w:pPr>
    </w:p>
    <w:p w14:paraId="4E575480" w14:textId="77777777" w:rsidR="00F94C82" w:rsidRDefault="00F94C82">
      <w:pPr>
        <w:pStyle w:val="BodyText"/>
        <w:rPr>
          <w:b/>
        </w:rPr>
      </w:pPr>
    </w:p>
    <w:p w14:paraId="075195A2" w14:textId="65D89FB3" w:rsidR="00F94C82" w:rsidRDefault="0052303E">
      <w:pPr>
        <w:pStyle w:val="BodyText"/>
        <w:spacing w:before="10"/>
        <w:rPr>
          <w:b/>
          <w:sz w:val="15"/>
        </w:rPr>
      </w:pPr>
      <w:r>
        <w:rPr>
          <w:noProof/>
        </w:rPr>
        <mc:AlternateContent>
          <mc:Choice Requires="wps">
            <w:drawing>
              <wp:anchor distT="0" distB="0" distL="0" distR="0" simplePos="0" relativeHeight="251660288" behindDoc="1" locked="0" layoutInCell="1" allowOverlap="1" wp14:anchorId="39503C2B" wp14:editId="62C2CA52">
                <wp:simplePos x="0" y="0"/>
                <wp:positionH relativeFrom="page">
                  <wp:posOffset>701675</wp:posOffset>
                </wp:positionH>
                <wp:positionV relativeFrom="paragraph">
                  <wp:posOffset>150495</wp:posOffset>
                </wp:positionV>
                <wp:extent cx="615569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1105 1105"/>
                            <a:gd name="T1" fmla="*/ T0 w 9694"/>
                            <a:gd name="T2" fmla="+- 0 10799 1105"/>
                            <a:gd name="T3" fmla="*/ T2 w 9694"/>
                          </a:gdLst>
                          <a:ahLst/>
                          <a:cxnLst>
                            <a:cxn ang="0">
                              <a:pos x="T1" y="0"/>
                            </a:cxn>
                            <a:cxn ang="0">
                              <a:pos x="T3" y="0"/>
                            </a:cxn>
                          </a:cxnLst>
                          <a:rect l="0" t="0" r="r" b="b"/>
                          <a:pathLst>
                            <a:path w="9694">
                              <a:moveTo>
                                <a:pt x="0" y="0"/>
                              </a:moveTo>
                              <a:lnTo>
                                <a:pt x="9694" y="0"/>
                              </a:lnTo>
                            </a:path>
                          </a:pathLst>
                        </a:custGeom>
                        <a:noFill/>
                        <a:ln w="1438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A5E71" id="Freeform 2" o:spid="_x0000_s1026" style="position:absolute;margin-left:55.25pt;margin-top:11.85pt;width:484.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" path="m,l9694,e" filled="f" strokeweight=".39969mm">
                <v:path arrowok="t" o:connecttype="custom" o:connectlocs="0,0;6155690,0" o:connectangles="0,0"/>
                <w10:wrap type="topAndBottom" anchorx="page"/>
              </v:shape>
            </w:pict>
          </mc:Fallback>
        </mc:AlternateContent>
      </w:r>
    </w:p>
    <w:p w14:paraId="5FE6273D" w14:textId="77777777" w:rsidR="00F94C82" w:rsidRDefault="00F94C82">
      <w:pPr>
        <w:pStyle w:val="BodyText"/>
        <w:spacing w:before="6"/>
        <w:rPr>
          <w:b/>
          <w:sz w:val="22"/>
        </w:rPr>
      </w:pPr>
    </w:p>
    <w:p w14:paraId="1B7C42A1" w14:textId="77777777" w:rsidR="00F94C82" w:rsidRDefault="0052303E">
      <w:pPr>
        <w:spacing w:before="123" w:line="244" w:lineRule="auto"/>
        <w:ind w:left="105" w:right="103"/>
        <w:jc w:val="center"/>
        <w:rPr>
          <w:sz w:val="18"/>
        </w:rPr>
      </w:pPr>
      <w:r>
        <w:rPr>
          <w:sz w:val="18"/>
        </w:rPr>
        <w:t xml:space="preserve">De uitgever van de verzameling van wetten van de Slowaakse Republiek en de exploitant van het juridische en informatieportaal Slov-Lex, beschikbaar op </w:t>
      </w:r>
      <w:hyperlink r:id="rId6">
        <w:r>
          <w:rPr>
            <w:sz w:val="18"/>
          </w:rPr>
          <w:t xml:space="preserve">www.slov-lex.sk </w:t>
        </w:r>
      </w:hyperlink>
      <w:r>
        <w:rPr>
          <w:sz w:val="18"/>
        </w:rPr>
        <w:t>is</w:t>
      </w:r>
    </w:p>
    <w:p w14:paraId="0914CA72" w14:textId="77777777" w:rsidR="00F94C82" w:rsidRDefault="0052303E">
      <w:pPr>
        <w:spacing w:before="1"/>
        <w:ind w:left="103" w:right="103"/>
        <w:jc w:val="center"/>
        <w:rPr>
          <w:sz w:val="18"/>
        </w:rPr>
      </w:pPr>
      <w:r>
        <w:rPr>
          <w:sz w:val="18"/>
        </w:rPr>
        <w:t>Het Ministerie van Justitie van de Slowaaks</w:t>
      </w:r>
      <w:r>
        <w:rPr>
          <w:sz w:val="18"/>
        </w:rPr>
        <w:t>e Republiek, Račianska 71, 813 11 Bratislava,</w:t>
      </w:r>
    </w:p>
    <w:p w14:paraId="7DA7347A" w14:textId="77777777" w:rsidR="00F94C82" w:rsidRDefault="0052303E">
      <w:pPr>
        <w:spacing w:before="4"/>
        <w:ind w:left="105" w:right="105"/>
        <w:jc w:val="center"/>
        <w:rPr>
          <w:sz w:val="18"/>
        </w:rPr>
      </w:pPr>
      <w:r>
        <w:rPr>
          <w:sz w:val="18"/>
        </w:rPr>
        <w:t>telefoon: +421 2 888 91 864, +421 2 888 91 865, e-mail:</w:t>
      </w:r>
      <w:hyperlink r:id="rId7">
        <w:r>
          <w:rPr>
            <w:sz w:val="18"/>
          </w:rPr>
          <w:t xml:space="preserve"> helpdesk@slov-lex.sk.</w:t>
        </w:r>
      </w:hyperlink>
    </w:p>
    <w:sectPr w:rsidR="00F94C82">
      <w:pgSz w:w="11910" w:h="16840"/>
      <w:pgMar w:top="70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D15F4"/>
    <w:multiLevelType w:val="hybridMultilevel"/>
    <w:tmpl w:val="B7085E9A"/>
    <w:lvl w:ilvl="0" w:tplc="AF8C1990">
      <w:start w:val="1"/>
      <w:numFmt w:val="decimal"/>
      <w:lvlText w:val="%1."/>
      <w:lvlJc w:val="left"/>
      <w:pPr>
        <w:ind w:left="388" w:hanging="284"/>
        <w:jc w:val="left"/>
      </w:pPr>
      <w:rPr>
        <w:rFonts w:ascii="Bookman Old Style" w:eastAsia="Bookman Old Style" w:hAnsi="Bookman Old Style" w:cs="Bookman Old Style" w:hint="default"/>
        <w:w w:val="100"/>
        <w:sz w:val="20"/>
        <w:szCs w:val="20"/>
        <w:lang w:val="sk-SK" w:eastAsia="sk-SK" w:bidi="sk-SK"/>
      </w:rPr>
    </w:lvl>
    <w:lvl w:ilvl="1" w:tplc="12FCBB08">
      <w:numFmt w:val="bullet"/>
      <w:lvlText w:val="•"/>
      <w:lvlJc w:val="left"/>
      <w:pPr>
        <w:ind w:left="380" w:hanging="284"/>
      </w:pPr>
      <w:rPr>
        <w:rFonts w:hint="default"/>
        <w:lang w:val="sk-SK" w:eastAsia="sk-SK" w:bidi="sk-SK"/>
      </w:rPr>
    </w:lvl>
    <w:lvl w:ilvl="2" w:tplc="DA2E8E4E">
      <w:numFmt w:val="bullet"/>
      <w:lvlText w:val="•"/>
      <w:lvlJc w:val="left"/>
      <w:pPr>
        <w:ind w:left="1438" w:hanging="284"/>
      </w:pPr>
      <w:rPr>
        <w:rFonts w:hint="default"/>
        <w:lang w:val="sk-SK" w:eastAsia="sk-SK" w:bidi="sk-SK"/>
      </w:rPr>
    </w:lvl>
    <w:lvl w:ilvl="3" w:tplc="C7A819B6">
      <w:numFmt w:val="bullet"/>
      <w:lvlText w:val="•"/>
      <w:lvlJc w:val="left"/>
      <w:pPr>
        <w:ind w:left="2496" w:hanging="284"/>
      </w:pPr>
      <w:rPr>
        <w:rFonts w:hint="default"/>
        <w:lang w:val="sk-SK" w:eastAsia="sk-SK" w:bidi="sk-SK"/>
      </w:rPr>
    </w:lvl>
    <w:lvl w:ilvl="4" w:tplc="A8FE87B8">
      <w:numFmt w:val="bullet"/>
      <w:lvlText w:val="•"/>
      <w:lvlJc w:val="left"/>
      <w:pPr>
        <w:ind w:left="3554" w:hanging="284"/>
      </w:pPr>
      <w:rPr>
        <w:rFonts w:hint="default"/>
        <w:lang w:val="sk-SK" w:eastAsia="sk-SK" w:bidi="sk-SK"/>
      </w:rPr>
    </w:lvl>
    <w:lvl w:ilvl="5" w:tplc="169E15DA">
      <w:numFmt w:val="bullet"/>
      <w:lvlText w:val="•"/>
      <w:lvlJc w:val="left"/>
      <w:pPr>
        <w:ind w:left="4613" w:hanging="284"/>
      </w:pPr>
      <w:rPr>
        <w:rFonts w:hint="default"/>
        <w:lang w:val="sk-SK" w:eastAsia="sk-SK" w:bidi="sk-SK"/>
      </w:rPr>
    </w:lvl>
    <w:lvl w:ilvl="6" w:tplc="98A0CF16">
      <w:numFmt w:val="bullet"/>
      <w:lvlText w:val="•"/>
      <w:lvlJc w:val="left"/>
      <w:pPr>
        <w:ind w:left="5671" w:hanging="284"/>
      </w:pPr>
      <w:rPr>
        <w:rFonts w:hint="default"/>
        <w:lang w:val="sk-SK" w:eastAsia="sk-SK" w:bidi="sk-SK"/>
      </w:rPr>
    </w:lvl>
    <w:lvl w:ilvl="7" w:tplc="34007486">
      <w:numFmt w:val="bullet"/>
      <w:lvlText w:val="•"/>
      <w:lvlJc w:val="left"/>
      <w:pPr>
        <w:ind w:left="6729" w:hanging="284"/>
      </w:pPr>
      <w:rPr>
        <w:rFonts w:hint="default"/>
        <w:lang w:val="sk-SK" w:eastAsia="sk-SK" w:bidi="sk-SK"/>
      </w:rPr>
    </w:lvl>
    <w:lvl w:ilvl="8" w:tplc="95F8B5DA">
      <w:numFmt w:val="bullet"/>
      <w:lvlText w:val="•"/>
      <w:lvlJc w:val="left"/>
      <w:pPr>
        <w:ind w:left="7788" w:hanging="284"/>
      </w:pPr>
      <w:rPr>
        <w:rFonts w:hint="default"/>
        <w:lang w:val="sk-SK" w:eastAsia="sk-SK" w:bidi="sk-S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82"/>
    <w:rsid w:val="0052303E"/>
    <w:rsid w:val="00F94C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02BB"/>
  <w15:docId w15:val="{851951B8-DE0A-43A2-A1EE-AF868FFB7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eastAsia="sk-SK" w:bidi="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85"/>
      <w:ind w:left="388"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desk@slov-lex.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ov-lex.s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1896</Characters>
  <Application>Microsoft Office Word</Application>
  <DocSecurity>0</DocSecurity>
  <Lines>111</Lines>
  <Paragraphs>29</Paragraphs>
  <ScaleCrop>false</ScaleCrop>
  <Company>Transperfect Translations, Inc.</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spravodlivosti SR</dc:creator>
  <cp:keywords>PDF/A;class='Internal'</cp:keywords>
  <cp:lastModifiedBy>Ragnhild Efraimsson</cp:lastModifiedBy>
  <cp:revision>2</cp:revision>
  <dcterms:created xsi:type="dcterms:W3CDTF">2024-08-14T13:31:00Z</dcterms:created>
  <dcterms:modified xsi:type="dcterms:W3CDTF">2024-08-14T13:31:00Z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LastSaved">
    <vt:filetime>2024-07-12T00:00:00Z</vt:filetime>
  </property>
</Properties>
</file>